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D74E5">
      <w:pPr>
        <w:pStyle w:val="23"/>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74"/>
        <w:gridCol w:w="2244"/>
        <w:gridCol w:w="1732"/>
        <w:gridCol w:w="3120"/>
      </w:tblGrid>
      <w:tr w14:paraId="6E362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1" w:type="dxa"/>
            <w:tcMar>
              <w:top w:w="16" w:type="dxa"/>
              <w:left w:w="16" w:type="dxa"/>
              <w:right w:w="16" w:type="dxa"/>
            </w:tcMar>
            <w:vAlign w:val="center"/>
          </w:tcPr>
          <w:p w14:paraId="17095A7E">
            <w:pPr>
              <w:spacing w:line="240" w:lineRule="auto"/>
              <w:ind w:firstLine="0" w:firstLineChars="0"/>
              <w:jc w:val="center"/>
              <w:rPr>
                <w:rFonts w:ascii="宋体" w:hAnsi="宋体" w:cs="宋体"/>
                <w:color w:val="auto"/>
                <w:szCs w:val="21"/>
              </w:rPr>
            </w:pPr>
            <w:r>
              <w:rPr>
                <w:rFonts w:hint="eastAsia" w:ascii="宋体" w:hAnsi="宋体" w:cs="宋体"/>
                <w:color w:val="auto"/>
                <w:szCs w:val="21"/>
              </w:rPr>
              <w:t>建设项目名称</w:t>
            </w:r>
          </w:p>
        </w:tc>
        <w:tc>
          <w:tcPr>
            <w:tcW w:w="7080" w:type="dxa"/>
            <w:gridSpan w:val="3"/>
            <w:vAlign w:val="center"/>
          </w:tcPr>
          <w:p w14:paraId="04AD2C64">
            <w:pPr>
              <w:spacing w:line="240" w:lineRule="auto"/>
              <w:ind w:firstLine="0" w:firstLineChars="0"/>
              <w:jc w:val="center"/>
              <w:rPr>
                <w:rFonts w:ascii="宋体" w:hAnsi="宋体" w:cs="宋体"/>
                <w:color w:val="auto"/>
                <w:szCs w:val="21"/>
              </w:rPr>
            </w:pPr>
            <w:r>
              <w:rPr>
                <w:rFonts w:hint="eastAsia" w:ascii="宋体" w:hAnsi="宋体" w:cs="宋体"/>
                <w:color w:val="auto"/>
                <w:szCs w:val="21"/>
              </w:rPr>
              <w:t>环保建材生产线配套提升技改项目</w:t>
            </w:r>
          </w:p>
        </w:tc>
      </w:tr>
      <w:tr w14:paraId="436E2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1" w:type="dxa"/>
            <w:tcMar>
              <w:top w:w="16" w:type="dxa"/>
              <w:left w:w="16" w:type="dxa"/>
              <w:right w:w="16" w:type="dxa"/>
            </w:tcMar>
            <w:vAlign w:val="center"/>
          </w:tcPr>
          <w:p w14:paraId="4E777F9C">
            <w:pPr>
              <w:spacing w:line="460" w:lineRule="exact"/>
              <w:ind w:firstLine="0" w:firstLineChars="0"/>
              <w:jc w:val="center"/>
              <w:rPr>
                <w:rFonts w:ascii="宋体" w:hAnsi="宋体" w:cs="宋体"/>
                <w:color w:val="auto"/>
                <w:szCs w:val="21"/>
              </w:rPr>
            </w:pPr>
            <w:r>
              <w:rPr>
                <w:rFonts w:hint="eastAsia" w:ascii="宋体" w:hAnsi="宋体" w:cs="宋体"/>
                <w:color w:val="auto"/>
                <w:szCs w:val="21"/>
              </w:rPr>
              <w:t>项目代码</w:t>
            </w:r>
          </w:p>
        </w:tc>
        <w:tc>
          <w:tcPr>
            <w:tcW w:w="7080" w:type="dxa"/>
            <w:gridSpan w:val="3"/>
            <w:vAlign w:val="center"/>
          </w:tcPr>
          <w:p w14:paraId="6E91EEAD">
            <w:pPr>
              <w:spacing w:line="460" w:lineRule="exact"/>
              <w:ind w:firstLine="0" w:firstLineChars="0"/>
              <w:jc w:val="center"/>
              <w:rPr>
                <w:rFonts w:ascii="宋体" w:hAnsi="宋体" w:cs="宋体"/>
                <w:color w:val="auto"/>
                <w:szCs w:val="21"/>
              </w:rPr>
            </w:pPr>
            <w:r>
              <w:rPr>
                <w:rFonts w:hint="eastAsia" w:ascii="宋体" w:hAnsi="宋体" w:cs="宋体"/>
                <w:color w:val="auto"/>
                <w:szCs w:val="21"/>
              </w:rPr>
              <w:t>无</w:t>
            </w:r>
          </w:p>
        </w:tc>
      </w:tr>
      <w:tr w14:paraId="1F447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1" w:type="dxa"/>
            <w:tcMar>
              <w:top w:w="16" w:type="dxa"/>
              <w:left w:w="16" w:type="dxa"/>
              <w:right w:w="16" w:type="dxa"/>
            </w:tcMar>
            <w:vAlign w:val="center"/>
          </w:tcPr>
          <w:p w14:paraId="5E7C3B22">
            <w:pPr>
              <w:spacing w:line="240" w:lineRule="auto"/>
              <w:ind w:firstLine="0" w:firstLineChars="0"/>
              <w:jc w:val="center"/>
              <w:rPr>
                <w:rFonts w:ascii="宋体" w:hAnsi="宋体" w:cs="宋体"/>
                <w:color w:val="auto"/>
                <w:szCs w:val="21"/>
              </w:rPr>
            </w:pPr>
            <w:r>
              <w:rPr>
                <w:rFonts w:hint="eastAsia" w:ascii="宋体" w:hAnsi="宋体" w:cs="宋体"/>
                <w:color w:val="auto"/>
                <w:szCs w:val="21"/>
              </w:rPr>
              <w:t>建设单位联系人</w:t>
            </w:r>
          </w:p>
        </w:tc>
        <w:tc>
          <w:tcPr>
            <w:tcW w:w="2239" w:type="dxa"/>
            <w:vAlign w:val="center"/>
          </w:tcPr>
          <w:p w14:paraId="2C8247E4">
            <w:pPr>
              <w:spacing w:line="240" w:lineRule="auto"/>
              <w:ind w:firstLine="0" w:firstLineChars="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w:t>
            </w:r>
          </w:p>
        </w:tc>
        <w:tc>
          <w:tcPr>
            <w:tcW w:w="1728" w:type="dxa"/>
            <w:vAlign w:val="center"/>
          </w:tcPr>
          <w:p w14:paraId="2253B65F">
            <w:pPr>
              <w:spacing w:line="240" w:lineRule="auto"/>
              <w:ind w:firstLine="0" w:firstLineChars="0"/>
              <w:jc w:val="center"/>
              <w:rPr>
                <w:rFonts w:ascii="宋体" w:hAnsi="宋体" w:cs="宋体"/>
                <w:color w:val="auto"/>
                <w:szCs w:val="21"/>
              </w:rPr>
            </w:pPr>
            <w:r>
              <w:rPr>
                <w:rFonts w:hint="eastAsia" w:ascii="宋体" w:hAnsi="宋体" w:cs="宋体"/>
                <w:color w:val="auto"/>
                <w:szCs w:val="21"/>
              </w:rPr>
              <w:t>联系方式</w:t>
            </w:r>
          </w:p>
        </w:tc>
        <w:tc>
          <w:tcPr>
            <w:tcW w:w="3113" w:type="dxa"/>
            <w:vAlign w:val="center"/>
          </w:tcPr>
          <w:p w14:paraId="423A1BFD">
            <w:pPr>
              <w:spacing w:line="240" w:lineRule="auto"/>
              <w:ind w:firstLine="0" w:firstLineChars="0"/>
              <w:jc w:val="center"/>
              <w:rPr>
                <w:rFonts w:ascii="宋体" w:hAnsi="宋体" w:cs="宋体"/>
                <w:color w:val="auto"/>
                <w:szCs w:val="21"/>
              </w:rPr>
            </w:pPr>
            <w:r>
              <w:rPr>
                <w:rFonts w:hint="eastAsia" w:ascii="宋体" w:hAnsi="宋体" w:cs="宋体"/>
                <w:color w:val="auto"/>
                <w:szCs w:val="21"/>
                <w:lang w:val="en-US" w:eastAsia="zh-CN"/>
              </w:rPr>
              <w:t>*</w:t>
            </w:r>
          </w:p>
        </w:tc>
      </w:tr>
      <w:tr w14:paraId="40190E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1" w:type="dxa"/>
            <w:tcMar>
              <w:top w:w="16" w:type="dxa"/>
              <w:left w:w="16" w:type="dxa"/>
              <w:right w:w="16" w:type="dxa"/>
            </w:tcMar>
            <w:vAlign w:val="center"/>
          </w:tcPr>
          <w:p w14:paraId="6BB9A47A">
            <w:pPr>
              <w:spacing w:line="240" w:lineRule="auto"/>
              <w:ind w:firstLine="0" w:firstLineChars="0"/>
              <w:jc w:val="center"/>
              <w:rPr>
                <w:rFonts w:ascii="宋体" w:hAnsi="宋体" w:cs="宋体"/>
                <w:color w:val="auto"/>
                <w:szCs w:val="21"/>
              </w:rPr>
            </w:pPr>
            <w:r>
              <w:rPr>
                <w:rFonts w:hint="eastAsia" w:ascii="宋体" w:hAnsi="宋体" w:cs="宋体"/>
                <w:color w:val="auto"/>
                <w:szCs w:val="21"/>
              </w:rPr>
              <w:t>建设地点</w:t>
            </w:r>
          </w:p>
        </w:tc>
        <w:tc>
          <w:tcPr>
            <w:tcW w:w="7080" w:type="dxa"/>
            <w:gridSpan w:val="3"/>
            <w:vAlign w:val="center"/>
          </w:tcPr>
          <w:p w14:paraId="3208A2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w:t>
            </w:r>
          </w:p>
        </w:tc>
      </w:tr>
      <w:tr w14:paraId="5C330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1" w:type="dxa"/>
            <w:tcMar>
              <w:top w:w="16" w:type="dxa"/>
              <w:left w:w="16" w:type="dxa"/>
              <w:right w:w="16" w:type="dxa"/>
            </w:tcMar>
            <w:vAlign w:val="center"/>
          </w:tcPr>
          <w:p w14:paraId="5769184C">
            <w:pPr>
              <w:spacing w:line="460" w:lineRule="exact"/>
              <w:ind w:firstLine="0" w:firstLineChars="0"/>
              <w:jc w:val="center"/>
              <w:rPr>
                <w:rFonts w:ascii="宋体" w:hAnsi="宋体" w:cs="宋体"/>
                <w:color w:val="auto"/>
                <w:szCs w:val="21"/>
              </w:rPr>
            </w:pPr>
            <w:r>
              <w:rPr>
                <w:rFonts w:hint="eastAsia" w:ascii="宋体" w:hAnsi="宋体" w:cs="宋体"/>
                <w:color w:val="auto"/>
                <w:szCs w:val="21"/>
              </w:rPr>
              <w:t>地理坐标</w:t>
            </w:r>
          </w:p>
        </w:tc>
        <w:tc>
          <w:tcPr>
            <w:tcW w:w="7080" w:type="dxa"/>
            <w:gridSpan w:val="3"/>
            <w:vAlign w:val="center"/>
          </w:tcPr>
          <w:p w14:paraId="77ECB16E">
            <w:pPr>
              <w:spacing w:line="460" w:lineRule="exact"/>
              <w:ind w:firstLine="0" w:firstLineChars="0"/>
              <w:jc w:val="center"/>
              <w:rPr>
                <w:rFonts w:ascii="宋体" w:hAnsi="宋体" w:cs="宋体"/>
                <w:color w:val="auto"/>
                <w:szCs w:val="21"/>
              </w:rPr>
            </w:pPr>
            <w:r>
              <w:rPr>
                <w:rFonts w:hint="eastAsia" w:ascii="宋体" w:hAnsi="宋体" w:cs="宋体"/>
                <w:color w:val="auto"/>
                <w:szCs w:val="21"/>
                <w:lang w:val="en-US" w:eastAsia="zh-CN"/>
              </w:rPr>
              <w:t>*</w:t>
            </w:r>
          </w:p>
        </w:tc>
      </w:tr>
      <w:tr w14:paraId="10CEC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1" w:type="dxa"/>
            <w:tcMar>
              <w:top w:w="16" w:type="dxa"/>
              <w:left w:w="16" w:type="dxa"/>
              <w:right w:w="16" w:type="dxa"/>
            </w:tcMar>
            <w:vAlign w:val="center"/>
          </w:tcPr>
          <w:p w14:paraId="7F7F08DC">
            <w:pPr>
              <w:spacing w:line="460" w:lineRule="exact"/>
              <w:ind w:firstLine="0" w:firstLineChars="0"/>
              <w:jc w:val="center"/>
              <w:rPr>
                <w:rFonts w:ascii="宋体" w:hAnsi="宋体" w:cs="宋体"/>
                <w:color w:val="auto"/>
                <w:szCs w:val="21"/>
              </w:rPr>
            </w:pPr>
            <w:r>
              <w:rPr>
                <w:rFonts w:hint="eastAsia" w:ascii="宋体" w:hAnsi="宋体" w:cs="宋体"/>
                <w:color w:val="auto"/>
                <w:szCs w:val="21"/>
              </w:rPr>
              <w:t>国民经济</w:t>
            </w:r>
          </w:p>
          <w:p w14:paraId="13D9F85C">
            <w:pPr>
              <w:spacing w:line="460" w:lineRule="exact"/>
              <w:ind w:firstLine="0" w:firstLineChars="0"/>
              <w:jc w:val="center"/>
              <w:rPr>
                <w:rFonts w:ascii="宋体" w:hAnsi="宋体" w:cs="宋体"/>
                <w:color w:val="auto"/>
                <w:szCs w:val="21"/>
              </w:rPr>
            </w:pPr>
            <w:r>
              <w:rPr>
                <w:rFonts w:hint="eastAsia" w:ascii="宋体" w:hAnsi="宋体" w:cs="宋体"/>
                <w:color w:val="auto"/>
                <w:szCs w:val="21"/>
              </w:rPr>
              <w:t>行业类别</w:t>
            </w:r>
          </w:p>
        </w:tc>
        <w:tc>
          <w:tcPr>
            <w:tcW w:w="2239" w:type="dxa"/>
            <w:vAlign w:val="center"/>
          </w:tcPr>
          <w:p w14:paraId="57F74483">
            <w:pPr>
              <w:spacing w:line="460" w:lineRule="exact"/>
              <w:ind w:firstLine="0" w:firstLineChars="0"/>
              <w:jc w:val="center"/>
              <w:rPr>
                <w:color w:val="auto"/>
              </w:rPr>
            </w:pPr>
            <w:r>
              <w:rPr>
                <w:rFonts w:hint="eastAsia"/>
                <w:color w:val="auto"/>
                <w:sz w:val="24"/>
                <w:szCs w:val="24"/>
                <w:lang w:eastAsia="zh-CN"/>
              </w:rPr>
              <w:t>〔</w:t>
            </w:r>
            <w:r>
              <w:rPr>
                <w:color w:val="auto"/>
              </w:rPr>
              <w:t>C30</w:t>
            </w:r>
            <w:r>
              <w:rPr>
                <w:rFonts w:hint="eastAsia"/>
                <w:color w:val="auto"/>
                <w:lang w:val="en-US" w:eastAsia="zh-CN"/>
              </w:rPr>
              <w:t>2</w:t>
            </w:r>
            <w:r>
              <w:rPr>
                <w:color w:val="auto"/>
              </w:rPr>
              <w:t>9</w:t>
            </w:r>
            <w:r>
              <w:rPr>
                <w:rFonts w:hint="eastAsia"/>
                <w:color w:val="auto"/>
                <w:sz w:val="24"/>
                <w:szCs w:val="24"/>
                <w:lang w:eastAsia="zh-CN"/>
              </w:rPr>
              <w:t>〕</w:t>
            </w:r>
            <w:r>
              <w:rPr>
                <w:rFonts w:hint="eastAsia"/>
                <w:color w:val="auto"/>
                <w:sz w:val="24"/>
                <w:szCs w:val="24"/>
                <w:lang w:val="en-US" w:eastAsia="zh-CN"/>
              </w:rPr>
              <w:t>其他水泥类似制品制造</w:t>
            </w:r>
          </w:p>
        </w:tc>
        <w:tc>
          <w:tcPr>
            <w:tcW w:w="1728" w:type="dxa"/>
            <w:vAlign w:val="center"/>
          </w:tcPr>
          <w:p w14:paraId="626BE565">
            <w:pPr>
              <w:spacing w:line="460" w:lineRule="exact"/>
              <w:ind w:firstLine="0" w:firstLineChars="0"/>
              <w:jc w:val="center"/>
              <w:rPr>
                <w:rFonts w:ascii="宋体" w:hAnsi="宋体" w:cs="宋体"/>
                <w:color w:val="auto"/>
                <w:szCs w:val="21"/>
              </w:rPr>
            </w:pPr>
            <w:bookmarkStart w:id="0" w:name="_Hlk49843745"/>
            <w:r>
              <w:rPr>
                <w:rFonts w:hint="eastAsia" w:ascii="宋体" w:hAnsi="宋体" w:cs="宋体"/>
                <w:color w:val="auto"/>
                <w:szCs w:val="21"/>
              </w:rPr>
              <w:t>建设项目</w:t>
            </w:r>
          </w:p>
          <w:p w14:paraId="33EC8698">
            <w:pPr>
              <w:spacing w:line="460" w:lineRule="exact"/>
              <w:ind w:firstLine="0" w:firstLineChars="0"/>
              <w:jc w:val="center"/>
              <w:rPr>
                <w:rFonts w:ascii="宋体" w:hAnsi="宋体" w:cs="宋体"/>
                <w:color w:val="auto"/>
                <w:szCs w:val="21"/>
              </w:rPr>
            </w:pPr>
            <w:r>
              <w:rPr>
                <w:rFonts w:hint="eastAsia" w:ascii="宋体" w:hAnsi="宋体" w:cs="宋体"/>
                <w:color w:val="auto"/>
                <w:szCs w:val="21"/>
              </w:rPr>
              <w:t>行业类别</w:t>
            </w:r>
            <w:bookmarkEnd w:id="0"/>
          </w:p>
        </w:tc>
        <w:tc>
          <w:tcPr>
            <w:tcW w:w="3113" w:type="dxa"/>
            <w:vAlign w:val="center"/>
          </w:tcPr>
          <w:p w14:paraId="08D07391">
            <w:pPr>
              <w:spacing w:line="460" w:lineRule="exact"/>
              <w:ind w:firstLine="0" w:firstLineChars="0"/>
              <w:jc w:val="center"/>
              <w:rPr>
                <w:rFonts w:ascii="宋体" w:hAnsi="宋体" w:cs="宋体"/>
                <w:color w:val="auto"/>
                <w:szCs w:val="21"/>
              </w:rPr>
            </w:pPr>
            <w:r>
              <w:rPr>
                <w:rFonts w:hint="eastAsia" w:ascii="宋体" w:hAnsi="宋体" w:cs="宋体"/>
                <w:color w:val="auto"/>
                <w:szCs w:val="21"/>
                <w:lang w:val="en-US" w:eastAsia="zh-CN"/>
              </w:rPr>
              <w:t xml:space="preserve">二十七、非金属矿物制品业“石膏、水泥制品及类似制品制造 </w:t>
            </w:r>
            <w:r>
              <w:rPr>
                <w:rFonts w:hint="default" w:ascii="Times New Roman" w:hAnsi="Times New Roman" w:cs="Times New Roman"/>
                <w:color w:val="auto"/>
                <w:szCs w:val="21"/>
                <w:lang w:val="en-US" w:eastAsia="zh-CN"/>
              </w:rPr>
              <w:t>302</w:t>
            </w:r>
            <w:r>
              <w:rPr>
                <w:rFonts w:hint="eastAsia" w:ascii="宋体" w:hAnsi="宋体" w:cs="宋体"/>
                <w:color w:val="auto"/>
                <w:szCs w:val="21"/>
                <w:lang w:val="en-US" w:eastAsia="zh-CN"/>
              </w:rPr>
              <w:t>”</w:t>
            </w:r>
          </w:p>
        </w:tc>
      </w:tr>
      <w:tr w14:paraId="72AAD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1" w:type="dxa"/>
            <w:tcMar>
              <w:top w:w="16" w:type="dxa"/>
              <w:left w:w="16" w:type="dxa"/>
              <w:right w:w="16" w:type="dxa"/>
            </w:tcMar>
            <w:vAlign w:val="center"/>
          </w:tcPr>
          <w:p w14:paraId="7C383701">
            <w:pPr>
              <w:spacing w:line="460" w:lineRule="exact"/>
              <w:ind w:firstLine="0" w:firstLineChars="0"/>
              <w:jc w:val="center"/>
              <w:rPr>
                <w:rFonts w:ascii="宋体" w:hAnsi="宋体" w:cs="宋体"/>
                <w:color w:val="auto"/>
                <w:szCs w:val="21"/>
              </w:rPr>
            </w:pPr>
            <w:r>
              <w:rPr>
                <w:rFonts w:hint="eastAsia" w:ascii="宋体" w:hAnsi="宋体" w:cs="宋体"/>
                <w:color w:val="auto"/>
                <w:szCs w:val="21"/>
              </w:rPr>
              <w:t>建设性质</w:t>
            </w:r>
          </w:p>
        </w:tc>
        <w:tc>
          <w:tcPr>
            <w:tcW w:w="2239" w:type="dxa"/>
            <w:vAlign w:val="center"/>
          </w:tcPr>
          <w:p w14:paraId="01DA927F">
            <w:pPr>
              <w:spacing w:line="460" w:lineRule="exact"/>
              <w:ind w:firstLine="0" w:firstLineChars="0"/>
              <w:jc w:val="left"/>
              <w:rPr>
                <w:rFonts w:ascii="宋体" w:hAnsi="宋体" w:cs="宋体"/>
                <w:color w:val="auto"/>
                <w:szCs w:val="21"/>
              </w:rPr>
            </w:pPr>
            <w:r>
              <w:rPr>
                <w:rFonts w:hint="eastAsia" w:ascii="宋体" w:hAnsi="宋体" w:cs="宋体"/>
                <w:color w:val="auto"/>
                <w:szCs w:val="21"/>
              </w:rPr>
              <w:t>□新建（迁建）</w:t>
            </w:r>
          </w:p>
          <w:p w14:paraId="4F154EFA">
            <w:pPr>
              <w:spacing w:line="460" w:lineRule="exact"/>
              <w:ind w:firstLine="0" w:firstLineChars="0"/>
              <w:jc w:val="left"/>
              <w:rPr>
                <w:rFonts w:ascii="宋体" w:hAnsi="宋体" w:cs="宋体"/>
                <w:color w:val="auto"/>
                <w:szCs w:val="21"/>
              </w:rPr>
            </w:pPr>
            <w:r>
              <w:rPr>
                <w:rFonts w:hint="eastAsia" w:ascii="宋体" w:hAnsi="宋体" w:cs="宋体"/>
                <w:color w:val="auto"/>
                <w:szCs w:val="21"/>
              </w:rPr>
              <w:t>□改建</w:t>
            </w:r>
          </w:p>
          <w:p w14:paraId="1F40C3B4">
            <w:pPr>
              <w:spacing w:line="460" w:lineRule="exact"/>
              <w:ind w:firstLine="0" w:firstLineChars="0"/>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扩建</w:t>
            </w:r>
          </w:p>
          <w:p w14:paraId="00F8BCA1">
            <w:pPr>
              <w:spacing w:line="460" w:lineRule="exact"/>
              <w:ind w:firstLine="0" w:firstLineChars="0"/>
              <w:jc w:val="left"/>
              <w:rPr>
                <w:rFonts w:ascii="宋体" w:hAnsi="宋体" w:cs="宋体"/>
                <w:color w:val="auto"/>
                <w:szCs w:val="21"/>
              </w:rPr>
            </w:pPr>
            <w:r>
              <w:rPr>
                <w:rFonts w:hint="eastAsia" w:ascii="宋体" w:hAnsi="宋体" w:cs="宋体"/>
                <w:color w:val="auto"/>
                <w:szCs w:val="21"/>
              </w:rPr>
              <w:t>□技术改造</w:t>
            </w:r>
          </w:p>
        </w:tc>
        <w:tc>
          <w:tcPr>
            <w:tcW w:w="1728" w:type="dxa"/>
            <w:vAlign w:val="center"/>
          </w:tcPr>
          <w:p w14:paraId="5280068D">
            <w:pPr>
              <w:spacing w:line="460" w:lineRule="exact"/>
              <w:ind w:firstLine="0" w:firstLineChars="0"/>
              <w:jc w:val="center"/>
              <w:rPr>
                <w:rFonts w:ascii="宋体" w:hAnsi="宋体" w:cs="宋体"/>
                <w:color w:val="auto"/>
                <w:szCs w:val="21"/>
              </w:rPr>
            </w:pPr>
            <w:r>
              <w:rPr>
                <w:rFonts w:hint="eastAsia" w:ascii="宋体" w:hAnsi="宋体" w:cs="宋体"/>
                <w:color w:val="auto"/>
                <w:szCs w:val="21"/>
              </w:rPr>
              <w:t>建设项目</w:t>
            </w:r>
          </w:p>
          <w:p w14:paraId="00C6D14C">
            <w:pPr>
              <w:spacing w:line="460" w:lineRule="exact"/>
              <w:ind w:firstLine="0" w:firstLineChars="0"/>
              <w:jc w:val="center"/>
              <w:rPr>
                <w:rFonts w:ascii="宋体" w:hAnsi="宋体" w:cs="宋体"/>
                <w:color w:val="auto"/>
                <w:szCs w:val="21"/>
              </w:rPr>
            </w:pPr>
            <w:r>
              <w:rPr>
                <w:rFonts w:hint="eastAsia" w:ascii="宋体" w:hAnsi="宋体" w:cs="宋体"/>
                <w:color w:val="auto"/>
                <w:szCs w:val="21"/>
              </w:rPr>
              <w:t>申报情形</w:t>
            </w:r>
          </w:p>
        </w:tc>
        <w:tc>
          <w:tcPr>
            <w:tcW w:w="3113" w:type="dxa"/>
            <w:vAlign w:val="center"/>
          </w:tcPr>
          <w:p w14:paraId="11A31F7A">
            <w:pPr>
              <w:spacing w:line="460" w:lineRule="exact"/>
              <w:ind w:firstLine="0" w:firstLineChars="0"/>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首次申报项目</w:t>
            </w:r>
          </w:p>
          <w:p w14:paraId="1236C0AD">
            <w:pPr>
              <w:spacing w:line="460" w:lineRule="exact"/>
              <w:ind w:firstLine="0" w:firstLineChars="0"/>
              <w:jc w:val="left"/>
              <w:rPr>
                <w:rFonts w:ascii="宋体" w:hAnsi="宋体" w:cs="宋体"/>
                <w:color w:val="auto"/>
                <w:szCs w:val="21"/>
              </w:rPr>
            </w:pPr>
            <w:r>
              <w:rPr>
                <w:rFonts w:hint="eastAsia" w:ascii="宋体" w:hAnsi="宋体" w:cs="宋体"/>
                <w:color w:val="auto"/>
                <w:szCs w:val="21"/>
              </w:rPr>
              <w:t>□不予批准后再次申报项目</w:t>
            </w:r>
          </w:p>
          <w:p w14:paraId="75CFEAAA">
            <w:pPr>
              <w:spacing w:line="460" w:lineRule="exact"/>
              <w:ind w:firstLine="0" w:firstLineChars="0"/>
              <w:jc w:val="left"/>
              <w:rPr>
                <w:rFonts w:ascii="宋体" w:hAnsi="宋体" w:cs="宋体"/>
                <w:color w:val="auto"/>
                <w:szCs w:val="21"/>
              </w:rPr>
            </w:pPr>
            <w:r>
              <w:rPr>
                <w:rFonts w:hint="eastAsia" w:ascii="宋体" w:hAnsi="宋体" w:cs="宋体"/>
                <w:color w:val="auto"/>
                <w:szCs w:val="21"/>
              </w:rPr>
              <w:t>□超五年重新审核项目</w:t>
            </w:r>
          </w:p>
          <w:p w14:paraId="61CAF2EF">
            <w:pPr>
              <w:spacing w:line="460" w:lineRule="exact"/>
              <w:ind w:firstLine="0" w:firstLineChars="0"/>
              <w:jc w:val="left"/>
              <w:rPr>
                <w:rFonts w:ascii="宋体" w:hAnsi="宋体" w:cs="宋体"/>
                <w:color w:val="auto"/>
                <w:szCs w:val="21"/>
              </w:rPr>
            </w:pPr>
            <w:r>
              <w:rPr>
                <w:rFonts w:hint="eastAsia" w:ascii="宋体" w:hAnsi="宋体" w:cs="宋体"/>
                <w:color w:val="auto"/>
                <w:szCs w:val="21"/>
              </w:rPr>
              <w:t>□重大变动重新报批项目</w:t>
            </w:r>
          </w:p>
        </w:tc>
      </w:tr>
      <w:tr w14:paraId="711AB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1" w:type="dxa"/>
            <w:tcMar>
              <w:top w:w="16" w:type="dxa"/>
              <w:left w:w="16" w:type="dxa"/>
              <w:right w:w="16" w:type="dxa"/>
            </w:tcMar>
            <w:vAlign w:val="center"/>
          </w:tcPr>
          <w:p w14:paraId="454D2BDF">
            <w:pPr>
              <w:spacing w:line="460" w:lineRule="exact"/>
              <w:ind w:firstLine="0" w:firstLineChars="0"/>
              <w:jc w:val="center"/>
              <w:rPr>
                <w:rFonts w:ascii="宋体" w:hAnsi="宋体" w:cs="宋体"/>
                <w:color w:val="auto"/>
                <w:szCs w:val="21"/>
              </w:rPr>
            </w:pPr>
            <w:r>
              <w:rPr>
                <w:rFonts w:hint="eastAsia" w:ascii="宋体" w:hAnsi="宋体" w:cs="宋体"/>
                <w:color w:val="auto"/>
                <w:szCs w:val="21"/>
              </w:rPr>
              <w:t>项目审批（核准</w:t>
            </w:r>
            <w:r>
              <w:rPr>
                <w:rFonts w:ascii="宋体" w:hAnsi="宋体" w:cs="宋体"/>
                <w:color w:val="auto"/>
                <w:szCs w:val="21"/>
              </w:rPr>
              <w:t>/</w:t>
            </w:r>
            <w:r>
              <w:rPr>
                <w:rFonts w:hint="eastAsia" w:ascii="宋体" w:hAnsi="宋体" w:cs="宋体"/>
                <w:color w:val="auto"/>
                <w:szCs w:val="21"/>
              </w:rPr>
              <w:t>备案）部门（选填）</w:t>
            </w:r>
          </w:p>
        </w:tc>
        <w:tc>
          <w:tcPr>
            <w:tcW w:w="2239" w:type="dxa"/>
            <w:vAlign w:val="center"/>
          </w:tcPr>
          <w:p w14:paraId="0E007AEC">
            <w:pPr>
              <w:spacing w:line="460" w:lineRule="exact"/>
              <w:ind w:firstLine="0" w:firstLineChars="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tc>
        <w:tc>
          <w:tcPr>
            <w:tcW w:w="1728" w:type="dxa"/>
            <w:vAlign w:val="center"/>
          </w:tcPr>
          <w:p w14:paraId="4CFC5642">
            <w:pPr>
              <w:spacing w:line="460" w:lineRule="exact"/>
              <w:ind w:firstLine="0" w:firstLineChars="0"/>
              <w:jc w:val="center"/>
              <w:rPr>
                <w:rFonts w:ascii="宋体" w:hAnsi="宋体" w:cs="宋体"/>
                <w:color w:val="auto"/>
                <w:szCs w:val="21"/>
              </w:rPr>
            </w:pPr>
            <w:r>
              <w:rPr>
                <w:rFonts w:hint="eastAsia" w:ascii="宋体" w:hAnsi="宋体" w:cs="宋体"/>
                <w:color w:val="auto"/>
                <w:szCs w:val="21"/>
              </w:rPr>
              <w:t>项目审批（核准</w:t>
            </w:r>
            <w:r>
              <w:rPr>
                <w:rFonts w:ascii="宋体" w:hAnsi="宋体" w:cs="宋体"/>
                <w:color w:val="auto"/>
                <w:szCs w:val="21"/>
              </w:rPr>
              <w:t>/</w:t>
            </w:r>
          </w:p>
          <w:p w14:paraId="127863D7">
            <w:pPr>
              <w:spacing w:line="460" w:lineRule="exact"/>
              <w:ind w:firstLine="0" w:firstLineChars="0"/>
              <w:jc w:val="center"/>
              <w:rPr>
                <w:rFonts w:ascii="宋体" w:hAnsi="宋体" w:cs="宋体"/>
                <w:color w:val="auto"/>
                <w:szCs w:val="21"/>
              </w:rPr>
            </w:pPr>
            <w:r>
              <w:rPr>
                <w:rFonts w:hint="eastAsia" w:ascii="宋体" w:hAnsi="宋体" w:cs="宋体"/>
                <w:color w:val="auto"/>
                <w:szCs w:val="21"/>
              </w:rPr>
              <w:t>备案）文号（选填）</w:t>
            </w:r>
          </w:p>
        </w:tc>
        <w:tc>
          <w:tcPr>
            <w:tcW w:w="3113" w:type="dxa"/>
            <w:vAlign w:val="center"/>
          </w:tcPr>
          <w:p w14:paraId="4D94E9A1">
            <w:pPr>
              <w:spacing w:line="460" w:lineRule="exact"/>
              <w:ind w:firstLine="0" w:firstLineChars="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tc>
      </w:tr>
      <w:tr w14:paraId="50974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1" w:type="dxa"/>
            <w:tcMar>
              <w:top w:w="16" w:type="dxa"/>
              <w:left w:w="16" w:type="dxa"/>
              <w:right w:w="16" w:type="dxa"/>
            </w:tcMar>
            <w:vAlign w:val="center"/>
          </w:tcPr>
          <w:p w14:paraId="58F06A7C">
            <w:pPr>
              <w:spacing w:line="240" w:lineRule="auto"/>
              <w:ind w:firstLine="0" w:firstLineChars="0"/>
              <w:jc w:val="center"/>
              <w:rPr>
                <w:rFonts w:ascii="宋体" w:hAnsi="宋体" w:cs="宋体"/>
                <w:color w:val="auto"/>
                <w:szCs w:val="21"/>
              </w:rPr>
            </w:pPr>
            <w:r>
              <w:rPr>
                <w:rFonts w:hint="eastAsia" w:ascii="宋体" w:hAnsi="宋体" w:cs="宋体"/>
                <w:color w:val="auto"/>
                <w:szCs w:val="21"/>
              </w:rPr>
              <w:t>总投资（万元）</w:t>
            </w:r>
          </w:p>
        </w:tc>
        <w:tc>
          <w:tcPr>
            <w:tcW w:w="2239" w:type="dxa"/>
            <w:vAlign w:val="center"/>
          </w:tcPr>
          <w:p w14:paraId="41425326">
            <w:pPr>
              <w:spacing w:line="240" w:lineRule="auto"/>
              <w:ind w:firstLine="0" w:firstLineChars="0"/>
              <w:jc w:val="center"/>
              <w:rPr>
                <w:rFonts w:hint="default" w:eastAsia="宋体"/>
                <w:color w:val="auto"/>
                <w:lang w:val="en-US" w:eastAsia="zh-CN"/>
              </w:rPr>
            </w:pPr>
            <w:r>
              <w:rPr>
                <w:rFonts w:hint="eastAsia"/>
                <w:color w:val="auto"/>
                <w:lang w:val="en-US" w:eastAsia="zh-CN"/>
              </w:rPr>
              <w:t>600</w:t>
            </w:r>
          </w:p>
        </w:tc>
        <w:tc>
          <w:tcPr>
            <w:tcW w:w="1728" w:type="dxa"/>
            <w:tcMar>
              <w:top w:w="16" w:type="dxa"/>
              <w:left w:w="16" w:type="dxa"/>
              <w:right w:w="16" w:type="dxa"/>
            </w:tcMar>
            <w:vAlign w:val="center"/>
          </w:tcPr>
          <w:p w14:paraId="5E56E195">
            <w:pPr>
              <w:spacing w:line="240" w:lineRule="auto"/>
              <w:ind w:firstLine="0" w:firstLineChars="0"/>
              <w:jc w:val="center"/>
              <w:rPr>
                <w:rFonts w:ascii="宋体" w:hAnsi="宋体" w:cs="宋体"/>
                <w:color w:val="auto"/>
                <w:szCs w:val="21"/>
              </w:rPr>
            </w:pPr>
            <w:r>
              <w:rPr>
                <w:rFonts w:hint="eastAsia" w:ascii="宋体" w:hAnsi="宋体" w:cs="宋体"/>
                <w:color w:val="auto"/>
                <w:szCs w:val="21"/>
              </w:rPr>
              <w:t>环保投资（万元）</w:t>
            </w:r>
          </w:p>
        </w:tc>
        <w:tc>
          <w:tcPr>
            <w:tcW w:w="3113" w:type="dxa"/>
            <w:vAlign w:val="center"/>
          </w:tcPr>
          <w:p w14:paraId="03086579">
            <w:pPr>
              <w:spacing w:line="240" w:lineRule="auto"/>
              <w:ind w:firstLine="0" w:firstLineChars="0"/>
              <w:jc w:val="center"/>
              <w:rPr>
                <w:rFonts w:hint="default" w:eastAsia="宋体"/>
                <w:color w:val="auto"/>
                <w:lang w:val="en-US" w:eastAsia="zh-CN"/>
              </w:rPr>
            </w:pPr>
            <w:r>
              <w:rPr>
                <w:rStyle w:val="47"/>
                <w:rFonts w:hint="eastAsia"/>
                <w:color w:val="auto"/>
                <w:lang w:val="en-US" w:eastAsia="zh-CN"/>
              </w:rPr>
              <w:t>30</w:t>
            </w:r>
          </w:p>
        </w:tc>
      </w:tr>
      <w:tr w14:paraId="10CC0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1" w:type="dxa"/>
            <w:tcMar>
              <w:top w:w="16" w:type="dxa"/>
              <w:left w:w="16" w:type="dxa"/>
              <w:right w:w="16" w:type="dxa"/>
            </w:tcMar>
            <w:vAlign w:val="center"/>
          </w:tcPr>
          <w:p w14:paraId="0A0A1B1A">
            <w:pPr>
              <w:spacing w:line="240" w:lineRule="auto"/>
              <w:ind w:firstLine="0" w:firstLineChars="0"/>
              <w:jc w:val="center"/>
              <w:rPr>
                <w:rFonts w:ascii="宋体" w:hAnsi="宋体" w:cs="宋体"/>
                <w:color w:val="auto"/>
                <w:szCs w:val="21"/>
              </w:rPr>
            </w:pPr>
            <w:r>
              <w:rPr>
                <w:rFonts w:hint="eastAsia" w:ascii="宋体" w:hAnsi="宋体" w:cs="宋体"/>
                <w:color w:val="auto"/>
                <w:szCs w:val="21"/>
              </w:rPr>
              <w:t>环保投资占比（</w:t>
            </w:r>
            <w:r>
              <w:rPr>
                <w:color w:val="auto"/>
                <w:szCs w:val="21"/>
              </w:rPr>
              <w:t>%</w:t>
            </w:r>
            <w:r>
              <w:rPr>
                <w:rFonts w:hint="eastAsia" w:ascii="宋体" w:hAnsi="宋体" w:cs="宋体"/>
                <w:color w:val="auto"/>
                <w:szCs w:val="21"/>
              </w:rPr>
              <w:t>）</w:t>
            </w:r>
          </w:p>
        </w:tc>
        <w:tc>
          <w:tcPr>
            <w:tcW w:w="2239" w:type="dxa"/>
            <w:vAlign w:val="center"/>
          </w:tcPr>
          <w:p w14:paraId="47D87A2E">
            <w:pPr>
              <w:spacing w:line="240" w:lineRule="auto"/>
              <w:ind w:firstLine="0" w:firstLineChars="0"/>
              <w:jc w:val="center"/>
              <w:rPr>
                <w:rFonts w:hint="default" w:eastAsia="宋体"/>
                <w:color w:val="auto"/>
                <w:lang w:val="en-US" w:eastAsia="zh-CN"/>
              </w:rPr>
            </w:pPr>
            <w:r>
              <w:rPr>
                <w:rStyle w:val="47"/>
                <w:rFonts w:hint="eastAsia"/>
                <w:color w:val="auto"/>
                <w:lang w:val="en-US" w:eastAsia="zh-CN"/>
              </w:rPr>
              <w:t>5</w:t>
            </w:r>
          </w:p>
        </w:tc>
        <w:tc>
          <w:tcPr>
            <w:tcW w:w="1728" w:type="dxa"/>
            <w:tcMar>
              <w:top w:w="16" w:type="dxa"/>
              <w:left w:w="16" w:type="dxa"/>
              <w:right w:w="16" w:type="dxa"/>
            </w:tcMar>
            <w:vAlign w:val="center"/>
          </w:tcPr>
          <w:p w14:paraId="245A65C5">
            <w:pPr>
              <w:spacing w:line="240" w:lineRule="auto"/>
              <w:ind w:firstLine="0" w:firstLineChars="0"/>
              <w:jc w:val="center"/>
              <w:rPr>
                <w:rFonts w:ascii="宋体" w:hAnsi="宋体" w:cs="宋体"/>
                <w:color w:val="auto"/>
                <w:szCs w:val="21"/>
              </w:rPr>
            </w:pPr>
            <w:r>
              <w:rPr>
                <w:rFonts w:hint="eastAsia" w:ascii="宋体" w:hAnsi="宋体" w:cs="宋体"/>
                <w:color w:val="auto"/>
                <w:szCs w:val="21"/>
              </w:rPr>
              <w:t>施工工期</w:t>
            </w:r>
          </w:p>
        </w:tc>
        <w:tc>
          <w:tcPr>
            <w:tcW w:w="3113" w:type="dxa"/>
            <w:vAlign w:val="center"/>
          </w:tcPr>
          <w:p w14:paraId="7F5601E0">
            <w:pPr>
              <w:spacing w:line="240" w:lineRule="auto"/>
              <w:ind w:firstLine="0" w:firstLineChars="0"/>
              <w:jc w:val="center"/>
              <w:rPr>
                <w:color w:val="auto"/>
              </w:rPr>
            </w:pPr>
            <w:r>
              <w:rPr>
                <w:rFonts w:hint="eastAsia"/>
                <w:color w:val="auto"/>
                <w:lang w:val="en-US" w:eastAsia="zh-CN"/>
              </w:rPr>
              <w:t>5个月</w:t>
            </w:r>
          </w:p>
        </w:tc>
      </w:tr>
      <w:tr w14:paraId="44463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1" w:type="dxa"/>
            <w:tcMar>
              <w:top w:w="16" w:type="dxa"/>
              <w:left w:w="16" w:type="dxa"/>
              <w:right w:w="16" w:type="dxa"/>
            </w:tcMar>
            <w:vAlign w:val="center"/>
          </w:tcPr>
          <w:p w14:paraId="2C794254">
            <w:pPr>
              <w:spacing w:line="460" w:lineRule="exact"/>
              <w:ind w:firstLine="0" w:firstLineChars="0"/>
              <w:jc w:val="center"/>
              <w:rPr>
                <w:rFonts w:ascii="宋体" w:hAnsi="宋体" w:cs="宋体"/>
                <w:color w:val="auto"/>
                <w:szCs w:val="21"/>
              </w:rPr>
            </w:pPr>
            <w:r>
              <w:rPr>
                <w:rFonts w:hint="eastAsia" w:ascii="宋体" w:hAnsi="宋体" w:cs="宋体"/>
                <w:color w:val="auto"/>
                <w:szCs w:val="21"/>
              </w:rPr>
              <w:t>是否开工建设</w:t>
            </w:r>
          </w:p>
        </w:tc>
        <w:tc>
          <w:tcPr>
            <w:tcW w:w="2239" w:type="dxa"/>
            <w:vAlign w:val="center"/>
          </w:tcPr>
          <w:p w14:paraId="66A2E737">
            <w:pPr>
              <w:spacing w:line="460" w:lineRule="exact"/>
              <w:ind w:firstLine="0" w:firstLineChars="0"/>
              <w:jc w:val="center"/>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否</w:t>
            </w:r>
          </w:p>
          <w:p w14:paraId="5F8D9BB5">
            <w:pPr>
              <w:spacing w:line="460" w:lineRule="exact"/>
              <w:ind w:firstLine="0" w:firstLineChars="0"/>
              <w:jc w:val="center"/>
              <w:rPr>
                <w:rFonts w:ascii="宋体" w:hAnsi="宋体" w:cs="宋体"/>
                <w:color w:val="auto"/>
                <w:szCs w:val="21"/>
              </w:rPr>
            </w:pPr>
            <w:r>
              <w:rPr>
                <w:rFonts w:hint="eastAsia" w:ascii="宋体" w:hAnsi="宋体" w:cs="宋体"/>
                <w:color w:val="auto"/>
                <w:szCs w:val="21"/>
              </w:rPr>
              <w:t>□是</w:t>
            </w:r>
          </w:p>
        </w:tc>
        <w:tc>
          <w:tcPr>
            <w:tcW w:w="1728" w:type="dxa"/>
            <w:tcMar>
              <w:top w:w="16" w:type="dxa"/>
              <w:left w:w="16" w:type="dxa"/>
              <w:right w:w="16" w:type="dxa"/>
            </w:tcMar>
            <w:vAlign w:val="center"/>
          </w:tcPr>
          <w:p w14:paraId="4336D645">
            <w:pPr>
              <w:spacing w:line="460" w:lineRule="exact"/>
              <w:ind w:firstLine="0" w:firstLineChars="0"/>
              <w:jc w:val="center"/>
              <w:rPr>
                <w:rFonts w:ascii="宋体" w:hAnsi="宋体" w:cs="宋体"/>
                <w:color w:val="auto"/>
                <w:szCs w:val="21"/>
              </w:rPr>
            </w:pPr>
            <w:r>
              <w:rPr>
                <w:rFonts w:hint="eastAsia" w:ascii="宋体" w:hAnsi="宋体" w:cs="宋体"/>
                <w:color w:val="auto"/>
                <w:spacing w:val="-6"/>
                <w:szCs w:val="21"/>
              </w:rPr>
              <w:t>用地面积（</w:t>
            </w:r>
            <w:r>
              <w:rPr>
                <w:color w:val="auto"/>
                <w:spacing w:val="-6"/>
                <w:szCs w:val="21"/>
              </w:rPr>
              <w:t>m</w:t>
            </w:r>
            <w:r>
              <w:rPr>
                <w:color w:val="auto"/>
                <w:spacing w:val="-6"/>
                <w:szCs w:val="21"/>
                <w:vertAlign w:val="superscript"/>
              </w:rPr>
              <w:t>2</w:t>
            </w:r>
            <w:r>
              <w:rPr>
                <w:rFonts w:hint="eastAsia" w:ascii="宋体" w:hAnsi="宋体" w:cs="宋体"/>
                <w:color w:val="auto"/>
                <w:spacing w:val="-6"/>
                <w:szCs w:val="21"/>
              </w:rPr>
              <w:t>）</w:t>
            </w:r>
          </w:p>
        </w:tc>
        <w:tc>
          <w:tcPr>
            <w:tcW w:w="3113" w:type="dxa"/>
            <w:vAlign w:val="center"/>
          </w:tcPr>
          <w:p w14:paraId="392DACF8">
            <w:pPr>
              <w:spacing w:line="460" w:lineRule="exact"/>
              <w:ind w:firstLine="0" w:firstLineChars="0"/>
              <w:jc w:val="center"/>
              <w:rPr>
                <w:rFonts w:hint="default" w:eastAsia="宋体"/>
                <w:color w:val="auto"/>
                <w:lang w:val="en-US" w:eastAsia="zh-CN"/>
              </w:rPr>
            </w:pPr>
            <w:r>
              <w:rPr>
                <w:rFonts w:hint="eastAsia"/>
                <w:color w:val="auto"/>
                <w:lang w:val="en-US" w:eastAsia="zh-CN"/>
              </w:rPr>
              <w:t>2600</w:t>
            </w:r>
          </w:p>
        </w:tc>
      </w:tr>
      <w:tr w14:paraId="57FA7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1" w:type="dxa"/>
            <w:vAlign w:val="center"/>
          </w:tcPr>
          <w:p w14:paraId="3C152B2A">
            <w:pPr>
              <w:autoSpaceDE w:val="0"/>
              <w:autoSpaceDN w:val="0"/>
              <w:spacing w:line="240" w:lineRule="auto"/>
              <w:ind w:firstLine="0" w:firstLineChars="0"/>
              <w:jc w:val="center"/>
              <w:rPr>
                <w:rFonts w:ascii="宋体" w:hAnsi="宋体" w:cs="宋体"/>
                <w:color w:val="auto"/>
                <w:kern w:val="0"/>
                <w:szCs w:val="21"/>
              </w:rPr>
            </w:pPr>
            <w:r>
              <w:rPr>
                <w:rFonts w:hint="eastAsia" w:ascii="宋体" w:hAnsi="宋体" w:cs="宋体"/>
                <w:color w:val="auto"/>
                <w:kern w:val="0"/>
                <w:szCs w:val="21"/>
              </w:rPr>
              <w:t>专项评价设置情况</w:t>
            </w:r>
          </w:p>
        </w:tc>
        <w:tc>
          <w:tcPr>
            <w:tcW w:w="7080" w:type="dxa"/>
            <w:gridSpan w:val="3"/>
            <w:vAlign w:val="center"/>
          </w:tcPr>
          <w:p w14:paraId="1BE2D793">
            <w:pPr>
              <w:autoSpaceDE w:val="0"/>
              <w:autoSpaceDN w:val="0"/>
              <w:spacing w:line="240" w:lineRule="auto"/>
              <w:ind w:firstLine="0" w:firstLineChars="0"/>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r>
      <w:tr w14:paraId="2A790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1" w:type="dxa"/>
            <w:vAlign w:val="center"/>
          </w:tcPr>
          <w:p w14:paraId="455AC8C2">
            <w:pPr>
              <w:autoSpaceDE w:val="0"/>
              <w:autoSpaceDN w:val="0"/>
              <w:spacing w:line="240" w:lineRule="auto"/>
              <w:ind w:firstLine="0" w:firstLineChars="0"/>
              <w:jc w:val="center"/>
              <w:rPr>
                <w:rFonts w:ascii="宋体" w:hAnsi="宋体" w:cs="宋体"/>
                <w:color w:val="auto"/>
                <w:kern w:val="0"/>
                <w:szCs w:val="21"/>
              </w:rPr>
            </w:pPr>
            <w:r>
              <w:rPr>
                <w:rFonts w:hint="eastAsia" w:ascii="宋体" w:hAnsi="宋体" w:cs="宋体"/>
                <w:color w:val="auto"/>
                <w:szCs w:val="21"/>
              </w:rPr>
              <w:t>规划情况</w:t>
            </w:r>
          </w:p>
        </w:tc>
        <w:tc>
          <w:tcPr>
            <w:tcW w:w="7080" w:type="dxa"/>
            <w:gridSpan w:val="3"/>
            <w:vAlign w:val="center"/>
          </w:tcPr>
          <w:p w14:paraId="2A975080">
            <w:pPr>
              <w:autoSpaceDE w:val="0"/>
              <w:autoSpaceDN w:val="0"/>
              <w:spacing w:line="240" w:lineRule="auto"/>
              <w:ind w:firstLine="0" w:firstLineChars="0"/>
              <w:jc w:val="center"/>
              <w:rPr>
                <w:rFonts w:ascii="宋体" w:hAnsi="宋体" w:cs="宋体"/>
                <w:color w:val="auto"/>
                <w:kern w:val="0"/>
                <w:szCs w:val="21"/>
              </w:rPr>
            </w:pPr>
            <w:r>
              <w:rPr>
                <w:rFonts w:hint="eastAsia"/>
                <w:color w:val="auto"/>
                <w:lang w:val="en-US" w:eastAsia="zh-CN"/>
              </w:rPr>
              <w:t>无</w:t>
            </w:r>
          </w:p>
        </w:tc>
      </w:tr>
      <w:tr w14:paraId="7B4FC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1" w:type="dxa"/>
            <w:vAlign w:val="center"/>
          </w:tcPr>
          <w:p w14:paraId="6CEADC05">
            <w:pPr>
              <w:spacing w:line="240" w:lineRule="auto"/>
              <w:ind w:firstLine="0" w:firstLineChars="0"/>
              <w:jc w:val="center"/>
              <w:rPr>
                <w:rFonts w:ascii="宋体" w:hAnsi="宋体" w:cs="宋体"/>
                <w:color w:val="auto"/>
                <w:szCs w:val="21"/>
              </w:rPr>
            </w:pPr>
            <w:r>
              <w:rPr>
                <w:rFonts w:hint="eastAsia" w:ascii="宋体" w:hAnsi="宋体" w:cs="宋体"/>
                <w:color w:val="auto"/>
                <w:szCs w:val="21"/>
              </w:rPr>
              <w:t>规划环境影响</w:t>
            </w:r>
          </w:p>
          <w:p w14:paraId="354B62BA">
            <w:pPr>
              <w:spacing w:line="240" w:lineRule="auto"/>
              <w:ind w:firstLine="0" w:firstLineChars="0"/>
              <w:jc w:val="center"/>
              <w:rPr>
                <w:rFonts w:ascii="宋体" w:hAnsi="宋体" w:cs="宋体"/>
                <w:color w:val="auto"/>
                <w:kern w:val="0"/>
                <w:szCs w:val="21"/>
              </w:rPr>
            </w:pPr>
            <w:r>
              <w:rPr>
                <w:rFonts w:hint="eastAsia" w:ascii="宋体" w:hAnsi="宋体" w:cs="宋体"/>
                <w:color w:val="auto"/>
                <w:szCs w:val="21"/>
              </w:rPr>
              <w:t>评价情况</w:t>
            </w:r>
          </w:p>
        </w:tc>
        <w:tc>
          <w:tcPr>
            <w:tcW w:w="7080" w:type="dxa"/>
            <w:gridSpan w:val="3"/>
            <w:vAlign w:val="center"/>
          </w:tcPr>
          <w:p w14:paraId="4AF99AB8">
            <w:pPr>
              <w:autoSpaceDE w:val="0"/>
              <w:autoSpaceDN w:val="0"/>
              <w:spacing w:line="240" w:lineRule="auto"/>
              <w:ind w:firstLine="0" w:firstLineChars="0"/>
              <w:jc w:val="center"/>
              <w:rPr>
                <w:rFonts w:ascii="宋体" w:hAnsi="宋体" w:cs="宋体"/>
                <w:color w:val="auto"/>
                <w:kern w:val="0"/>
                <w:szCs w:val="21"/>
              </w:rPr>
            </w:pPr>
            <w:r>
              <w:rPr>
                <w:rFonts w:hint="eastAsia"/>
                <w:color w:val="auto"/>
                <w:kern w:val="0"/>
              </w:rPr>
              <w:t>无</w:t>
            </w:r>
          </w:p>
        </w:tc>
      </w:tr>
      <w:tr w14:paraId="60013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1" w:type="dxa"/>
            <w:shd w:val="clear" w:color="auto" w:fill="auto"/>
            <w:vAlign w:val="center"/>
          </w:tcPr>
          <w:p w14:paraId="2AC80157">
            <w:pPr>
              <w:autoSpaceDE w:val="0"/>
              <w:autoSpaceDN w:val="0"/>
              <w:spacing w:line="240" w:lineRule="auto"/>
              <w:ind w:firstLine="0" w:firstLineChars="0"/>
              <w:jc w:val="center"/>
              <w:rPr>
                <w:rFonts w:hint="eastAsia" w:ascii="宋体" w:hAnsi="宋体" w:eastAsia="宋体" w:cs="宋体"/>
                <w:color w:val="auto"/>
                <w:kern w:val="0"/>
                <w:sz w:val="24"/>
                <w:szCs w:val="21"/>
                <w:lang w:val="en-US" w:eastAsia="zh-CN" w:bidi="ar-SA"/>
              </w:rPr>
            </w:pPr>
            <w:r>
              <w:rPr>
                <w:rFonts w:hint="eastAsia" w:ascii="宋体" w:hAnsi="宋体" w:cs="宋体"/>
                <w:color w:val="auto"/>
                <w:kern w:val="0"/>
                <w:szCs w:val="21"/>
              </w:rPr>
              <w:t>规划及规划环境影响评价符合性分析</w:t>
            </w:r>
          </w:p>
        </w:tc>
        <w:tc>
          <w:tcPr>
            <w:tcW w:w="7080" w:type="dxa"/>
            <w:gridSpan w:val="3"/>
            <w:shd w:val="clear" w:color="auto" w:fill="auto"/>
            <w:vAlign w:val="center"/>
          </w:tcPr>
          <w:p w14:paraId="319941A4">
            <w:pPr>
              <w:spacing w:line="240" w:lineRule="auto"/>
              <w:ind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无</w:t>
            </w:r>
          </w:p>
        </w:tc>
      </w:tr>
    </w:tbl>
    <w:p w14:paraId="347EA948">
      <w:pPr>
        <w:outlineLvl w:val="0"/>
        <w:rPr>
          <w:rFonts w:eastAsia="黑体"/>
          <w:color w:val="auto"/>
          <w:sz w:val="30"/>
        </w:rPr>
        <w:sectPr>
          <w:footerReference r:id="rId5" w:type="default"/>
          <w:pgSz w:w="11906" w:h="16838"/>
          <w:pgMar w:top="1701" w:right="1531" w:bottom="1701" w:left="1531" w:header="851" w:footer="1077" w:gutter="0"/>
          <w:pgNumType w:fmt="decimal" w:start="1"/>
          <w:cols w:space="720" w:num="1"/>
          <w:docGrid w:linePitch="312" w:charSpace="0"/>
        </w:sectPr>
      </w:pPr>
    </w:p>
    <w:tbl>
      <w:tblPr>
        <w:tblStyle w:val="26"/>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3"/>
        <w:gridCol w:w="8297"/>
      </w:tblGrid>
      <w:tr w14:paraId="76FF4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292" w:hRule="atLeast"/>
          <w:jc w:val="center"/>
        </w:trPr>
        <w:tc>
          <w:tcPr>
            <w:tcW w:w="573" w:type="dxa"/>
            <w:vAlign w:val="center"/>
          </w:tcPr>
          <w:p w14:paraId="4C31AA36">
            <w:pPr>
              <w:autoSpaceDE w:val="0"/>
              <w:autoSpaceDN w:val="0"/>
              <w:ind w:firstLine="0" w:firstLineChars="0"/>
              <w:jc w:val="center"/>
              <w:rPr>
                <w:rFonts w:ascii="宋体" w:hAnsi="宋体" w:cs="宋体"/>
                <w:color w:val="auto"/>
                <w:kern w:val="0"/>
                <w:szCs w:val="21"/>
              </w:rPr>
            </w:pPr>
            <w:r>
              <w:rPr>
                <w:rFonts w:hint="eastAsia" w:ascii="宋体" w:hAnsi="宋体" w:cs="宋体"/>
                <w:color w:val="auto"/>
                <w:kern w:val="0"/>
                <w:szCs w:val="21"/>
              </w:rPr>
              <w:t>其他符合性分析</w:t>
            </w:r>
          </w:p>
        </w:tc>
        <w:tc>
          <w:tcPr>
            <w:tcW w:w="8297" w:type="dxa"/>
            <w:vAlign w:val="center"/>
          </w:tcPr>
          <w:p w14:paraId="02A762D7">
            <w:pPr>
              <w:autoSpaceDE w:val="0"/>
              <w:autoSpaceDN w:val="0"/>
              <w:ind w:firstLine="0" w:firstLineChars="0"/>
              <w:rPr>
                <w:b/>
                <w:bCs/>
                <w:color w:val="auto"/>
              </w:rPr>
            </w:pPr>
            <w:r>
              <w:rPr>
                <w:rFonts w:hint="eastAsia"/>
                <w:b/>
                <w:bCs/>
                <w:color w:val="auto"/>
              </w:rPr>
              <w:t>1、选址符合性分析</w:t>
            </w:r>
          </w:p>
          <w:p w14:paraId="715E6326">
            <w:pPr>
              <w:ind w:firstLine="480"/>
              <w:rPr>
                <w:color w:val="auto"/>
              </w:rPr>
            </w:pPr>
            <w:r>
              <w:rPr>
                <w:rFonts w:hint="eastAsia"/>
                <w:color w:val="auto"/>
              </w:rPr>
              <w:t>（1）用地性质分析</w:t>
            </w:r>
          </w:p>
          <w:p w14:paraId="59CC4DBA">
            <w:pPr>
              <w:ind w:firstLine="480"/>
              <w:rPr>
                <w:color w:val="auto"/>
              </w:rPr>
            </w:pPr>
            <w:r>
              <w:rPr>
                <w:rFonts w:hint="eastAsia"/>
                <w:color w:val="auto"/>
              </w:rPr>
              <w:t>本项目位于</w:t>
            </w:r>
            <w:r>
              <w:rPr>
                <w:rFonts w:hint="eastAsia"/>
                <w:color w:val="auto"/>
                <w:lang w:val="en-US" w:eastAsia="zh-CN"/>
              </w:rPr>
              <w:t>淮北市相山区渠沟镇油坊村</w:t>
            </w:r>
            <w:r>
              <w:rPr>
                <w:rFonts w:hint="eastAsia"/>
                <w:color w:val="auto"/>
              </w:rPr>
              <w:t>，</w:t>
            </w:r>
            <w:r>
              <w:rPr>
                <w:rFonts w:hint="eastAsia" w:cs="Times New Roman"/>
                <w:color w:val="auto"/>
                <w:kern w:val="0"/>
                <w:szCs w:val="21"/>
                <w:lang w:val="en-US" w:eastAsia="zh-CN"/>
              </w:rPr>
              <w:t>根据</w:t>
            </w:r>
            <w:r>
              <w:rPr>
                <w:rFonts w:hint="eastAsia"/>
                <w:color w:val="auto"/>
                <w:lang w:val="en-US" w:eastAsia="zh-CN"/>
              </w:rPr>
              <w:t>淮北市自然资源和规划局相山分局出具的文件，对照淮北市相山区渠沟镇城镇总体规划图，本项目用地性质为工业用地</w:t>
            </w:r>
            <w:r>
              <w:rPr>
                <w:rFonts w:hint="eastAsia"/>
                <w:color w:val="auto"/>
              </w:rPr>
              <w:t>，本项目地块主要从事建材工业生产，为工业项目。</w:t>
            </w:r>
          </w:p>
          <w:p w14:paraId="52CD2BD4">
            <w:pPr>
              <w:autoSpaceDE w:val="0"/>
              <w:autoSpaceDN w:val="0"/>
              <w:ind w:left="480" w:leftChars="200" w:firstLine="0" w:firstLineChars="0"/>
              <w:jc w:val="left"/>
              <w:rPr>
                <w:bCs/>
                <w:color w:val="auto"/>
              </w:rPr>
            </w:pPr>
            <w:r>
              <w:rPr>
                <w:rFonts w:hint="eastAsia"/>
                <w:color w:val="auto"/>
              </w:rPr>
              <w:t>（2）环境相容</w:t>
            </w:r>
            <w:r>
              <w:rPr>
                <w:color w:val="auto"/>
              </w:rPr>
              <w:t>性</w:t>
            </w:r>
          </w:p>
          <w:p w14:paraId="332D133D">
            <w:pPr>
              <w:ind w:firstLine="480"/>
              <w:rPr>
                <w:color w:val="auto"/>
              </w:rPr>
            </w:pPr>
            <w:r>
              <w:rPr>
                <w:rFonts w:hint="eastAsia"/>
                <w:color w:val="auto"/>
              </w:rPr>
              <w:t>本项目位于</w:t>
            </w:r>
            <w:r>
              <w:rPr>
                <w:rFonts w:hint="eastAsia"/>
                <w:color w:val="auto"/>
                <w:lang w:val="en-US" w:eastAsia="zh-CN"/>
              </w:rPr>
              <w:t>淮北市相山区渠沟镇油坊村</w:t>
            </w:r>
            <w:r>
              <w:rPr>
                <w:rFonts w:hint="eastAsia"/>
                <w:color w:val="auto"/>
              </w:rPr>
              <w:t>，本项目为水稳料生产，厂区</w:t>
            </w:r>
            <w:r>
              <w:rPr>
                <w:rFonts w:hint="eastAsia"/>
                <w:color w:val="auto"/>
                <w:lang w:val="en-US" w:eastAsia="zh-CN"/>
              </w:rPr>
              <w:t>北侧</w:t>
            </w:r>
            <w:r>
              <w:rPr>
                <w:rFonts w:hint="eastAsia"/>
                <w:color w:val="auto"/>
              </w:rPr>
              <w:t>为</w:t>
            </w:r>
            <w:r>
              <w:rPr>
                <w:rFonts w:hint="eastAsia"/>
                <w:color w:val="auto"/>
                <w:lang w:val="en-US" w:eastAsia="zh-CN"/>
              </w:rPr>
              <w:t>淮北市油西环保建材有限公司（主要从事建材行业）</w:t>
            </w:r>
            <w:r>
              <w:rPr>
                <w:rFonts w:hint="eastAsia"/>
                <w:color w:val="auto"/>
              </w:rPr>
              <w:t>，</w:t>
            </w:r>
            <w:r>
              <w:rPr>
                <w:rFonts w:hint="eastAsia"/>
                <w:color w:val="auto"/>
                <w:lang w:val="en-US" w:eastAsia="zh-CN"/>
              </w:rPr>
              <w:t>东侧为道路，隔路为农田，西侧、南侧均为农田</w:t>
            </w:r>
            <w:r>
              <w:rPr>
                <w:rFonts w:hint="eastAsia" w:ascii="宋体" w:hAnsi="宋体" w:cs="宋体"/>
                <w:color w:val="auto"/>
                <w:szCs w:val="21"/>
                <w:lang w:eastAsia="zh-CN"/>
              </w:rPr>
              <w:t>。</w:t>
            </w:r>
            <w:r>
              <w:rPr>
                <w:rFonts w:hint="eastAsia"/>
                <w:color w:val="auto"/>
                <w:lang w:val="en-US" w:eastAsia="zh-CN"/>
              </w:rPr>
              <w:t>本项目采取相对应环评污染防治措施后，对周边环境影响较小，</w:t>
            </w:r>
            <w:r>
              <w:rPr>
                <w:rFonts w:hint="eastAsia"/>
                <w:bCs/>
                <w:color w:val="auto"/>
              </w:rPr>
              <w:t>因此，本项目建设与周边环境相容。</w:t>
            </w:r>
          </w:p>
          <w:p w14:paraId="1E5A24F8">
            <w:pPr>
              <w:autoSpaceDE w:val="0"/>
              <w:autoSpaceDN w:val="0"/>
              <w:ind w:firstLine="480"/>
              <w:jc w:val="left"/>
              <w:rPr>
                <w:color w:val="auto"/>
              </w:rPr>
            </w:pPr>
            <w:r>
              <w:rPr>
                <w:rFonts w:hint="eastAsia"/>
                <w:color w:val="auto"/>
              </w:rPr>
              <w:t>（3）环境承载能力</w:t>
            </w:r>
          </w:p>
          <w:p w14:paraId="0FA62664">
            <w:pPr>
              <w:pStyle w:val="10"/>
              <w:ind w:firstLine="480"/>
              <w:rPr>
                <w:color w:val="auto"/>
              </w:rPr>
            </w:pPr>
            <w:r>
              <w:rPr>
                <w:rFonts w:hint="eastAsia"/>
                <w:color w:val="auto"/>
                <w:szCs w:val="24"/>
              </w:rPr>
              <w:t>本项目周边500m范围内无自然保护区、风景旅游景点和文物古迹等需要特殊保护的环境敏感对象；项目所在地交通方便，水电供应可靠；本项目在做好废气治理和废水处理措施的前提下，对环境质量的影响较小，建成后不会造成环境质量下降。因此，项目在环境承载能力内。</w:t>
            </w:r>
          </w:p>
          <w:p w14:paraId="274ED1C7">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（4）</w:t>
            </w:r>
            <w:r>
              <w:rPr>
                <w:rFonts w:hint="default" w:ascii="Times New Roman" w:hAnsi="Times New Roman" w:eastAsia="宋体" w:cs="Times New Roman"/>
                <w:color w:val="auto"/>
                <w:kern w:val="0"/>
                <w:sz w:val="24"/>
                <w:szCs w:val="24"/>
              </w:rPr>
              <w:t>环境功能区划相符性分析</w:t>
            </w:r>
          </w:p>
          <w:p w14:paraId="61509451">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由环境影响分析可知，项目营运期产生的环境影响不会改变区域环境质量，故项目的建设不会突破区域环境质量底线。</w:t>
            </w:r>
          </w:p>
          <w:p w14:paraId="4D129905">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color w:val="auto"/>
                <w:kern w:val="2"/>
                <w:sz w:val="24"/>
                <w:szCs w:val="24"/>
                <w:lang w:val="en-US" w:eastAsia="zh-CN"/>
              </w:rPr>
            </w:pPr>
            <w:r>
              <w:rPr>
                <w:rFonts w:hint="default" w:ascii="Times New Roman" w:hAnsi="Times New Roman" w:eastAsia="宋体" w:cs="Times New Roman"/>
                <w:b w:val="0"/>
                <w:bCs/>
                <w:color w:val="auto"/>
                <w:kern w:val="2"/>
                <w:sz w:val="24"/>
                <w:szCs w:val="24"/>
              </w:rPr>
              <w:t>综上所述，</w:t>
            </w:r>
            <w:r>
              <w:rPr>
                <w:rFonts w:hint="default" w:ascii="Times New Roman" w:hAnsi="Times New Roman" w:eastAsia="宋体" w:cs="Times New Roman"/>
                <w:b w:val="0"/>
                <w:bCs/>
                <w:color w:val="auto"/>
                <w:kern w:val="2"/>
                <w:sz w:val="24"/>
                <w:szCs w:val="24"/>
                <w:lang w:val="en-US" w:eastAsia="zh-CN"/>
              </w:rPr>
              <w:t>本项目的选址符合</w:t>
            </w:r>
            <w:r>
              <w:rPr>
                <w:rFonts w:hint="default" w:ascii="Times New Roman" w:hAnsi="Times New Roman" w:cs="Times New Roman"/>
                <w:color w:val="auto"/>
                <w:kern w:val="0"/>
                <w:sz w:val="24"/>
                <w:szCs w:val="24"/>
                <w:lang w:val="en-US" w:eastAsia="zh-CN"/>
              </w:rPr>
              <w:t>区域</w:t>
            </w:r>
            <w:r>
              <w:rPr>
                <w:rFonts w:hint="default" w:ascii="Times New Roman" w:hAnsi="Times New Roman" w:eastAsia="宋体" w:cs="Times New Roman"/>
                <w:color w:val="auto"/>
                <w:kern w:val="0"/>
                <w:sz w:val="24"/>
                <w:szCs w:val="24"/>
                <w:lang w:val="en-US" w:eastAsia="zh-CN"/>
              </w:rPr>
              <w:t>总体规划</w:t>
            </w:r>
            <w:r>
              <w:rPr>
                <w:rFonts w:hint="default" w:ascii="Times New Roman" w:hAnsi="Times New Roman" w:eastAsia="宋体" w:cs="Times New Roman"/>
                <w:b w:val="0"/>
                <w:bCs/>
                <w:color w:val="auto"/>
                <w:kern w:val="2"/>
                <w:sz w:val="24"/>
                <w:szCs w:val="24"/>
                <w:lang w:val="en-US" w:eastAsia="zh-CN"/>
              </w:rPr>
              <w:t>，符合区域环境功能区划，与周边环境相容，在环境承载能力内，项目选址合理。</w:t>
            </w:r>
          </w:p>
          <w:p w14:paraId="24A07CCD">
            <w:pPr>
              <w:pStyle w:val="1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宋体"/>
                <w:lang w:val="en-US" w:eastAsia="zh-CN"/>
              </w:rPr>
            </w:pPr>
            <w:r>
              <w:rPr>
                <w:rFonts w:hint="eastAsia"/>
                <w:b/>
                <w:bCs/>
                <w:color w:val="auto"/>
              </w:rPr>
              <w:t>2</w:t>
            </w:r>
            <w:r>
              <w:rPr>
                <w:b/>
                <w:bCs/>
                <w:color w:val="auto"/>
              </w:rPr>
              <w:t>、</w:t>
            </w:r>
            <w:r>
              <w:rPr>
                <w:rFonts w:hint="eastAsia"/>
                <w:b/>
                <w:bCs/>
                <w:lang w:val="en-US" w:eastAsia="zh-CN"/>
              </w:rPr>
              <w:t>与生态环境分区管控要求的符合性分析</w:t>
            </w:r>
          </w:p>
          <w:p w14:paraId="42C865A5">
            <w:pPr>
              <w:bidi w:val="0"/>
              <w:rPr>
                <w:rFonts w:hint="eastAsia" w:cs="宋体"/>
                <w:sz w:val="24"/>
                <w:szCs w:val="24"/>
                <w:lang w:eastAsia="zh-CN"/>
              </w:rPr>
            </w:pPr>
            <w:r>
              <w:rPr>
                <w:color w:val="000000" w:themeColor="text1"/>
                <w14:textFill>
                  <w14:solidFill>
                    <w14:schemeClr w14:val="tx1"/>
                  </w14:solidFill>
                </w14:textFill>
              </w:rPr>
              <w:t>本项目位于</w:t>
            </w:r>
            <w:r>
              <w:rPr>
                <w:rFonts w:hint="default" w:ascii="Times New Roman" w:hAnsi="Times New Roman" w:eastAsia="宋体" w:cs="Times New Roman"/>
                <w:szCs w:val="21"/>
                <w:lang w:val="en-US" w:eastAsia="zh-CN"/>
              </w:rPr>
              <w:t>安徽省淮北市相山区渠沟镇油坊村</w:t>
            </w:r>
            <w:r>
              <w:rPr>
                <w:color w:val="000000" w:themeColor="text1"/>
                <w14:textFill>
                  <w14:solidFill>
                    <w14:schemeClr w14:val="tx1"/>
                  </w14:solidFill>
                </w14:textFill>
              </w:rPr>
              <w:t>，属于重点管控单元，各项污染物均能做到达标排放，环境风险可控。项目区域地下水满足《地下水质量标准》（GB/T14848-2017）</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3 \* ROMAN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III</w:t>
            </w:r>
            <w:r>
              <w:rPr>
                <w:color w:val="000000" w:themeColor="text1"/>
                <w14:textFill>
                  <w14:solidFill>
                    <w14:schemeClr w14:val="tx1"/>
                  </w14:solidFill>
                </w14:textFill>
              </w:rPr>
              <w:fldChar w:fldCharType="end"/>
            </w:r>
            <w:r>
              <w:rPr>
                <w:color w:val="000000" w:themeColor="text1"/>
                <w14:textFill>
                  <w14:solidFill>
                    <w14:schemeClr w14:val="tx1"/>
                  </w14:solidFill>
                </w14:textFill>
              </w:rPr>
              <w:t>类标准。</w:t>
            </w:r>
            <w:r>
              <w:rPr>
                <w:rFonts w:hint="eastAsia"/>
                <w:color w:val="auto"/>
              </w:rPr>
              <w:t>厂区雨污分流制，经隔油池</w:t>
            </w:r>
            <w:r>
              <w:rPr>
                <w:rFonts w:hint="eastAsia"/>
                <w:color w:val="auto"/>
                <w:lang w:val="en-US" w:eastAsia="zh-CN"/>
              </w:rPr>
              <w:t>（依托现有）</w:t>
            </w:r>
            <w:r>
              <w:rPr>
                <w:rFonts w:hint="eastAsia"/>
                <w:color w:val="auto"/>
              </w:rPr>
              <w:t>处理的食堂废水汇同生活污水经化粪池</w:t>
            </w:r>
            <w:r>
              <w:rPr>
                <w:rFonts w:hint="eastAsia"/>
                <w:color w:val="auto"/>
                <w:lang w:val="en-US" w:eastAsia="zh-CN"/>
              </w:rPr>
              <w:t>（依托现有）</w:t>
            </w:r>
            <w:r>
              <w:rPr>
                <w:rFonts w:hint="eastAsia"/>
                <w:color w:val="auto"/>
              </w:rPr>
              <w:t>处理后，吸粪车定期抽运；车辆冲洗废水、道路冲洗废水</w:t>
            </w:r>
            <w:r>
              <w:rPr>
                <w:rFonts w:hint="eastAsia"/>
                <w:color w:val="auto"/>
                <w:lang w:eastAsia="zh-CN"/>
              </w:rPr>
              <w:t>、</w:t>
            </w:r>
            <w:r>
              <w:rPr>
                <w:rFonts w:hint="eastAsia"/>
                <w:color w:val="auto"/>
                <w:lang w:val="en-US" w:eastAsia="zh-CN"/>
              </w:rPr>
              <w:t>设备冲洗废水</w:t>
            </w:r>
            <w:r>
              <w:rPr>
                <w:rFonts w:hint="eastAsia"/>
                <w:color w:val="auto"/>
              </w:rPr>
              <w:t>经二级沉淀池</w:t>
            </w:r>
            <w:r>
              <w:rPr>
                <w:rFonts w:hint="eastAsia"/>
                <w:color w:val="auto"/>
                <w:lang w:val="en-US" w:eastAsia="zh-CN"/>
              </w:rPr>
              <w:t>（依托现有）</w:t>
            </w:r>
            <w:r>
              <w:rPr>
                <w:rFonts w:hint="eastAsia"/>
                <w:color w:val="auto"/>
              </w:rPr>
              <w:t>处理后循环使用，不外排</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不会降低现有环境质量。项目所在地大气环境质量中的基本污染物细颗粒物（PM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）超标，本项目所在地为大气环境空气质量不达标区。本项目在生产过程中颗粒物</w:t>
            </w:r>
            <w:r>
              <w:rPr>
                <w:rFonts w:hint="eastAsia"/>
                <w:color w:val="000000" w:themeColor="text1"/>
                <w14:textFill>
                  <w14:solidFill>
                    <w14:schemeClr w14:val="tx1"/>
                  </w14:solidFill>
                </w14:textFill>
              </w:rPr>
              <w:t>均能达标排放</w:t>
            </w:r>
            <w:r>
              <w:rPr>
                <w:color w:val="000000" w:themeColor="text1"/>
                <w14:textFill>
                  <w14:solidFill>
                    <w14:schemeClr w14:val="tx1"/>
                  </w14:solidFill>
                </w14:textFill>
              </w:rPr>
              <w:t>，不会降低现有环境质量。</w:t>
            </w:r>
          </w:p>
          <w:p w14:paraId="06243296">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lang w:val="en-US" w:eastAsia="zh-CN"/>
              </w:rPr>
              <w:t>对照</w:t>
            </w:r>
            <w:r>
              <w:rPr>
                <w:rFonts w:hint="default" w:ascii="Times New Roman" w:hAnsi="Times New Roman" w:cs="Times New Roman"/>
                <w:color w:val="auto"/>
                <w:sz w:val="24"/>
                <w:szCs w:val="24"/>
              </w:rPr>
              <w:t>《市场准入负面清单（202</w:t>
            </w:r>
            <w:r>
              <w:rPr>
                <w:rFonts w:hint="default" w:ascii="Times New Roman" w:hAnsi="Times New Roman" w:cs="Times New Roman"/>
                <w:color w:val="auto"/>
                <w:sz w:val="24"/>
                <w:szCs w:val="24"/>
                <w:lang w:val="en-US" w:eastAsia="zh-CN"/>
              </w:rPr>
              <w:t>2年</w:t>
            </w:r>
            <w:r>
              <w:rPr>
                <w:rFonts w:hint="default" w:ascii="Times New Roman" w:hAnsi="Times New Roman" w:cs="Times New Roman"/>
                <w:color w:val="auto"/>
                <w:sz w:val="24"/>
                <w:szCs w:val="24"/>
              </w:rPr>
              <w:t>版）》</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本项目不涉及</w:t>
            </w:r>
            <w:r>
              <w:rPr>
                <w:rFonts w:hint="default" w:ascii="Times New Roman" w:hAnsi="Times New Roman" w:eastAsia="宋体" w:cs="Times New Roman"/>
                <w:color w:val="auto"/>
                <w:sz w:val="24"/>
                <w:szCs w:val="24"/>
                <w:lang w:val="en-US" w:eastAsia="zh-CN"/>
              </w:rPr>
              <w:t>其</w:t>
            </w:r>
            <w:r>
              <w:rPr>
                <w:rFonts w:hint="default" w:ascii="Times New Roman" w:hAnsi="Times New Roman" w:cs="Times New Roman"/>
                <w:color w:val="auto"/>
                <w:sz w:val="24"/>
                <w:szCs w:val="24"/>
              </w:rPr>
              <w:t>中禁止准入类和限制准入类项目。</w:t>
            </w:r>
          </w:p>
          <w:p w14:paraId="25C7A1C3">
            <w:pPr>
              <w:ind w:firstLine="480"/>
            </w:pPr>
            <w:r>
              <w:rPr>
                <w:rFonts w:hint="eastAsia" w:cs="宋体"/>
                <w:color w:val="auto"/>
                <w:kern w:val="0"/>
              </w:rPr>
              <w:t>项目已于</w:t>
            </w:r>
            <w:r>
              <w:rPr>
                <w:color w:val="auto"/>
                <w:kern w:val="0"/>
              </w:rPr>
              <w:t>202</w:t>
            </w:r>
            <w:r>
              <w:rPr>
                <w:rFonts w:hint="eastAsia"/>
                <w:color w:val="auto"/>
                <w:kern w:val="0"/>
                <w:lang w:val="en-US" w:eastAsia="zh-CN"/>
              </w:rPr>
              <w:t>4</w:t>
            </w:r>
            <w:r>
              <w:rPr>
                <w:rFonts w:hint="eastAsia" w:cs="宋体"/>
                <w:color w:val="auto"/>
                <w:kern w:val="0"/>
              </w:rPr>
              <w:t>年</w:t>
            </w:r>
            <w:r>
              <w:rPr>
                <w:rFonts w:hint="eastAsia"/>
                <w:color w:val="auto"/>
                <w:kern w:val="0"/>
                <w:lang w:val="en-US" w:eastAsia="zh-CN"/>
              </w:rPr>
              <w:t>8</w:t>
            </w:r>
            <w:r>
              <w:rPr>
                <w:rFonts w:hint="eastAsia" w:cs="宋体"/>
                <w:color w:val="auto"/>
                <w:kern w:val="0"/>
              </w:rPr>
              <w:t>月</w:t>
            </w:r>
            <w:r>
              <w:rPr>
                <w:rFonts w:hint="eastAsia"/>
                <w:color w:val="auto"/>
                <w:kern w:val="0"/>
                <w:lang w:val="en-US" w:eastAsia="zh-CN"/>
              </w:rPr>
              <w:t>28</w:t>
            </w:r>
            <w:r>
              <w:rPr>
                <w:rFonts w:hint="eastAsia" w:cs="宋体"/>
                <w:color w:val="auto"/>
                <w:kern w:val="0"/>
              </w:rPr>
              <w:t>日取得</w:t>
            </w:r>
            <w:r>
              <w:rPr>
                <w:rFonts w:hint="eastAsia" w:cs="宋体"/>
                <w:color w:val="auto"/>
                <w:kern w:val="0"/>
                <w:lang w:val="en-US" w:eastAsia="zh-CN"/>
              </w:rPr>
              <w:t>淮北市相山区工业和信息化局关于《同意环保建材生产线配套提升技改项目备案》的通知（</w:t>
            </w:r>
            <w:r>
              <w:rPr>
                <w:rFonts w:hint="eastAsia" w:ascii="宋体" w:hAnsi="宋体" w:cs="宋体"/>
                <w:color w:val="auto"/>
                <w:szCs w:val="21"/>
                <w:lang w:val="en-US" w:eastAsia="zh-CN"/>
              </w:rPr>
              <w:t>相工信技改</w:t>
            </w:r>
            <w:r>
              <w:rPr>
                <w:rFonts w:hint="eastAsia"/>
                <w:color w:val="auto"/>
                <w:sz w:val="24"/>
                <w:szCs w:val="24"/>
                <w:lang w:eastAsia="zh-CN"/>
              </w:rPr>
              <w:t>〔</w:t>
            </w:r>
            <w:r>
              <w:rPr>
                <w:rFonts w:hint="eastAsia"/>
                <w:color w:val="auto"/>
                <w:lang w:val="en-US" w:eastAsia="zh-CN"/>
              </w:rPr>
              <w:t>2024</w:t>
            </w:r>
            <w:r>
              <w:rPr>
                <w:rFonts w:hint="eastAsia"/>
                <w:color w:val="auto"/>
                <w:sz w:val="24"/>
                <w:szCs w:val="24"/>
                <w:lang w:eastAsia="zh-CN"/>
              </w:rPr>
              <w:t>〕</w:t>
            </w:r>
            <w:r>
              <w:rPr>
                <w:rFonts w:hint="eastAsia"/>
                <w:color w:val="auto"/>
                <w:sz w:val="24"/>
                <w:szCs w:val="24"/>
                <w:lang w:val="en-US" w:eastAsia="zh-CN"/>
              </w:rPr>
              <w:t>4号</w:t>
            </w:r>
            <w:r>
              <w:rPr>
                <w:rFonts w:hint="eastAsia" w:cs="宋体"/>
                <w:color w:val="auto"/>
                <w:kern w:val="0"/>
                <w:lang w:val="en-US" w:eastAsia="zh-CN"/>
              </w:rPr>
              <w:t>）</w:t>
            </w:r>
            <w:r>
              <w:t>，符合当地产业政策。</w:t>
            </w:r>
          </w:p>
          <w:p w14:paraId="4BDBF84B">
            <w:pPr>
              <w:pStyle w:val="10"/>
            </w:pPr>
            <w:r>
              <w:t>本项目不属于</w:t>
            </w:r>
            <w:r>
              <w:rPr>
                <w:rFonts w:hint="eastAsia"/>
                <w:color w:val="auto"/>
              </w:rPr>
              <w:t>《产业结构调整指导目录》（</w:t>
            </w:r>
            <w:r>
              <w:rPr>
                <w:rFonts w:hint="eastAsia"/>
                <w:lang w:val="en-US" w:eastAsia="zh-CN"/>
              </w:rPr>
              <w:t>2024年本</w:t>
            </w:r>
            <w:r>
              <w:rPr>
                <w:rFonts w:hint="eastAsia"/>
                <w:color w:val="auto"/>
              </w:rPr>
              <w:t>）</w:t>
            </w:r>
            <w:r>
              <w:t>中限制类和淘汰类项目，视为允许类项目。</w:t>
            </w:r>
          </w:p>
          <w:p w14:paraId="505245FB">
            <w:pPr>
              <w:bidi w:val="0"/>
            </w:pPr>
            <w:r>
              <w:rPr>
                <w:rFonts w:hint="eastAsia"/>
                <w:color w:val="auto"/>
              </w:rPr>
              <w:t>根据工信部《部分工业行业淘汰落后生产工艺装备和产业指导名录（2010年本）》及《高耗能落后机电设备（产品）淘汰目录》（共四批）等相关产业政策及环保法规</w:t>
            </w:r>
            <w:r>
              <w:rPr>
                <w:rFonts w:hint="eastAsia"/>
                <w:color w:val="auto"/>
                <w:lang w:eastAsia="zh-CN"/>
              </w:rPr>
              <w:t>，</w:t>
            </w:r>
            <w:r>
              <w:rPr>
                <w:rFonts w:hint="eastAsia"/>
                <w:color w:val="auto"/>
              </w:rPr>
              <w:t>该项目采用的技术、产品、工艺及所用设备均不属于限制类和淘汰类，可视为允许类</w:t>
            </w:r>
            <w:r>
              <w:t>。根据</w:t>
            </w:r>
            <w:r>
              <w:rPr>
                <w:rFonts w:hint="eastAsia" w:cs="宋体"/>
                <w:color w:val="auto"/>
                <w:sz w:val="24"/>
                <w:szCs w:val="24"/>
              </w:rPr>
              <w:t>《市场准入负面清单（</w:t>
            </w:r>
            <w:r>
              <w:rPr>
                <w:rFonts w:hint="default"/>
                <w:color w:val="auto"/>
                <w:sz w:val="24"/>
                <w:szCs w:val="24"/>
              </w:rPr>
              <w:t>202</w:t>
            </w:r>
            <w:r>
              <w:rPr>
                <w:rFonts w:hint="eastAsia"/>
                <w:color w:val="auto"/>
                <w:sz w:val="24"/>
                <w:szCs w:val="24"/>
                <w:lang w:val="en-US" w:eastAsia="zh-CN"/>
              </w:rPr>
              <w:t>2</w:t>
            </w:r>
            <w:r>
              <w:rPr>
                <w:rFonts w:hint="eastAsia" w:cs="宋体"/>
                <w:color w:val="auto"/>
                <w:sz w:val="24"/>
                <w:szCs w:val="24"/>
              </w:rPr>
              <w:t>版）》</w:t>
            </w:r>
            <w:r>
              <w:t>，本项目不</w:t>
            </w:r>
            <w:r>
              <w:rPr>
                <w:rFonts w:hint="eastAsia"/>
              </w:rPr>
              <w:t>涉及</w:t>
            </w:r>
            <w:r>
              <w:t>其中的负面清单</w:t>
            </w:r>
            <w:r>
              <w:rPr>
                <w:rFonts w:hint="eastAsia"/>
              </w:rPr>
              <w:t>内容</w:t>
            </w:r>
            <w:r>
              <w:t>。</w:t>
            </w:r>
          </w:p>
          <w:p w14:paraId="75B75FB4">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综上，项目建设符合</w:t>
            </w:r>
            <w:r>
              <w:rPr>
                <w:rFonts w:hint="eastAsia"/>
                <w:lang w:eastAsia="zh-CN"/>
              </w:rPr>
              <w:t>“</w:t>
            </w:r>
            <w:r>
              <w:rPr>
                <w:rFonts w:hint="eastAsia"/>
              </w:rPr>
              <w:t>三线一单</w:t>
            </w:r>
            <w:r>
              <w:rPr>
                <w:rFonts w:hint="eastAsia"/>
                <w:lang w:eastAsia="zh-CN"/>
              </w:rPr>
              <w:t>”</w:t>
            </w:r>
            <w:r>
              <w:rPr>
                <w:rFonts w:hint="eastAsia"/>
              </w:rPr>
              <w:t>要求。</w:t>
            </w:r>
          </w:p>
          <w:p w14:paraId="3BBC4F75">
            <w:pPr>
              <w:widowControl w:val="0"/>
              <w:wordWrap/>
              <w:autoSpaceDE w:val="0"/>
              <w:autoSpaceDN w:val="0"/>
              <w:adjustRightInd/>
              <w:snapToGrid/>
              <w:spacing w:before="0" w:beforeAutospacing="0" w:after="0" w:afterAutospacing="0" w:line="360" w:lineRule="auto"/>
              <w:ind w:left="0" w:leftChars="0" w:right="0" w:firstLine="0" w:firstLineChars="0"/>
              <w:jc w:val="left"/>
              <w:textAlignment w:val="auto"/>
              <w:rPr>
                <w:rFonts w:hint="default" w:ascii="Times New Roman" w:hAnsi="Times New Roman" w:eastAsia="宋体" w:cs="Times New Roman"/>
                <w:b/>
                <w:bCs/>
                <w:color w:val="auto"/>
                <w:kern w:val="2"/>
                <w:sz w:val="24"/>
                <w:szCs w:val="24"/>
                <w:lang w:eastAsia="zh-CN"/>
              </w:rPr>
            </w:pPr>
            <w:r>
              <w:rPr>
                <w:rFonts w:hint="default" w:ascii="Times New Roman" w:hAnsi="Times New Roman" w:eastAsia="宋体" w:cs="Times New Roman"/>
                <w:b/>
                <w:bCs/>
                <w:color w:val="auto"/>
                <w:kern w:val="2"/>
                <w:sz w:val="24"/>
                <w:szCs w:val="24"/>
                <w:lang w:val="en-US" w:eastAsia="zh-CN"/>
              </w:rPr>
              <w:t>3</w:t>
            </w:r>
            <w:r>
              <w:rPr>
                <w:rFonts w:hint="default" w:ascii="Times New Roman" w:hAnsi="Times New Roman" w:eastAsia="宋体" w:cs="Times New Roman"/>
                <w:b/>
                <w:bCs/>
                <w:color w:val="auto"/>
                <w:kern w:val="2"/>
                <w:sz w:val="24"/>
                <w:szCs w:val="24"/>
                <w:lang w:eastAsia="zh-CN"/>
              </w:rPr>
              <w:t>、产业政策符合性</w:t>
            </w:r>
          </w:p>
          <w:p w14:paraId="6C0199D2">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eastAsia="宋体"/>
                <w:lang w:val="en-US" w:eastAsia="zh-CN"/>
              </w:rPr>
            </w:pPr>
            <w:r>
              <w:rPr>
                <w:rFonts w:hint="default" w:ascii="Times New Roman" w:hAnsi="Times New Roman" w:eastAsia="宋体" w:cs="Times New Roman"/>
                <w:color w:val="auto"/>
                <w:kern w:val="0"/>
                <w:sz w:val="24"/>
                <w:szCs w:val="24"/>
                <w:lang w:val="en-US" w:eastAsia="zh-CN"/>
              </w:rPr>
              <w:t>本项目不属于《产业结构调整目录（20</w:t>
            </w:r>
            <w:r>
              <w:rPr>
                <w:rFonts w:hint="default" w:ascii="Times New Roman" w:hAnsi="Times New Roman" w:cs="Times New Roman"/>
                <w:color w:val="auto"/>
                <w:kern w:val="0"/>
                <w:sz w:val="24"/>
                <w:szCs w:val="24"/>
                <w:lang w:val="en-US" w:eastAsia="zh-CN"/>
              </w:rPr>
              <w:t>24</w:t>
            </w:r>
            <w:r>
              <w:rPr>
                <w:rFonts w:hint="default" w:ascii="Times New Roman" w:hAnsi="Times New Roman" w:eastAsia="宋体" w:cs="Times New Roman"/>
                <w:color w:val="auto"/>
                <w:kern w:val="0"/>
                <w:sz w:val="24"/>
                <w:szCs w:val="24"/>
                <w:lang w:val="en-US" w:eastAsia="zh-CN"/>
              </w:rPr>
              <w:t>年本）》（中华人民共和国国家发展和改革委员会令第29号）中的</w:t>
            </w:r>
            <w:r>
              <w:rPr>
                <w:rFonts w:hint="eastAsia"/>
                <w:lang w:val="en-US" w:eastAsia="zh-CN"/>
              </w:rPr>
              <w:t>鼓励类、</w:t>
            </w:r>
            <w:r>
              <w:rPr>
                <w:rFonts w:hint="default" w:ascii="Times New Roman" w:hAnsi="Times New Roman" w:eastAsia="宋体" w:cs="Times New Roman"/>
                <w:color w:val="auto"/>
                <w:kern w:val="0"/>
                <w:sz w:val="24"/>
                <w:szCs w:val="24"/>
                <w:lang w:val="en-US" w:eastAsia="zh-CN"/>
              </w:rPr>
              <w:t>限制类和淘汰类项目</w:t>
            </w:r>
            <w:r>
              <w:rPr>
                <w:rFonts w:hint="eastAsia" w:cs="Times New Roman"/>
                <w:color w:val="auto"/>
                <w:kern w:val="0"/>
                <w:sz w:val="24"/>
                <w:szCs w:val="24"/>
                <w:lang w:val="en-US" w:eastAsia="zh-CN"/>
              </w:rPr>
              <w:t>。</w:t>
            </w:r>
          </w:p>
          <w:p w14:paraId="3E70573F">
            <w:pPr>
              <w:pStyle w:val="10"/>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eastAsia="宋体"/>
                <w:lang w:val="en-US" w:eastAsia="zh-CN"/>
              </w:rPr>
            </w:pPr>
            <w:r>
              <w:rPr>
                <w:rFonts w:hint="eastAsia"/>
                <w:lang w:val="en-US" w:eastAsia="zh-CN"/>
              </w:rPr>
              <w:t>符合国家产业政策要求，</w:t>
            </w:r>
            <w:r>
              <w:rPr>
                <w:rFonts w:hint="eastAsia" w:cs="宋体"/>
                <w:color w:val="auto"/>
                <w:kern w:val="0"/>
              </w:rPr>
              <w:t>项目已于</w:t>
            </w:r>
            <w:r>
              <w:rPr>
                <w:color w:val="auto"/>
                <w:kern w:val="0"/>
              </w:rPr>
              <w:t>202</w:t>
            </w:r>
            <w:r>
              <w:rPr>
                <w:rFonts w:hint="eastAsia"/>
                <w:color w:val="auto"/>
                <w:kern w:val="0"/>
                <w:lang w:val="en-US" w:eastAsia="zh-CN"/>
              </w:rPr>
              <w:t>4</w:t>
            </w:r>
            <w:r>
              <w:rPr>
                <w:rFonts w:hint="eastAsia" w:cs="宋体"/>
                <w:color w:val="auto"/>
                <w:kern w:val="0"/>
              </w:rPr>
              <w:t>年</w:t>
            </w:r>
            <w:r>
              <w:rPr>
                <w:rFonts w:hint="eastAsia"/>
                <w:color w:val="auto"/>
                <w:kern w:val="0"/>
                <w:lang w:val="en-US" w:eastAsia="zh-CN"/>
              </w:rPr>
              <w:t>8</w:t>
            </w:r>
            <w:r>
              <w:rPr>
                <w:rFonts w:hint="eastAsia" w:cs="宋体"/>
                <w:color w:val="auto"/>
                <w:kern w:val="0"/>
              </w:rPr>
              <w:t>月</w:t>
            </w:r>
            <w:r>
              <w:rPr>
                <w:rFonts w:hint="eastAsia"/>
                <w:color w:val="auto"/>
                <w:kern w:val="0"/>
                <w:lang w:val="en-US" w:eastAsia="zh-CN"/>
              </w:rPr>
              <w:t>28</w:t>
            </w:r>
            <w:r>
              <w:rPr>
                <w:rFonts w:hint="eastAsia" w:cs="宋体"/>
                <w:color w:val="auto"/>
                <w:kern w:val="0"/>
              </w:rPr>
              <w:t>日取得</w:t>
            </w:r>
            <w:r>
              <w:rPr>
                <w:rFonts w:hint="eastAsia" w:cs="宋体"/>
                <w:color w:val="auto"/>
                <w:kern w:val="0"/>
                <w:lang w:val="en-US" w:eastAsia="zh-CN"/>
              </w:rPr>
              <w:t>淮北市相山区工业和信息化局关于《同意环保建材生产线配套提升技改项目备案》的通知（</w:t>
            </w:r>
            <w:r>
              <w:rPr>
                <w:rFonts w:hint="eastAsia" w:ascii="宋体" w:hAnsi="宋体" w:cs="宋体"/>
                <w:color w:val="auto"/>
                <w:szCs w:val="21"/>
                <w:lang w:val="en-US" w:eastAsia="zh-CN"/>
              </w:rPr>
              <w:t>相工信技改</w:t>
            </w:r>
            <w:r>
              <w:rPr>
                <w:rFonts w:hint="eastAsia"/>
                <w:color w:val="auto"/>
                <w:sz w:val="24"/>
                <w:szCs w:val="24"/>
                <w:lang w:eastAsia="zh-CN"/>
              </w:rPr>
              <w:t>〔</w:t>
            </w:r>
            <w:r>
              <w:rPr>
                <w:rFonts w:hint="eastAsia"/>
                <w:color w:val="auto"/>
                <w:lang w:val="en-US" w:eastAsia="zh-CN"/>
              </w:rPr>
              <w:t>2024</w:t>
            </w:r>
            <w:r>
              <w:rPr>
                <w:rFonts w:hint="eastAsia"/>
                <w:color w:val="auto"/>
                <w:sz w:val="24"/>
                <w:szCs w:val="24"/>
                <w:lang w:eastAsia="zh-CN"/>
              </w:rPr>
              <w:t>〕</w:t>
            </w:r>
            <w:r>
              <w:rPr>
                <w:rFonts w:hint="eastAsia"/>
                <w:color w:val="auto"/>
                <w:sz w:val="24"/>
                <w:szCs w:val="24"/>
                <w:lang w:val="en-US" w:eastAsia="zh-CN"/>
              </w:rPr>
              <w:t>4号</w:t>
            </w:r>
            <w:r>
              <w:rPr>
                <w:rFonts w:hint="eastAsia" w:cs="宋体"/>
                <w:color w:val="auto"/>
                <w:kern w:val="0"/>
                <w:lang w:val="en-US" w:eastAsia="zh-CN"/>
              </w:rPr>
              <w:t>）</w:t>
            </w:r>
            <w:r>
              <w:rPr>
                <w:rFonts w:hint="default" w:ascii="Times New Roman" w:hAnsi="Times New Roman" w:cs="Times New Roman"/>
                <w:color w:val="auto"/>
                <w:kern w:val="0"/>
                <w:sz w:val="24"/>
                <w:szCs w:val="24"/>
                <w:lang w:val="en-US" w:eastAsia="zh-CN"/>
              </w:rPr>
              <w:t>。</w:t>
            </w:r>
            <w:r>
              <w:rPr>
                <w:rFonts w:hint="eastAsia" w:cs="Times New Roman"/>
                <w:color w:val="auto"/>
                <w:kern w:val="0"/>
                <w:sz w:val="24"/>
                <w:szCs w:val="24"/>
                <w:lang w:val="en-US" w:eastAsia="zh-CN"/>
              </w:rPr>
              <w:t>因此，属于允许类</w:t>
            </w:r>
            <w:r>
              <w:rPr>
                <w:rFonts w:hint="eastAsia"/>
                <w:lang w:val="en-US" w:eastAsia="zh-CN"/>
              </w:rPr>
              <w:t>。</w:t>
            </w:r>
          </w:p>
          <w:p w14:paraId="4DCDF220">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left"/>
              <w:textAlignment w:val="auto"/>
              <w:rPr>
                <w:rFonts w:hint="eastAsia" w:eastAsia="宋体"/>
                <w:b/>
                <w:bCs/>
                <w:color w:val="auto"/>
                <w:lang w:eastAsia="zh-CN"/>
              </w:rPr>
            </w:pPr>
            <w:r>
              <w:rPr>
                <w:rFonts w:hint="eastAsia"/>
                <w:b/>
                <w:bCs/>
                <w:color w:val="auto"/>
                <w:lang w:val="en-US" w:eastAsia="zh-CN"/>
              </w:rPr>
              <w:t>4</w:t>
            </w:r>
            <w:r>
              <w:rPr>
                <w:b/>
                <w:bCs/>
                <w:color w:val="auto"/>
              </w:rPr>
              <w:t>、</w:t>
            </w:r>
            <w:r>
              <w:rPr>
                <w:rFonts w:hint="eastAsia"/>
                <w:b/>
                <w:bCs/>
                <w:color w:val="auto"/>
              </w:rPr>
              <w:t>政策</w:t>
            </w:r>
            <w:r>
              <w:rPr>
                <w:b/>
                <w:bCs/>
                <w:color w:val="auto"/>
              </w:rPr>
              <w:t>符合性分析</w:t>
            </w:r>
          </w:p>
          <w:tbl>
            <w:tblPr>
              <w:tblStyle w:val="27"/>
              <w:tblpPr w:leftFromText="180" w:rightFromText="18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757"/>
              <w:gridCol w:w="4254"/>
              <w:gridCol w:w="1845"/>
              <w:gridCol w:w="803"/>
            </w:tblGrid>
            <w:tr w14:paraId="7E77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Align w:val="center"/>
                </w:tcPr>
                <w:p w14:paraId="37E8D3B3">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bCs/>
                      <w:color w:val="000000"/>
                      <w:lang w:val="en-US" w:eastAsia="zh-CN"/>
                    </w:rPr>
                  </w:pPr>
                  <w:r>
                    <w:rPr>
                      <w:rFonts w:hint="eastAsia"/>
                      <w:b/>
                      <w:bCs/>
                      <w:color w:val="000000"/>
                    </w:rPr>
                    <w:t>序号</w:t>
                  </w:r>
                </w:p>
              </w:tc>
              <w:tc>
                <w:tcPr>
                  <w:tcW w:w="757" w:type="dxa"/>
                  <w:vAlign w:val="center"/>
                </w:tcPr>
                <w:p w14:paraId="4E2D0948">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bCs/>
                      <w:color w:val="000000"/>
                      <w:lang w:val="en-US" w:eastAsia="zh-CN"/>
                    </w:rPr>
                  </w:pPr>
                  <w:r>
                    <w:rPr>
                      <w:rFonts w:hint="eastAsia"/>
                      <w:b/>
                      <w:bCs/>
                      <w:color w:val="000000"/>
                    </w:rPr>
                    <w:t>政策类别</w:t>
                  </w:r>
                </w:p>
              </w:tc>
              <w:tc>
                <w:tcPr>
                  <w:tcW w:w="4254" w:type="dxa"/>
                  <w:vAlign w:val="center"/>
                </w:tcPr>
                <w:p w14:paraId="62FE6FAE">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bCs/>
                      <w:color w:val="000000"/>
                      <w:lang w:val="en-US" w:eastAsia="zh-CN"/>
                    </w:rPr>
                  </w:pPr>
                  <w:r>
                    <w:rPr>
                      <w:rFonts w:hint="eastAsia"/>
                      <w:b/>
                      <w:bCs/>
                      <w:color w:val="000000"/>
                    </w:rPr>
                    <w:t>规定内容</w:t>
                  </w:r>
                </w:p>
              </w:tc>
              <w:tc>
                <w:tcPr>
                  <w:tcW w:w="1845" w:type="dxa"/>
                  <w:vAlign w:val="center"/>
                </w:tcPr>
                <w:p w14:paraId="42CC6888">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bCs/>
                      <w:color w:val="000000"/>
                      <w:lang w:val="en-US" w:eastAsia="zh-CN"/>
                    </w:rPr>
                  </w:pPr>
                  <w:r>
                    <w:rPr>
                      <w:rFonts w:hint="eastAsia"/>
                      <w:b/>
                      <w:bCs/>
                      <w:color w:val="000000"/>
                    </w:rPr>
                    <w:t>本项目内容</w:t>
                  </w:r>
                </w:p>
              </w:tc>
              <w:tc>
                <w:tcPr>
                  <w:tcW w:w="803" w:type="dxa"/>
                  <w:vAlign w:val="center"/>
                </w:tcPr>
                <w:p w14:paraId="22B8F6A9">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bCs/>
                      <w:color w:val="000000"/>
                      <w:lang w:val="en-US" w:eastAsia="zh-CN"/>
                    </w:rPr>
                  </w:pPr>
                  <w:r>
                    <w:rPr>
                      <w:rFonts w:hint="eastAsia"/>
                      <w:b/>
                      <w:bCs/>
                      <w:color w:val="000000"/>
                    </w:rPr>
                    <w:t>相符性</w:t>
                  </w:r>
                </w:p>
              </w:tc>
            </w:tr>
            <w:tr w14:paraId="6373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restart"/>
                  <w:shd w:val="clear" w:color="auto" w:fill="auto"/>
                  <w:vAlign w:val="center"/>
                </w:tcPr>
                <w:p w14:paraId="40AFF306">
                  <w:pPr>
                    <w:pStyle w:val="3"/>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宋体" w:cs="Times New Roman"/>
                      <w:color w:val="000000"/>
                      <w:kern w:val="44"/>
                      <w:sz w:val="21"/>
                      <w:szCs w:val="24"/>
                      <w:lang w:val="en-US" w:eastAsia="zh-CN" w:bidi="ar-SA"/>
                    </w:rPr>
                  </w:pPr>
                  <w:r>
                    <w:rPr>
                      <w:rFonts w:hint="eastAsia"/>
                      <w:color w:val="000000"/>
                      <w:lang w:val="en-US" w:eastAsia="zh-CN"/>
                    </w:rPr>
                    <w:t>1</w:t>
                  </w:r>
                </w:p>
              </w:tc>
              <w:tc>
                <w:tcPr>
                  <w:tcW w:w="757" w:type="dxa"/>
                  <w:vMerge w:val="restart"/>
                  <w:shd w:val="clear" w:color="auto" w:fill="auto"/>
                  <w:vAlign w:val="center"/>
                </w:tcPr>
                <w:p w14:paraId="5CC95EE2">
                  <w:pPr>
                    <w:pStyle w:val="3"/>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宋体" w:cs="Times New Roman"/>
                      <w:color w:val="000000"/>
                      <w:kern w:val="44"/>
                      <w:sz w:val="21"/>
                      <w:szCs w:val="24"/>
                      <w:lang w:val="en-US" w:eastAsia="zh-CN" w:bidi="ar-SA"/>
                    </w:rPr>
                  </w:pPr>
                  <w:r>
                    <w:rPr>
                      <w:rFonts w:hint="eastAsia" w:eastAsia="宋体"/>
                      <w:color w:val="000000"/>
                      <w:sz w:val="21"/>
                      <w:szCs w:val="21"/>
                      <w:lang w:eastAsia="zh-CN"/>
                    </w:rPr>
                    <w:t>《中共中央国务院关于深入打好污染防治攻坚战的意见》</w:t>
                  </w:r>
                  <w:r>
                    <w:rPr>
                      <w:rFonts w:hint="eastAsia"/>
                      <w:color w:val="000000"/>
                      <w:sz w:val="21"/>
                      <w:szCs w:val="21"/>
                      <w:lang w:eastAsia="zh-CN"/>
                    </w:rPr>
                    <w:t>（</w:t>
                  </w:r>
                  <w:r>
                    <w:rPr>
                      <w:rFonts w:hint="eastAsia" w:eastAsia="宋体"/>
                      <w:color w:val="000000"/>
                      <w:sz w:val="21"/>
                      <w:szCs w:val="21"/>
                      <w:lang w:val="en-US" w:eastAsia="zh-CN"/>
                    </w:rPr>
                    <w:t>2021年11月2日</w:t>
                  </w:r>
                  <w:r>
                    <w:rPr>
                      <w:rFonts w:hint="eastAsia"/>
                      <w:color w:val="000000"/>
                      <w:sz w:val="21"/>
                      <w:szCs w:val="21"/>
                      <w:lang w:eastAsia="zh-CN"/>
                    </w:rPr>
                    <w:t>）</w:t>
                  </w:r>
                </w:p>
              </w:tc>
              <w:tc>
                <w:tcPr>
                  <w:tcW w:w="4254" w:type="dxa"/>
                  <w:shd w:val="clear" w:color="auto" w:fill="auto"/>
                  <w:vAlign w:val="center"/>
                </w:tcPr>
                <w:p w14:paraId="0BFFB0C4">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000000"/>
                    </w:rPr>
                  </w:pPr>
                  <w:r>
                    <w:rPr>
                      <w:rFonts w:hint="eastAsia" w:cs="宋体"/>
                      <w:b w:val="0"/>
                      <w:bCs/>
                      <w:color w:val="000000"/>
                    </w:rPr>
                    <w:t>深入打好蓝天保卫战：</w:t>
                  </w:r>
                </w:p>
                <w:p w14:paraId="11C180DB">
                  <w:pPr>
                    <w:pStyle w:val="34"/>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left"/>
                    <w:textAlignment w:val="auto"/>
                    <w:rPr>
                      <w:b w:val="0"/>
                      <w:bCs/>
                      <w:color w:val="000000"/>
                    </w:rPr>
                  </w:pPr>
                  <w:r>
                    <w:rPr>
                      <w:b w:val="0"/>
                      <w:bCs/>
                      <w:color w:val="000000"/>
                    </w:rPr>
                    <w:fldChar w:fldCharType="begin"/>
                  </w:r>
                  <w:r>
                    <w:rPr>
                      <w:b w:val="0"/>
                      <w:bCs/>
                      <w:color w:val="000000"/>
                    </w:rPr>
                    <w:instrText xml:space="preserve"> = 1 \* GB3 \* MERGEFORMAT </w:instrText>
                  </w:r>
                  <w:r>
                    <w:rPr>
                      <w:b w:val="0"/>
                      <w:bCs/>
                      <w:color w:val="000000"/>
                    </w:rPr>
                    <w:fldChar w:fldCharType="separate"/>
                  </w:r>
                  <w:r>
                    <w:rPr>
                      <w:rFonts w:hint="eastAsia" w:ascii="宋体" w:hAnsi="宋体" w:cs="宋体"/>
                      <w:b w:val="0"/>
                      <w:bCs/>
                      <w:color w:val="000000"/>
                    </w:rPr>
                    <w:t>①</w:t>
                  </w:r>
                  <w:r>
                    <w:rPr>
                      <w:rFonts w:hint="eastAsia" w:ascii="宋体" w:hAnsi="宋体" w:cs="宋体"/>
                      <w:b w:val="0"/>
                      <w:bCs/>
                      <w:color w:val="000000"/>
                    </w:rPr>
                    <w:fldChar w:fldCharType="end"/>
                  </w:r>
                  <w:r>
                    <w:rPr>
                      <w:rFonts w:hint="eastAsia" w:cs="宋体"/>
                      <w:b w:val="0"/>
                      <w:bCs/>
                      <w:color w:val="000000"/>
                    </w:rPr>
                    <w:t>着力打好重污染天气消除攻坚战。聚焦秋冬季细颗粒物污染，加大重点区域、重点行业结构调整和污染治理力度；</w:t>
                  </w:r>
                </w:p>
                <w:p w14:paraId="7E2F55C4">
                  <w:pPr>
                    <w:pStyle w:val="34"/>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left"/>
                    <w:textAlignment w:val="auto"/>
                    <w:rPr>
                      <w:b w:val="0"/>
                      <w:bCs/>
                      <w:color w:val="000000"/>
                    </w:rPr>
                  </w:pPr>
                  <w:r>
                    <w:rPr>
                      <w:b w:val="0"/>
                      <w:bCs/>
                      <w:color w:val="000000"/>
                    </w:rPr>
                    <w:fldChar w:fldCharType="begin"/>
                  </w:r>
                  <w:r>
                    <w:rPr>
                      <w:b w:val="0"/>
                      <w:bCs/>
                      <w:color w:val="000000"/>
                    </w:rPr>
                    <w:instrText xml:space="preserve"> = 2 \* GB3 \* MERGEFORMAT </w:instrText>
                  </w:r>
                  <w:r>
                    <w:rPr>
                      <w:b w:val="0"/>
                      <w:bCs/>
                      <w:color w:val="000000"/>
                    </w:rPr>
                    <w:fldChar w:fldCharType="separate"/>
                  </w:r>
                  <w:r>
                    <w:rPr>
                      <w:rFonts w:hint="eastAsia" w:ascii="宋体" w:hAnsi="宋体" w:cs="宋体"/>
                      <w:b w:val="0"/>
                      <w:bCs/>
                      <w:color w:val="000000"/>
                    </w:rPr>
                    <w:t>②</w:t>
                  </w:r>
                  <w:r>
                    <w:rPr>
                      <w:rFonts w:hint="eastAsia" w:ascii="宋体" w:hAnsi="宋体" w:cs="宋体"/>
                      <w:b w:val="0"/>
                      <w:bCs/>
                      <w:color w:val="000000"/>
                    </w:rPr>
                    <w:fldChar w:fldCharType="end"/>
                  </w:r>
                  <w:r>
                    <w:rPr>
                      <w:rFonts w:hint="eastAsia" w:cs="宋体"/>
                      <w:b w:val="0"/>
                      <w:bCs/>
                      <w:color w:val="000000"/>
                    </w:rPr>
                    <w:t>着力打好臭氧污染防治攻坚战。聚焦夏秋季臭氧污染，大力推进挥发性有机物和氮氧化物协同减排；</w:t>
                  </w:r>
                </w:p>
                <w:p w14:paraId="75393EE1">
                  <w:pPr>
                    <w:pStyle w:val="34"/>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left"/>
                    <w:textAlignment w:val="auto"/>
                    <w:rPr>
                      <w:b w:val="0"/>
                      <w:bCs/>
                      <w:color w:val="auto"/>
                    </w:rPr>
                  </w:pPr>
                  <w:r>
                    <w:rPr>
                      <w:b w:val="0"/>
                      <w:bCs/>
                      <w:color w:val="auto"/>
                    </w:rPr>
                    <w:fldChar w:fldCharType="begin"/>
                  </w:r>
                  <w:r>
                    <w:rPr>
                      <w:b w:val="0"/>
                      <w:bCs/>
                      <w:color w:val="auto"/>
                    </w:rPr>
                    <w:instrText xml:space="preserve"> = 3 \* GB3 \* MERGEFORMAT </w:instrText>
                  </w:r>
                  <w:r>
                    <w:rPr>
                      <w:b w:val="0"/>
                      <w:bCs/>
                      <w:color w:val="auto"/>
                    </w:rPr>
                    <w:fldChar w:fldCharType="separate"/>
                  </w:r>
                  <w:r>
                    <w:rPr>
                      <w:rFonts w:hint="eastAsia" w:ascii="宋体" w:hAnsi="宋体" w:cs="宋体"/>
                      <w:b w:val="0"/>
                      <w:bCs/>
                      <w:color w:val="auto"/>
                    </w:rPr>
                    <w:t>③</w:t>
                  </w:r>
                  <w:r>
                    <w:rPr>
                      <w:rFonts w:hint="eastAsia" w:ascii="宋体" w:hAnsi="宋体" w:cs="宋体"/>
                      <w:b w:val="0"/>
                      <w:bCs/>
                      <w:color w:val="auto"/>
                    </w:rPr>
                    <w:fldChar w:fldCharType="end"/>
                  </w:r>
                  <w:r>
                    <w:rPr>
                      <w:rFonts w:hint="eastAsia" w:cs="宋体"/>
                      <w:b w:val="0"/>
                      <w:bCs/>
                      <w:color w:val="auto"/>
                    </w:rPr>
                    <w:t>持续打好柴油货车污染治理攻坚战；</w:t>
                  </w:r>
                </w:p>
                <w:p w14:paraId="062AD390">
                  <w:pPr>
                    <w:pStyle w:val="3"/>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宋体" w:cs="Times New Roman"/>
                      <w:color w:val="000000"/>
                      <w:kern w:val="44"/>
                      <w:sz w:val="21"/>
                      <w:szCs w:val="24"/>
                      <w:lang w:val="en-US" w:eastAsia="zh-CN" w:bidi="ar-SA"/>
                    </w:rPr>
                  </w:pPr>
                  <w:r>
                    <w:rPr>
                      <w:b w:val="0"/>
                      <w:bCs/>
                      <w:color w:val="auto"/>
                    </w:rPr>
                    <w:fldChar w:fldCharType="begin"/>
                  </w:r>
                  <w:r>
                    <w:rPr>
                      <w:b w:val="0"/>
                      <w:bCs/>
                      <w:color w:val="auto"/>
                    </w:rPr>
                    <w:instrText xml:space="preserve"> = 4 \* GB3 \* MERGEFORMAT </w:instrText>
                  </w:r>
                  <w:r>
                    <w:rPr>
                      <w:b w:val="0"/>
                      <w:bCs/>
                      <w:color w:val="auto"/>
                    </w:rPr>
                    <w:fldChar w:fldCharType="separate"/>
                  </w:r>
                  <w:r>
                    <w:rPr>
                      <w:rFonts w:hint="eastAsia" w:ascii="宋体" w:hAnsi="宋体" w:cs="宋体"/>
                      <w:b w:val="0"/>
                      <w:bCs/>
                      <w:color w:val="auto"/>
                    </w:rPr>
                    <w:t>④</w:t>
                  </w:r>
                  <w:r>
                    <w:rPr>
                      <w:rFonts w:hint="eastAsia" w:ascii="宋体" w:hAnsi="宋体" w:cs="宋体"/>
                      <w:b w:val="0"/>
                      <w:bCs/>
                      <w:color w:val="auto"/>
                    </w:rPr>
                    <w:fldChar w:fldCharType="end"/>
                  </w:r>
                  <w:r>
                    <w:rPr>
                      <w:rFonts w:hint="eastAsia" w:cs="宋体"/>
                      <w:b w:val="0"/>
                      <w:bCs/>
                      <w:color w:val="auto"/>
                    </w:rPr>
                    <w:t>加强大气面源和噪声污染治理。强化施工、道路、堆场、裸露地面等扬尘管控，加强城市</w:t>
                  </w:r>
                  <w:r>
                    <w:rPr>
                      <w:rFonts w:hint="eastAsia" w:cs="宋体"/>
                      <w:b w:val="0"/>
                      <w:bCs/>
                      <w:color w:val="auto"/>
                      <w:lang w:val="en-US" w:eastAsia="zh-CN"/>
                    </w:rPr>
                    <w:t>保洁</w:t>
                  </w:r>
                  <w:r>
                    <w:rPr>
                      <w:rFonts w:hint="eastAsia" w:cs="宋体"/>
                      <w:b w:val="0"/>
                      <w:bCs/>
                      <w:color w:val="auto"/>
                    </w:rPr>
                    <w:t>和清扫</w:t>
                  </w:r>
                </w:p>
              </w:tc>
              <w:tc>
                <w:tcPr>
                  <w:tcW w:w="1845" w:type="dxa"/>
                  <w:shd w:val="clear" w:color="auto" w:fill="auto"/>
                  <w:vAlign w:val="center"/>
                </w:tcPr>
                <w:p w14:paraId="3CCA81E4">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kern w:val="44"/>
                      <w:sz w:val="21"/>
                      <w:szCs w:val="24"/>
                      <w:lang w:val="en-US" w:eastAsia="zh-CN" w:bidi="ar-SA"/>
                    </w:rPr>
                  </w:pPr>
                  <w:r>
                    <w:rPr>
                      <w:rFonts w:hint="eastAsia"/>
                      <w:highlight w:val="none"/>
                      <w:lang w:val="en-US" w:eastAsia="zh-CN"/>
                    </w:rPr>
                    <w:t>车间封闭生产，</w:t>
                  </w:r>
                  <w:r>
                    <w:rPr>
                      <w:rFonts w:hint="eastAsia"/>
                      <w:color w:val="000000"/>
                      <w:highlight w:val="none"/>
                      <w:lang w:val="en-US" w:eastAsia="zh-CN"/>
                    </w:rPr>
                    <w:t>投料粉尘</w:t>
                  </w:r>
                  <w:r>
                    <w:rPr>
                      <w:rFonts w:hint="eastAsia"/>
                      <w:highlight w:val="none"/>
                      <w:lang w:val="en-US" w:eastAsia="zh-CN"/>
                    </w:rPr>
                    <w:t>采取“集气罩收集（收集效率90%）+布袋除尘（处理效率99%）”后经15m DA004排气筒排放</w:t>
                  </w:r>
                  <w:r>
                    <w:rPr>
                      <w:rFonts w:hint="eastAsia"/>
                      <w:highlight w:val="none"/>
                      <w:lang w:eastAsia="zh-CN"/>
                    </w:rPr>
                    <w:t>；</w:t>
                  </w:r>
                  <w:r>
                    <w:rPr>
                      <w:rFonts w:hint="eastAsia"/>
                      <w:color w:val="000000"/>
                      <w:highlight w:val="none"/>
                      <w:lang w:val="en-US" w:eastAsia="zh-CN"/>
                    </w:rPr>
                    <w:t>采用新能源运输车辆，</w:t>
                  </w:r>
                  <w:r>
                    <w:rPr>
                      <w:rFonts w:hint="eastAsia" w:ascii="宋体" w:hAnsi="宋体" w:eastAsia="宋体" w:cs="宋体"/>
                      <w:i w:val="0"/>
                      <w:iCs w:val="0"/>
                      <w:caps w:val="0"/>
                      <w:color w:val="333333"/>
                      <w:spacing w:val="0"/>
                      <w:sz w:val="21"/>
                      <w:szCs w:val="21"/>
                      <w:highlight w:val="none"/>
                      <w:shd w:val="clear" w:fill="FFFFFF"/>
                    </w:rPr>
                    <w:t>淘汰国三及以下排放标准营运重型柴油货车</w:t>
                  </w:r>
                  <w:r>
                    <w:rPr>
                      <w:rFonts w:hint="eastAsia" w:ascii="宋体" w:hAnsi="宋体" w:eastAsia="宋体" w:cs="宋体"/>
                      <w:i w:val="0"/>
                      <w:iCs w:val="0"/>
                      <w:caps w:val="0"/>
                      <w:color w:val="333333"/>
                      <w:spacing w:val="0"/>
                      <w:sz w:val="21"/>
                      <w:szCs w:val="21"/>
                      <w:highlight w:val="none"/>
                      <w:shd w:val="clear" w:fill="FFFFFF"/>
                      <w:lang w:eastAsia="zh-CN"/>
                    </w:rPr>
                    <w:t>；</w:t>
                  </w:r>
                  <w:r>
                    <w:rPr>
                      <w:rFonts w:hint="default" w:ascii="Times New Roman" w:hAnsi="Times New Roman" w:eastAsia="宋体" w:cs="Times New Roman"/>
                      <w:b w:val="0"/>
                      <w:bCs/>
                      <w:color w:val="auto"/>
                      <w:sz w:val="21"/>
                      <w:szCs w:val="21"/>
                      <w:highlight w:val="none"/>
                    </w:rPr>
                    <w:t>优选低噪设备，合理布局、基础减振</w:t>
                  </w:r>
                </w:p>
              </w:tc>
              <w:tc>
                <w:tcPr>
                  <w:tcW w:w="803" w:type="dxa"/>
                  <w:shd w:val="clear" w:color="auto" w:fill="auto"/>
                  <w:vAlign w:val="center"/>
                </w:tcPr>
                <w:p w14:paraId="7110FA17">
                  <w:pPr>
                    <w:pStyle w:val="3"/>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宋体" w:cs="Times New Roman"/>
                      <w:color w:val="000000"/>
                      <w:kern w:val="44"/>
                      <w:sz w:val="21"/>
                      <w:szCs w:val="24"/>
                      <w:lang w:val="en-US" w:eastAsia="zh-CN" w:bidi="ar-SA"/>
                    </w:rPr>
                  </w:pPr>
                  <w:r>
                    <w:rPr>
                      <w:rFonts w:hint="eastAsia"/>
                      <w:color w:val="000000"/>
                      <w:lang w:val="en-US" w:eastAsia="zh-CN"/>
                    </w:rPr>
                    <w:t>符合</w:t>
                  </w:r>
                </w:p>
              </w:tc>
            </w:tr>
            <w:tr w14:paraId="568B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continue"/>
                  <w:vAlign w:val="center"/>
                </w:tcPr>
                <w:p w14:paraId="0EEA94F6">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000000"/>
                    </w:rPr>
                  </w:pPr>
                </w:p>
              </w:tc>
              <w:tc>
                <w:tcPr>
                  <w:tcW w:w="757" w:type="dxa"/>
                  <w:vMerge w:val="continue"/>
                  <w:vAlign w:val="center"/>
                </w:tcPr>
                <w:p w14:paraId="66E34E9E">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000000"/>
                    </w:rPr>
                  </w:pPr>
                </w:p>
              </w:tc>
              <w:tc>
                <w:tcPr>
                  <w:tcW w:w="4254" w:type="dxa"/>
                  <w:shd w:val="clear" w:color="auto" w:fill="auto"/>
                  <w:vAlign w:val="center"/>
                </w:tcPr>
                <w:p w14:paraId="2371F027">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000000"/>
                    </w:rPr>
                  </w:pPr>
                  <w:r>
                    <w:rPr>
                      <w:rFonts w:hint="eastAsia" w:cs="宋体"/>
                      <w:b w:val="0"/>
                      <w:bCs/>
                      <w:color w:val="000000"/>
                    </w:rPr>
                    <w:t>深入打好碧水保卫战：</w:t>
                  </w:r>
                </w:p>
                <w:p w14:paraId="166A45E5">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rFonts w:hint="eastAsia" w:cs="宋体"/>
                      <w:b w:val="0"/>
                      <w:bCs/>
                      <w:color w:val="000000"/>
                      <w:spacing w:val="-9"/>
                    </w:rPr>
                  </w:pPr>
                  <w:r>
                    <w:rPr>
                      <w:b w:val="0"/>
                      <w:bCs/>
                      <w:color w:val="000000"/>
                      <w:spacing w:val="-9"/>
                    </w:rPr>
                    <w:fldChar w:fldCharType="begin"/>
                  </w:r>
                  <w:r>
                    <w:rPr>
                      <w:b w:val="0"/>
                      <w:bCs/>
                      <w:color w:val="000000"/>
                      <w:spacing w:val="-9"/>
                    </w:rPr>
                    <w:instrText xml:space="preserve"> = 1 \* GB3 \* MERGEFORMAT </w:instrText>
                  </w:r>
                  <w:r>
                    <w:rPr>
                      <w:b w:val="0"/>
                      <w:bCs/>
                      <w:color w:val="000000"/>
                      <w:spacing w:val="-9"/>
                    </w:rPr>
                    <w:fldChar w:fldCharType="separate"/>
                  </w:r>
                  <w:r>
                    <w:rPr>
                      <w:rFonts w:hint="eastAsia" w:ascii="宋体" w:hAnsi="宋体" w:cs="宋体"/>
                      <w:b w:val="0"/>
                      <w:bCs/>
                      <w:color w:val="000000"/>
                      <w:spacing w:val="-9"/>
                    </w:rPr>
                    <w:t>①</w:t>
                  </w:r>
                  <w:r>
                    <w:rPr>
                      <w:rFonts w:hint="eastAsia" w:ascii="宋体" w:hAnsi="宋体" w:cs="宋体"/>
                      <w:b w:val="0"/>
                      <w:bCs/>
                      <w:color w:val="000000"/>
                      <w:spacing w:val="-9"/>
                    </w:rPr>
                    <w:fldChar w:fldCharType="end"/>
                  </w:r>
                  <w:r>
                    <w:rPr>
                      <w:rFonts w:hint="eastAsia" w:cs="宋体"/>
                      <w:b w:val="0"/>
                      <w:bCs/>
                      <w:color w:val="000000"/>
                      <w:spacing w:val="-9"/>
                    </w:rPr>
                    <w:t>持续打好城市黑臭水体治理攻坚战；</w:t>
                  </w:r>
                </w:p>
                <w:p w14:paraId="704D0979">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rFonts w:hint="eastAsia" w:cs="宋体"/>
                      <w:b w:val="0"/>
                      <w:bCs/>
                      <w:color w:val="000000"/>
                      <w:spacing w:val="-9"/>
                    </w:rPr>
                  </w:pPr>
                  <w:r>
                    <w:rPr>
                      <w:b w:val="0"/>
                      <w:bCs/>
                      <w:color w:val="000000"/>
                      <w:spacing w:val="-9"/>
                    </w:rPr>
                    <w:fldChar w:fldCharType="begin"/>
                  </w:r>
                  <w:r>
                    <w:rPr>
                      <w:b w:val="0"/>
                      <w:bCs/>
                      <w:color w:val="000000"/>
                      <w:spacing w:val="-9"/>
                    </w:rPr>
                    <w:instrText xml:space="preserve"> = 2 \* GB3 \* MERGEFORMAT </w:instrText>
                  </w:r>
                  <w:r>
                    <w:rPr>
                      <w:b w:val="0"/>
                      <w:bCs/>
                      <w:color w:val="000000"/>
                      <w:spacing w:val="-9"/>
                    </w:rPr>
                    <w:fldChar w:fldCharType="separate"/>
                  </w:r>
                  <w:r>
                    <w:rPr>
                      <w:rFonts w:hint="eastAsia" w:ascii="宋体" w:hAnsi="宋体" w:cs="宋体"/>
                      <w:b w:val="0"/>
                      <w:bCs/>
                      <w:color w:val="000000"/>
                      <w:spacing w:val="-9"/>
                    </w:rPr>
                    <w:t>②</w:t>
                  </w:r>
                  <w:r>
                    <w:rPr>
                      <w:rFonts w:hint="eastAsia" w:ascii="宋体" w:hAnsi="宋体" w:cs="宋体"/>
                      <w:b w:val="0"/>
                      <w:bCs/>
                      <w:color w:val="000000"/>
                      <w:spacing w:val="-9"/>
                    </w:rPr>
                    <w:fldChar w:fldCharType="end"/>
                  </w:r>
                  <w:r>
                    <w:rPr>
                      <w:rFonts w:hint="eastAsia" w:cs="宋体"/>
                      <w:b w:val="0"/>
                      <w:bCs/>
                      <w:color w:val="000000"/>
                      <w:spacing w:val="-9"/>
                    </w:rPr>
                    <w:t>持续打好长江保护修复攻坚战；</w:t>
                  </w:r>
                </w:p>
                <w:p w14:paraId="1F34F1A1">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rFonts w:hint="eastAsia" w:cs="宋体"/>
                      <w:b w:val="0"/>
                      <w:bCs/>
                      <w:color w:val="000000"/>
                      <w:spacing w:val="-9"/>
                    </w:rPr>
                  </w:pPr>
                  <w:r>
                    <w:rPr>
                      <w:b w:val="0"/>
                      <w:bCs/>
                      <w:color w:val="000000"/>
                      <w:spacing w:val="-9"/>
                    </w:rPr>
                    <w:fldChar w:fldCharType="begin"/>
                  </w:r>
                  <w:r>
                    <w:rPr>
                      <w:b w:val="0"/>
                      <w:bCs/>
                      <w:color w:val="000000"/>
                      <w:spacing w:val="-9"/>
                    </w:rPr>
                    <w:instrText xml:space="preserve"> = 3 \* GB3 \* MERGEFORMAT </w:instrText>
                  </w:r>
                  <w:r>
                    <w:rPr>
                      <w:b w:val="0"/>
                      <w:bCs/>
                      <w:color w:val="000000"/>
                      <w:spacing w:val="-9"/>
                    </w:rPr>
                    <w:fldChar w:fldCharType="separate"/>
                  </w:r>
                  <w:r>
                    <w:rPr>
                      <w:rFonts w:hint="eastAsia" w:ascii="宋体" w:hAnsi="宋体" w:cs="宋体"/>
                      <w:b w:val="0"/>
                      <w:bCs/>
                      <w:color w:val="000000"/>
                      <w:spacing w:val="-9"/>
                    </w:rPr>
                    <w:t>③</w:t>
                  </w:r>
                  <w:r>
                    <w:rPr>
                      <w:rFonts w:hint="eastAsia" w:ascii="宋体" w:hAnsi="宋体" w:cs="宋体"/>
                      <w:b w:val="0"/>
                      <w:bCs/>
                      <w:color w:val="000000"/>
                      <w:spacing w:val="-9"/>
                    </w:rPr>
                    <w:fldChar w:fldCharType="end"/>
                  </w:r>
                  <w:r>
                    <w:rPr>
                      <w:rFonts w:hint="eastAsia" w:cs="宋体"/>
                      <w:b w:val="0"/>
                      <w:bCs/>
                      <w:color w:val="000000"/>
                      <w:spacing w:val="-9"/>
                    </w:rPr>
                    <w:t>着力打好黄河生态保护治理攻坚战；</w:t>
                  </w:r>
                </w:p>
                <w:p w14:paraId="37B214A2">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rFonts w:hint="eastAsia" w:cs="宋体"/>
                      <w:b w:val="0"/>
                      <w:bCs/>
                      <w:color w:val="000000"/>
                      <w:spacing w:val="-9"/>
                    </w:rPr>
                  </w:pPr>
                  <w:r>
                    <w:rPr>
                      <w:b w:val="0"/>
                      <w:bCs/>
                      <w:color w:val="000000"/>
                      <w:spacing w:val="-9"/>
                    </w:rPr>
                    <w:fldChar w:fldCharType="begin"/>
                  </w:r>
                  <w:r>
                    <w:rPr>
                      <w:b w:val="0"/>
                      <w:bCs/>
                      <w:color w:val="000000"/>
                      <w:spacing w:val="-9"/>
                    </w:rPr>
                    <w:instrText xml:space="preserve"> = 4 \* GB3 \* MERGEFORMAT </w:instrText>
                  </w:r>
                  <w:r>
                    <w:rPr>
                      <w:b w:val="0"/>
                      <w:bCs/>
                      <w:color w:val="000000"/>
                      <w:spacing w:val="-9"/>
                    </w:rPr>
                    <w:fldChar w:fldCharType="separate"/>
                  </w:r>
                  <w:r>
                    <w:rPr>
                      <w:rFonts w:hint="eastAsia" w:ascii="宋体" w:hAnsi="宋体" w:cs="宋体"/>
                      <w:b w:val="0"/>
                      <w:bCs/>
                      <w:color w:val="000000"/>
                      <w:spacing w:val="-9"/>
                    </w:rPr>
                    <w:t>④</w:t>
                  </w:r>
                  <w:r>
                    <w:rPr>
                      <w:rFonts w:hint="eastAsia" w:ascii="宋体" w:hAnsi="宋体" w:cs="宋体"/>
                      <w:b w:val="0"/>
                      <w:bCs/>
                      <w:color w:val="000000"/>
                      <w:spacing w:val="-9"/>
                    </w:rPr>
                    <w:fldChar w:fldCharType="end"/>
                  </w:r>
                  <w:r>
                    <w:rPr>
                      <w:rFonts w:hint="eastAsia" w:cs="宋体"/>
                      <w:b w:val="0"/>
                      <w:bCs/>
                      <w:color w:val="000000"/>
                      <w:spacing w:val="-9"/>
                    </w:rPr>
                    <w:t>巩固提升饮用水安全保障水平；</w:t>
                  </w:r>
                </w:p>
                <w:p w14:paraId="610910F3">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rFonts w:hint="eastAsia" w:cs="宋体"/>
                      <w:b w:val="0"/>
                      <w:bCs/>
                      <w:color w:val="000000"/>
                      <w:spacing w:val="-9"/>
                    </w:rPr>
                  </w:pPr>
                  <w:r>
                    <w:rPr>
                      <w:b w:val="0"/>
                      <w:bCs/>
                      <w:color w:val="000000"/>
                      <w:spacing w:val="-9"/>
                    </w:rPr>
                    <w:fldChar w:fldCharType="begin"/>
                  </w:r>
                  <w:r>
                    <w:rPr>
                      <w:b w:val="0"/>
                      <w:bCs/>
                      <w:color w:val="000000"/>
                      <w:spacing w:val="-9"/>
                    </w:rPr>
                    <w:instrText xml:space="preserve"> = 5 \* GB3 \* MERGEFORMAT </w:instrText>
                  </w:r>
                  <w:r>
                    <w:rPr>
                      <w:b w:val="0"/>
                      <w:bCs/>
                      <w:color w:val="000000"/>
                      <w:spacing w:val="-9"/>
                    </w:rPr>
                    <w:fldChar w:fldCharType="separate"/>
                  </w:r>
                  <w:r>
                    <w:rPr>
                      <w:rFonts w:hint="eastAsia" w:ascii="宋体" w:hAnsi="宋体" w:cs="宋体"/>
                      <w:b w:val="0"/>
                      <w:bCs/>
                      <w:color w:val="000000"/>
                      <w:spacing w:val="-9"/>
                    </w:rPr>
                    <w:t>⑤</w:t>
                  </w:r>
                  <w:r>
                    <w:rPr>
                      <w:rFonts w:hint="eastAsia" w:ascii="宋体" w:hAnsi="宋体" w:cs="宋体"/>
                      <w:b w:val="0"/>
                      <w:bCs/>
                      <w:color w:val="000000"/>
                      <w:spacing w:val="-9"/>
                    </w:rPr>
                    <w:fldChar w:fldCharType="end"/>
                  </w:r>
                  <w:r>
                    <w:rPr>
                      <w:rFonts w:hint="eastAsia" w:cs="宋体"/>
                      <w:b w:val="0"/>
                      <w:bCs/>
                      <w:color w:val="000000"/>
                      <w:spacing w:val="-9"/>
                    </w:rPr>
                    <w:t>着力打好重点海域综合治理攻坚战；</w:t>
                  </w:r>
                </w:p>
                <w:p w14:paraId="56416494">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rightChars="0" w:firstLine="0" w:firstLineChars="0"/>
                    <w:jc w:val="left"/>
                    <w:textAlignment w:val="auto"/>
                    <w:rPr>
                      <w:rFonts w:hint="eastAsia" w:ascii="Times New Roman" w:hAnsi="Times New Roman" w:eastAsia="宋体" w:cs="Times New Roman"/>
                      <w:color w:val="000000"/>
                      <w:kern w:val="2"/>
                      <w:sz w:val="21"/>
                      <w:szCs w:val="20"/>
                      <w:lang w:val="en-US" w:eastAsia="zh-CN" w:bidi="ar-SA"/>
                    </w:rPr>
                  </w:pPr>
                  <w:r>
                    <w:rPr>
                      <w:b w:val="0"/>
                      <w:bCs/>
                      <w:color w:val="000000"/>
                      <w:spacing w:val="-9"/>
                    </w:rPr>
                    <w:fldChar w:fldCharType="begin"/>
                  </w:r>
                  <w:r>
                    <w:rPr>
                      <w:b w:val="0"/>
                      <w:bCs/>
                      <w:color w:val="000000"/>
                      <w:spacing w:val="-9"/>
                    </w:rPr>
                    <w:instrText xml:space="preserve"> = 6 \* GB3 \* MERGEFORMAT </w:instrText>
                  </w:r>
                  <w:r>
                    <w:rPr>
                      <w:b w:val="0"/>
                      <w:bCs/>
                      <w:color w:val="000000"/>
                      <w:spacing w:val="-9"/>
                    </w:rPr>
                    <w:fldChar w:fldCharType="separate"/>
                  </w:r>
                  <w:r>
                    <w:rPr>
                      <w:rFonts w:hint="eastAsia" w:ascii="宋体" w:hAnsi="宋体" w:cs="宋体"/>
                      <w:b w:val="0"/>
                      <w:bCs/>
                      <w:color w:val="000000"/>
                      <w:spacing w:val="-9"/>
                    </w:rPr>
                    <w:t>⑥</w:t>
                  </w:r>
                  <w:r>
                    <w:rPr>
                      <w:rFonts w:hint="eastAsia" w:ascii="宋体" w:hAnsi="宋体" w:cs="宋体"/>
                      <w:b w:val="0"/>
                      <w:bCs/>
                      <w:color w:val="000000"/>
                      <w:spacing w:val="-9"/>
                    </w:rPr>
                    <w:fldChar w:fldCharType="end"/>
                  </w:r>
                  <w:r>
                    <w:rPr>
                      <w:rFonts w:hint="eastAsia" w:cs="宋体"/>
                      <w:b w:val="0"/>
                      <w:bCs/>
                      <w:color w:val="000000"/>
                      <w:spacing w:val="-9"/>
                    </w:rPr>
                    <w:t>强化陆域海域污染协同</w:t>
                  </w:r>
                  <w:r>
                    <w:rPr>
                      <w:rFonts w:hint="eastAsia" w:cs="宋体"/>
                      <w:b w:val="0"/>
                      <w:bCs/>
                      <w:color w:val="000000"/>
                      <w:spacing w:val="-9"/>
                      <w:lang w:val="en-US" w:eastAsia="zh-CN"/>
                    </w:rPr>
                    <w:t>治理</w:t>
                  </w:r>
                </w:p>
              </w:tc>
              <w:tc>
                <w:tcPr>
                  <w:tcW w:w="1845" w:type="dxa"/>
                  <w:shd w:val="clear" w:color="auto" w:fill="auto"/>
                  <w:vAlign w:val="center"/>
                </w:tcPr>
                <w:p w14:paraId="18751E4B">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kern w:val="44"/>
                      <w:sz w:val="21"/>
                      <w:szCs w:val="24"/>
                      <w:lang w:val="en-US" w:eastAsia="zh-CN" w:bidi="ar-SA"/>
                    </w:rPr>
                  </w:pPr>
                  <w:r>
                    <w:rPr>
                      <w:rFonts w:hint="eastAsia"/>
                      <w:color w:val="auto"/>
                    </w:rPr>
                    <w:t>厂区雨污分流制，经隔油池</w:t>
                  </w:r>
                  <w:r>
                    <w:rPr>
                      <w:rFonts w:hint="eastAsia"/>
                      <w:color w:val="auto"/>
                      <w:lang w:val="en-US" w:eastAsia="zh-CN"/>
                    </w:rPr>
                    <w:t>（依托现有）</w:t>
                  </w:r>
                  <w:r>
                    <w:rPr>
                      <w:rFonts w:hint="eastAsia"/>
                      <w:color w:val="auto"/>
                    </w:rPr>
                    <w:t>处理的食堂废水汇同生活污水经化粪池</w:t>
                  </w:r>
                  <w:r>
                    <w:rPr>
                      <w:rFonts w:hint="eastAsia"/>
                      <w:color w:val="auto"/>
                      <w:lang w:val="en-US" w:eastAsia="zh-CN"/>
                    </w:rPr>
                    <w:t>（依托现有）</w:t>
                  </w:r>
                  <w:r>
                    <w:rPr>
                      <w:rFonts w:hint="eastAsia"/>
                      <w:color w:val="auto"/>
                    </w:rPr>
                    <w:t>处理后，吸粪车定期抽运；车辆冲洗废水、道路冲洗废水</w:t>
                  </w:r>
                  <w:r>
                    <w:rPr>
                      <w:rFonts w:hint="eastAsia"/>
                      <w:color w:val="auto"/>
                      <w:lang w:eastAsia="zh-CN"/>
                    </w:rPr>
                    <w:t>、</w:t>
                  </w:r>
                  <w:r>
                    <w:rPr>
                      <w:rFonts w:hint="eastAsia"/>
                      <w:color w:val="auto"/>
                      <w:lang w:val="en-US" w:eastAsia="zh-CN"/>
                    </w:rPr>
                    <w:t>设备冲洗废水</w:t>
                  </w:r>
                  <w:r>
                    <w:rPr>
                      <w:rFonts w:hint="eastAsia"/>
                      <w:color w:val="auto"/>
                    </w:rPr>
                    <w:t>经二级沉淀池</w:t>
                  </w:r>
                  <w:r>
                    <w:rPr>
                      <w:rFonts w:hint="eastAsia"/>
                      <w:color w:val="auto"/>
                      <w:lang w:val="en-US" w:eastAsia="zh-CN"/>
                    </w:rPr>
                    <w:t>（依托现有）</w:t>
                  </w:r>
                  <w:r>
                    <w:rPr>
                      <w:rFonts w:hint="eastAsia"/>
                      <w:color w:val="auto"/>
                    </w:rPr>
                    <w:t>处理后循环使用，不外排</w:t>
                  </w:r>
                </w:p>
              </w:tc>
              <w:tc>
                <w:tcPr>
                  <w:tcW w:w="803" w:type="dxa"/>
                  <w:shd w:val="clear" w:color="auto" w:fill="auto"/>
                  <w:vAlign w:val="center"/>
                </w:tcPr>
                <w:p w14:paraId="7F41E2E2">
                  <w:pPr>
                    <w:pStyle w:val="3"/>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宋体" w:cs="Times New Roman"/>
                      <w:color w:val="000000"/>
                      <w:kern w:val="44"/>
                      <w:sz w:val="21"/>
                      <w:szCs w:val="24"/>
                      <w:lang w:val="en-US" w:eastAsia="zh-CN" w:bidi="ar-SA"/>
                    </w:rPr>
                  </w:pPr>
                  <w:r>
                    <w:rPr>
                      <w:rFonts w:hint="eastAsia"/>
                      <w:color w:val="000000"/>
                      <w:lang w:val="en-US" w:eastAsia="zh-CN"/>
                    </w:rPr>
                    <w:t>符合</w:t>
                  </w:r>
                </w:p>
              </w:tc>
            </w:tr>
            <w:tr w14:paraId="44A9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continue"/>
                  <w:vAlign w:val="center"/>
                </w:tcPr>
                <w:p w14:paraId="3259A422">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000000"/>
                    </w:rPr>
                  </w:pPr>
                </w:p>
              </w:tc>
              <w:tc>
                <w:tcPr>
                  <w:tcW w:w="757" w:type="dxa"/>
                  <w:vMerge w:val="continue"/>
                  <w:vAlign w:val="center"/>
                </w:tcPr>
                <w:p w14:paraId="24B4F102">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000000"/>
                    </w:rPr>
                  </w:pPr>
                </w:p>
              </w:tc>
              <w:tc>
                <w:tcPr>
                  <w:tcW w:w="4254" w:type="dxa"/>
                  <w:shd w:val="clear" w:color="auto" w:fill="auto"/>
                  <w:vAlign w:val="center"/>
                </w:tcPr>
                <w:p w14:paraId="2A2BE98C">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000000"/>
                    </w:rPr>
                  </w:pPr>
                  <w:r>
                    <w:rPr>
                      <w:rFonts w:hint="eastAsia" w:cs="宋体"/>
                      <w:b w:val="0"/>
                      <w:bCs/>
                      <w:color w:val="000000"/>
                    </w:rPr>
                    <w:t>深入打好净土保卫战：</w:t>
                  </w:r>
                </w:p>
                <w:p w14:paraId="19CC4EC4">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000000"/>
                    </w:rPr>
                  </w:pPr>
                  <w:r>
                    <w:rPr>
                      <w:b w:val="0"/>
                      <w:bCs/>
                      <w:color w:val="000000"/>
                    </w:rPr>
                    <w:fldChar w:fldCharType="begin"/>
                  </w:r>
                  <w:r>
                    <w:rPr>
                      <w:b w:val="0"/>
                      <w:bCs/>
                      <w:color w:val="000000"/>
                    </w:rPr>
                    <w:instrText xml:space="preserve"> = 1 \* GB3 \* MERGEFORMAT </w:instrText>
                  </w:r>
                  <w:r>
                    <w:rPr>
                      <w:b w:val="0"/>
                      <w:bCs/>
                      <w:color w:val="000000"/>
                    </w:rPr>
                    <w:fldChar w:fldCharType="separate"/>
                  </w:r>
                  <w:r>
                    <w:rPr>
                      <w:rFonts w:hint="eastAsia" w:ascii="宋体" w:hAnsi="宋体" w:cs="宋体"/>
                      <w:b w:val="0"/>
                      <w:bCs/>
                      <w:color w:val="000000"/>
                    </w:rPr>
                    <w:t>①</w:t>
                  </w:r>
                  <w:r>
                    <w:rPr>
                      <w:rFonts w:hint="eastAsia" w:ascii="宋体" w:hAnsi="宋体" w:cs="宋体"/>
                      <w:b w:val="0"/>
                      <w:bCs/>
                      <w:color w:val="000000"/>
                    </w:rPr>
                    <w:fldChar w:fldCharType="end"/>
                  </w:r>
                  <w:r>
                    <w:rPr>
                      <w:rFonts w:hint="eastAsia" w:cs="宋体"/>
                      <w:b w:val="0"/>
                      <w:bCs/>
                      <w:color w:val="000000"/>
                    </w:rPr>
                    <w:t>持续打好农业农村污染治理攻坚战；</w:t>
                  </w:r>
                </w:p>
                <w:p w14:paraId="1BD4CFC9">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000000"/>
                    </w:rPr>
                  </w:pPr>
                  <w:r>
                    <w:rPr>
                      <w:b w:val="0"/>
                      <w:bCs/>
                      <w:color w:val="000000"/>
                    </w:rPr>
                    <w:fldChar w:fldCharType="begin"/>
                  </w:r>
                  <w:r>
                    <w:rPr>
                      <w:b w:val="0"/>
                      <w:bCs/>
                      <w:color w:val="000000"/>
                    </w:rPr>
                    <w:instrText xml:space="preserve"> = 2 \* GB3 \* MERGEFORMAT </w:instrText>
                  </w:r>
                  <w:r>
                    <w:rPr>
                      <w:b w:val="0"/>
                      <w:bCs/>
                      <w:color w:val="000000"/>
                    </w:rPr>
                    <w:fldChar w:fldCharType="separate"/>
                  </w:r>
                  <w:r>
                    <w:rPr>
                      <w:rFonts w:hint="eastAsia" w:ascii="宋体" w:hAnsi="宋体" w:cs="宋体"/>
                      <w:b w:val="0"/>
                      <w:bCs/>
                      <w:color w:val="000000"/>
                    </w:rPr>
                    <w:t>②</w:t>
                  </w:r>
                  <w:r>
                    <w:rPr>
                      <w:rFonts w:hint="eastAsia" w:ascii="宋体" w:hAnsi="宋体" w:cs="宋体"/>
                      <w:b w:val="0"/>
                      <w:bCs/>
                      <w:color w:val="000000"/>
                    </w:rPr>
                    <w:fldChar w:fldCharType="end"/>
                  </w:r>
                  <w:r>
                    <w:rPr>
                      <w:rFonts w:hint="eastAsia" w:cs="宋体"/>
                      <w:b w:val="0"/>
                      <w:bCs/>
                      <w:color w:val="000000"/>
                    </w:rPr>
                    <w:t>深入推进农用地土壤污染防治和安全利用；</w:t>
                  </w:r>
                </w:p>
                <w:p w14:paraId="7CC5727B">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000000"/>
                    </w:rPr>
                  </w:pPr>
                  <w:r>
                    <w:rPr>
                      <w:b w:val="0"/>
                      <w:bCs/>
                      <w:color w:val="000000"/>
                    </w:rPr>
                    <w:fldChar w:fldCharType="begin"/>
                  </w:r>
                  <w:r>
                    <w:rPr>
                      <w:b w:val="0"/>
                      <w:bCs/>
                      <w:color w:val="000000"/>
                    </w:rPr>
                    <w:instrText xml:space="preserve"> = 3 \* GB3 \* MERGEFORMAT </w:instrText>
                  </w:r>
                  <w:r>
                    <w:rPr>
                      <w:b w:val="0"/>
                      <w:bCs/>
                      <w:color w:val="000000"/>
                    </w:rPr>
                    <w:fldChar w:fldCharType="separate"/>
                  </w:r>
                  <w:r>
                    <w:rPr>
                      <w:rFonts w:hint="eastAsia" w:ascii="宋体" w:hAnsi="宋体" w:cs="宋体"/>
                      <w:b w:val="0"/>
                      <w:bCs/>
                      <w:color w:val="000000"/>
                    </w:rPr>
                    <w:t>③</w:t>
                  </w:r>
                  <w:r>
                    <w:rPr>
                      <w:rFonts w:hint="eastAsia" w:ascii="宋体" w:hAnsi="宋体" w:cs="宋体"/>
                      <w:b w:val="0"/>
                      <w:bCs/>
                      <w:color w:val="000000"/>
                    </w:rPr>
                    <w:fldChar w:fldCharType="end"/>
                  </w:r>
                  <w:r>
                    <w:rPr>
                      <w:rFonts w:hint="eastAsia" w:cs="宋体"/>
                      <w:b w:val="0"/>
                      <w:bCs/>
                      <w:color w:val="000000"/>
                    </w:rPr>
                    <w:t>有效管控建设用地土壤污染风险；</w:t>
                  </w:r>
                </w:p>
                <w:p w14:paraId="3F3AE905">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000000"/>
                    </w:rPr>
                  </w:pPr>
                  <w:r>
                    <w:rPr>
                      <w:b w:val="0"/>
                      <w:bCs/>
                      <w:color w:val="000000"/>
                    </w:rPr>
                    <w:fldChar w:fldCharType="begin"/>
                  </w:r>
                  <w:r>
                    <w:rPr>
                      <w:b w:val="0"/>
                      <w:bCs/>
                      <w:color w:val="000000"/>
                    </w:rPr>
                    <w:instrText xml:space="preserve"> = 4 \* GB3 \* MERGEFORMAT </w:instrText>
                  </w:r>
                  <w:r>
                    <w:rPr>
                      <w:b w:val="0"/>
                      <w:bCs/>
                      <w:color w:val="000000"/>
                    </w:rPr>
                    <w:fldChar w:fldCharType="separate"/>
                  </w:r>
                  <w:r>
                    <w:rPr>
                      <w:rFonts w:hint="eastAsia" w:ascii="宋体" w:hAnsi="宋体" w:cs="宋体"/>
                      <w:b w:val="0"/>
                      <w:bCs/>
                      <w:color w:val="000000"/>
                    </w:rPr>
                    <w:t>④</w:t>
                  </w:r>
                  <w:r>
                    <w:rPr>
                      <w:rFonts w:hint="eastAsia" w:ascii="宋体" w:hAnsi="宋体" w:cs="宋体"/>
                      <w:b w:val="0"/>
                      <w:bCs/>
                      <w:color w:val="000000"/>
                    </w:rPr>
                    <w:fldChar w:fldCharType="end"/>
                  </w:r>
                  <w:r>
                    <w:rPr>
                      <w:rFonts w:hint="eastAsia" w:cs="宋体"/>
                      <w:b w:val="0"/>
                      <w:bCs/>
                      <w:color w:val="000000"/>
                    </w:rPr>
                    <w:t>稳步推进</w:t>
                  </w:r>
                  <w:r>
                    <w:rPr>
                      <w:rFonts w:hint="eastAsia" w:cs="宋体"/>
                      <w:b w:val="0"/>
                      <w:bCs/>
                      <w:color w:val="000000"/>
                      <w:lang w:eastAsia="zh-CN"/>
                    </w:rPr>
                    <w:t>“</w:t>
                  </w:r>
                  <w:r>
                    <w:rPr>
                      <w:rFonts w:hint="eastAsia" w:cs="宋体"/>
                      <w:b w:val="0"/>
                      <w:bCs/>
                      <w:color w:val="000000"/>
                    </w:rPr>
                    <w:t>无废城市</w:t>
                  </w:r>
                  <w:r>
                    <w:rPr>
                      <w:rFonts w:hint="eastAsia" w:cs="宋体"/>
                      <w:b w:val="0"/>
                      <w:bCs/>
                      <w:color w:val="000000"/>
                      <w:lang w:eastAsia="zh-CN"/>
                    </w:rPr>
                    <w:t>”</w:t>
                  </w:r>
                  <w:r>
                    <w:rPr>
                      <w:rFonts w:hint="eastAsia" w:cs="宋体"/>
                      <w:b w:val="0"/>
                      <w:bCs/>
                      <w:color w:val="000000"/>
                    </w:rPr>
                    <w:t>建设；</w:t>
                  </w:r>
                </w:p>
                <w:p w14:paraId="31F9730D">
                  <w:pPr>
                    <w:pStyle w:val="34"/>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000000"/>
                    </w:rPr>
                  </w:pPr>
                  <w:r>
                    <w:rPr>
                      <w:b w:val="0"/>
                      <w:bCs/>
                      <w:color w:val="000000"/>
                    </w:rPr>
                    <w:fldChar w:fldCharType="begin"/>
                  </w:r>
                  <w:r>
                    <w:rPr>
                      <w:b w:val="0"/>
                      <w:bCs/>
                      <w:color w:val="000000"/>
                    </w:rPr>
                    <w:instrText xml:space="preserve"> = 5 \* GB3 \* MERGEFORMAT </w:instrText>
                  </w:r>
                  <w:r>
                    <w:rPr>
                      <w:b w:val="0"/>
                      <w:bCs/>
                      <w:color w:val="000000"/>
                    </w:rPr>
                    <w:fldChar w:fldCharType="separate"/>
                  </w:r>
                  <w:r>
                    <w:rPr>
                      <w:rFonts w:hint="eastAsia" w:ascii="宋体" w:hAnsi="宋体" w:cs="宋体"/>
                      <w:b w:val="0"/>
                      <w:bCs/>
                      <w:color w:val="000000"/>
                    </w:rPr>
                    <w:t>⑤</w:t>
                  </w:r>
                  <w:r>
                    <w:rPr>
                      <w:rFonts w:hint="eastAsia" w:ascii="宋体" w:hAnsi="宋体" w:cs="宋体"/>
                      <w:b w:val="0"/>
                      <w:bCs/>
                      <w:color w:val="000000"/>
                    </w:rPr>
                    <w:fldChar w:fldCharType="end"/>
                  </w:r>
                  <w:r>
                    <w:rPr>
                      <w:rFonts w:hint="eastAsia" w:cs="宋体"/>
                      <w:b w:val="0"/>
                      <w:bCs/>
                      <w:color w:val="000000"/>
                    </w:rPr>
                    <w:t>加强新污染物治理；</w:t>
                  </w:r>
                </w:p>
                <w:p w14:paraId="3A1A7B29">
                  <w:pPr>
                    <w:pStyle w:val="3"/>
                    <w:keepLines w:val="0"/>
                    <w:pageBreakBefore w:val="0"/>
                    <w:kinsoku/>
                    <w:wordWrap/>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000000"/>
                      <w:kern w:val="44"/>
                      <w:sz w:val="21"/>
                      <w:szCs w:val="24"/>
                      <w:lang w:val="en-US" w:eastAsia="zh-CN" w:bidi="ar-SA"/>
                    </w:rPr>
                  </w:pPr>
                  <w:r>
                    <w:rPr>
                      <w:b w:val="0"/>
                      <w:bCs/>
                      <w:color w:val="000000"/>
                    </w:rPr>
                    <w:fldChar w:fldCharType="begin"/>
                  </w:r>
                  <w:r>
                    <w:rPr>
                      <w:b w:val="0"/>
                      <w:bCs/>
                      <w:color w:val="000000"/>
                    </w:rPr>
                    <w:instrText xml:space="preserve"> = 6 \* GB3 \* MERGEFORMAT </w:instrText>
                  </w:r>
                  <w:r>
                    <w:rPr>
                      <w:b w:val="0"/>
                      <w:bCs/>
                      <w:color w:val="000000"/>
                    </w:rPr>
                    <w:fldChar w:fldCharType="separate"/>
                  </w:r>
                  <w:r>
                    <w:rPr>
                      <w:rFonts w:hint="eastAsia" w:ascii="宋体" w:hAnsi="宋体" w:cs="宋体"/>
                      <w:b w:val="0"/>
                      <w:bCs/>
                      <w:color w:val="000000"/>
                    </w:rPr>
                    <w:t>⑥</w:t>
                  </w:r>
                  <w:r>
                    <w:rPr>
                      <w:rFonts w:hint="eastAsia" w:ascii="宋体" w:hAnsi="宋体" w:cs="宋体"/>
                      <w:b w:val="0"/>
                      <w:bCs/>
                      <w:color w:val="000000"/>
                    </w:rPr>
                    <w:fldChar w:fldCharType="end"/>
                  </w:r>
                  <w:r>
                    <w:rPr>
                      <w:rFonts w:hint="eastAsia" w:cs="宋体"/>
                      <w:b w:val="0"/>
                      <w:bCs/>
                      <w:color w:val="000000"/>
                    </w:rPr>
                    <w:t>强化地下水污染协同防治</w:t>
                  </w:r>
                </w:p>
              </w:tc>
              <w:tc>
                <w:tcPr>
                  <w:tcW w:w="1845" w:type="dxa"/>
                  <w:shd w:val="clear" w:color="auto" w:fill="auto"/>
                  <w:vAlign w:val="center"/>
                </w:tcPr>
                <w:p w14:paraId="032FE811">
                  <w:pPr>
                    <w:pStyle w:val="34"/>
                    <w:keepNext w:val="0"/>
                    <w:keepLines w:val="0"/>
                    <w:pageBreakBefore w:val="0"/>
                    <w:widowControl/>
                    <w:kinsoku/>
                    <w:wordWrap/>
                    <w:overflowPunct/>
                    <w:topLinePunct w:val="0"/>
                    <w:autoSpaceDE/>
                    <w:autoSpaceDN/>
                    <w:bidi w:val="0"/>
                    <w:adjustRightInd/>
                    <w:snapToGrid w:val="0"/>
                    <w:spacing w:before="0" w:after="0" w:line="240" w:lineRule="auto"/>
                    <w:ind w:right="0" w:rightChars="0" w:firstLine="0" w:firstLineChars="0"/>
                    <w:jc w:val="center"/>
                    <w:textAlignment w:val="auto"/>
                    <w:rPr>
                      <w:rFonts w:hint="eastAsia" w:ascii="Times New Roman" w:hAnsi="Times New Roman" w:eastAsia="宋体" w:cs="Times New Roman"/>
                      <w:color w:val="000000"/>
                      <w:kern w:val="2"/>
                      <w:sz w:val="21"/>
                      <w:szCs w:val="20"/>
                      <w:lang w:val="en-US" w:eastAsia="zh-CN" w:bidi="ar-SA"/>
                    </w:rPr>
                  </w:pPr>
                  <w:r>
                    <w:rPr>
                      <w:color w:val="auto"/>
                    </w:rPr>
                    <w:t>隔油池</w:t>
                  </w:r>
                  <w:r>
                    <w:rPr>
                      <w:rFonts w:hint="eastAsia"/>
                      <w:color w:val="auto"/>
                    </w:rPr>
                    <w:t>（依托现有）</w:t>
                  </w:r>
                  <w:r>
                    <w:rPr>
                      <w:color w:val="auto"/>
                    </w:rPr>
                    <w:t>、化粪池</w:t>
                  </w:r>
                  <w:r>
                    <w:rPr>
                      <w:rFonts w:hint="eastAsia"/>
                      <w:color w:val="auto"/>
                    </w:rPr>
                    <w:t>（依托现有）</w:t>
                  </w:r>
                  <w:r>
                    <w:rPr>
                      <w:color w:val="auto"/>
                    </w:rPr>
                    <w:t>、洗车平台</w:t>
                  </w:r>
                  <w:r>
                    <w:rPr>
                      <w:rFonts w:hint="eastAsia"/>
                      <w:color w:val="auto"/>
                    </w:rPr>
                    <w:t>（依托现有）、沉淀池（依托现有）</w:t>
                  </w:r>
                  <w:r>
                    <w:rPr>
                      <w:color w:val="auto"/>
                    </w:rPr>
                    <w:t>等设重点防渗；</w:t>
                  </w:r>
                  <w:r>
                    <w:rPr>
                      <w:rFonts w:hint="eastAsia"/>
                      <w:color w:val="auto"/>
                      <w:lang w:val="en-US" w:eastAsia="zh-CN"/>
                    </w:rPr>
                    <w:t>生产区等设简单防渗</w:t>
                  </w:r>
                </w:p>
              </w:tc>
              <w:tc>
                <w:tcPr>
                  <w:tcW w:w="803" w:type="dxa"/>
                  <w:shd w:val="clear" w:color="auto" w:fill="auto"/>
                  <w:vAlign w:val="center"/>
                </w:tcPr>
                <w:p w14:paraId="2E34B2E9">
                  <w:pPr>
                    <w:pStyle w:val="3"/>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宋体" w:cs="Times New Roman"/>
                      <w:color w:val="000000"/>
                      <w:kern w:val="44"/>
                      <w:sz w:val="21"/>
                      <w:szCs w:val="24"/>
                      <w:lang w:val="en-US" w:eastAsia="zh-CN" w:bidi="ar-SA"/>
                    </w:rPr>
                  </w:pPr>
                  <w:r>
                    <w:rPr>
                      <w:rFonts w:hint="eastAsia"/>
                      <w:color w:val="000000"/>
                      <w:lang w:val="en-US" w:eastAsia="zh-CN"/>
                    </w:rPr>
                    <w:t>符合</w:t>
                  </w:r>
                </w:p>
              </w:tc>
            </w:tr>
            <w:tr w14:paraId="3B75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restart"/>
                  <w:vAlign w:val="center"/>
                </w:tcPr>
                <w:p w14:paraId="1784F475">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eastAsia="宋体"/>
                      <w:b/>
                      <w:bCs/>
                      <w:color w:val="000000"/>
                      <w:lang w:val="en-US" w:eastAsia="zh-CN"/>
                    </w:rPr>
                  </w:pPr>
                  <w:r>
                    <w:rPr>
                      <w:rFonts w:hint="eastAsia"/>
                      <w:b w:val="0"/>
                      <w:bCs w:val="0"/>
                      <w:color w:val="000000"/>
                      <w:lang w:val="en-US" w:eastAsia="zh-CN"/>
                    </w:rPr>
                    <w:t>2</w:t>
                  </w:r>
                </w:p>
              </w:tc>
              <w:tc>
                <w:tcPr>
                  <w:tcW w:w="757" w:type="dxa"/>
                  <w:vMerge w:val="restart"/>
                  <w:vAlign w:val="center"/>
                </w:tcPr>
                <w:p w14:paraId="0AFCAD2B">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000000"/>
                    </w:rPr>
                  </w:pPr>
                  <w:r>
                    <w:rPr>
                      <w:rFonts w:hint="eastAsia"/>
                      <w:b w:val="0"/>
                      <w:bCs w:val="0"/>
                      <w:color w:val="000000"/>
                      <w:lang w:eastAsia="zh-CN"/>
                    </w:rPr>
                    <w:t>安徽省人民政府《关于印发安徽省空气质量持续改善行动方案的通知</w:t>
                  </w:r>
                  <w:bookmarkStart w:id="1" w:name="strDocNo"/>
                  <w:r>
                    <w:rPr>
                      <w:rFonts w:hint="eastAsia"/>
                      <w:b w:val="0"/>
                      <w:bCs w:val="0"/>
                      <w:color w:val="000000"/>
                      <w:lang w:eastAsia="zh-CN"/>
                    </w:rPr>
                    <w:t>》（皖政〔2024〕36</w:t>
                  </w:r>
                  <w:bookmarkEnd w:id="1"/>
                  <w:r>
                    <w:rPr>
                      <w:rFonts w:hint="eastAsia"/>
                      <w:b w:val="0"/>
                      <w:bCs w:val="0"/>
                      <w:color w:val="000000"/>
                      <w:lang w:eastAsia="zh-CN"/>
                    </w:rPr>
                    <w:t>号）</w:t>
                  </w:r>
                  <w:r>
                    <w:rPr>
                      <w:rFonts w:hint="eastAsia"/>
                      <w:b w:val="0"/>
                      <w:bCs w:val="0"/>
                      <w:color w:val="000000"/>
                      <w:lang w:val="en-US" w:eastAsia="zh-CN"/>
                    </w:rPr>
                    <w:t>相符性分析</w:t>
                  </w:r>
                </w:p>
              </w:tc>
              <w:tc>
                <w:tcPr>
                  <w:tcW w:w="4254" w:type="dxa"/>
                  <w:vAlign w:val="center"/>
                </w:tcPr>
                <w:p w14:paraId="06DD2F58">
                  <w:pPr>
                    <w:pStyle w:val="3"/>
                    <w:widowControl w:val="0"/>
                    <w:wordWrap/>
                    <w:adjustRightInd/>
                    <w:snapToGrid/>
                    <w:spacing w:before="0" w:beforeAutospacing="0" w:after="0" w:afterAutospacing="0"/>
                    <w:ind w:left="0" w:leftChars="0" w:right="0" w:rightChars="0" w:firstLine="0" w:firstLineChars="0"/>
                    <w:jc w:val="center"/>
                    <w:textAlignment w:val="auto"/>
                    <w:rPr>
                      <w:rFonts w:hint="eastAsia"/>
                      <w:b/>
                      <w:bCs/>
                      <w:color w:val="000000"/>
                    </w:rPr>
                  </w:pPr>
                  <w:r>
                    <w:rPr>
                      <w:rFonts w:hint="default" w:ascii="Times New Roman" w:hAnsi="Times New Roman" w:cs="Times New Roman"/>
                      <w:color w:val="auto"/>
                      <w:kern w:val="0"/>
                      <w:sz w:val="21"/>
                      <w:szCs w:val="21"/>
                      <w:lang w:eastAsia="zh-CN"/>
                    </w:rPr>
                    <w:t>推动货物运输清洁化。大宗货物中长距离运输优先采用铁路水路运输，短距离运输优先采用封闭式皮带廊道或新能源车船。推进多式联运，大宗货物“散改集”，集装箱铁水联运量力争年均增长15%。在合肥市推广采取公铁、公水联运等“外集内配”物流方式。将清洁运输作为煤矿钢铁、火电、水泥、有色、焦化、煤化工等行业新改扩建项目审核和监管重点。到2025年，铁路、水路货运量分别比2020年增长10%和12%左右，钢铁、煤炭、焦化、火电、有色等行业清洁运输(含新能源车)比例达到80%，建材(含砂石骨料)清洁运输比例达到60%。加强铁路专用线和联运转运衔接设施建设，最大程度发挥既有线路效能，精准补齐工矿企业、港口、物流园区铁路专用线短板，“十四五”末基本实现长江干线港口铁水联运设施联通。重要港区在新建集装箱、大宗干散货作业区时，原则上同步规划建设进港铁路;扩大现有作业区铁路运输能力。对重点区域城市铁路场站进行适货化改造。新建及迁建大宗货物年运量150万吨以上的物流园区、工矿企业和储煤基地，原则上接入铁路专用线或管道。强化土地利用、验收投运、运力调配、铁路运价等措施保障</w:t>
                  </w:r>
                </w:p>
              </w:tc>
              <w:tc>
                <w:tcPr>
                  <w:tcW w:w="1845" w:type="dxa"/>
                  <w:vAlign w:val="center"/>
                </w:tcPr>
                <w:p w14:paraId="04F95E4F">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eastAsia="宋体"/>
                      <w:b/>
                      <w:bCs/>
                      <w:color w:val="000000"/>
                      <w:lang w:val="en-US" w:eastAsia="zh-CN"/>
                    </w:rPr>
                  </w:pPr>
                  <w:r>
                    <w:rPr>
                      <w:rFonts w:hint="eastAsia"/>
                      <w:b w:val="0"/>
                      <w:bCs w:val="0"/>
                      <w:color w:val="000000"/>
                      <w:lang w:val="en-US" w:eastAsia="zh-CN"/>
                    </w:rPr>
                    <w:t>本项目水稳产品外售给周边附近企业，运输路程较短，且环评要求企业使用新能源运输车辆运输</w:t>
                  </w:r>
                </w:p>
              </w:tc>
              <w:tc>
                <w:tcPr>
                  <w:tcW w:w="803" w:type="dxa"/>
                  <w:vAlign w:val="center"/>
                </w:tcPr>
                <w:p w14:paraId="7F0BFF4F">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000000"/>
                    </w:rPr>
                  </w:pPr>
                  <w:r>
                    <w:rPr>
                      <w:rFonts w:hint="eastAsia"/>
                      <w:color w:val="000000"/>
                      <w:lang w:val="en-US" w:eastAsia="zh-CN"/>
                    </w:rPr>
                    <w:t>符合</w:t>
                  </w:r>
                </w:p>
              </w:tc>
            </w:tr>
            <w:tr w14:paraId="5611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continue"/>
                  <w:vAlign w:val="center"/>
                </w:tcPr>
                <w:p w14:paraId="1672C1BE">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000000"/>
                    </w:rPr>
                  </w:pPr>
                </w:p>
              </w:tc>
              <w:tc>
                <w:tcPr>
                  <w:tcW w:w="757" w:type="dxa"/>
                  <w:vMerge w:val="continue"/>
                  <w:vAlign w:val="center"/>
                </w:tcPr>
                <w:p w14:paraId="40831611">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val="0"/>
                      <w:bCs w:val="0"/>
                      <w:color w:val="000000"/>
                      <w:lang w:val="en-US" w:eastAsia="zh-CN"/>
                    </w:rPr>
                  </w:pPr>
                </w:p>
              </w:tc>
              <w:tc>
                <w:tcPr>
                  <w:tcW w:w="4254" w:type="dxa"/>
                  <w:vAlign w:val="center"/>
                </w:tcPr>
                <w:p w14:paraId="5C71B68F">
                  <w:pPr>
                    <w:pStyle w:val="3"/>
                    <w:widowControl w:val="0"/>
                    <w:wordWrap/>
                    <w:adjustRightInd/>
                    <w:snapToGrid/>
                    <w:spacing w:before="0" w:beforeAutospacing="0" w:after="0" w:afterAutospacing="0"/>
                    <w:ind w:left="0" w:leftChars="0" w:right="0" w:rightChars="0" w:firstLine="0" w:firstLineChars="0"/>
                    <w:jc w:val="center"/>
                    <w:textAlignment w:val="auto"/>
                    <w:rPr>
                      <w:rFonts w:hint="eastAsia"/>
                      <w:b/>
                      <w:bCs/>
                      <w:color w:val="000000"/>
                    </w:rPr>
                  </w:pPr>
                  <w:r>
                    <w:rPr>
                      <w:rFonts w:hint="default" w:ascii="Times New Roman" w:hAnsi="Times New Roman" w:cs="Times New Roman"/>
                      <w:color w:val="auto"/>
                      <w:kern w:val="0"/>
                      <w:sz w:val="21"/>
                      <w:szCs w:val="21"/>
                      <w:lang w:eastAsia="zh-CN"/>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实施“高污染、高耗能”项目部门联审，源头管控低水平项目上马。制定实施安徽省加强生态环境分区管控方案。严格落实产能置换要求，不以任何名义、任何方式核准、备案产能严重过剩行业新增产能项目，被置换产能及其配套设施关停后，新建项目方可投产。</w:t>
                  </w:r>
                </w:p>
              </w:tc>
              <w:tc>
                <w:tcPr>
                  <w:tcW w:w="1845" w:type="dxa"/>
                  <w:vAlign w:val="center"/>
                </w:tcPr>
                <w:p w14:paraId="2D3C08C7">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eastAsia="宋体"/>
                      <w:b/>
                      <w:bCs/>
                      <w:color w:val="000000"/>
                      <w:lang w:eastAsia="zh-CN"/>
                    </w:rPr>
                  </w:pPr>
                  <w:r>
                    <w:rPr>
                      <w:rFonts w:hint="eastAsia" w:cs="宋体"/>
                      <w:color w:val="auto"/>
                      <w:kern w:val="0"/>
                    </w:rPr>
                    <w:t>项目已于</w:t>
                  </w:r>
                  <w:r>
                    <w:rPr>
                      <w:color w:val="auto"/>
                      <w:kern w:val="0"/>
                    </w:rPr>
                    <w:t>202</w:t>
                  </w:r>
                  <w:r>
                    <w:rPr>
                      <w:rFonts w:hint="eastAsia"/>
                      <w:color w:val="auto"/>
                      <w:kern w:val="0"/>
                      <w:lang w:val="en-US" w:eastAsia="zh-CN"/>
                    </w:rPr>
                    <w:t>4</w:t>
                  </w:r>
                  <w:r>
                    <w:rPr>
                      <w:rFonts w:hint="eastAsia" w:cs="宋体"/>
                      <w:color w:val="auto"/>
                      <w:kern w:val="0"/>
                    </w:rPr>
                    <w:t>年</w:t>
                  </w:r>
                  <w:r>
                    <w:rPr>
                      <w:rFonts w:hint="eastAsia"/>
                      <w:color w:val="auto"/>
                      <w:kern w:val="0"/>
                      <w:lang w:val="en-US" w:eastAsia="zh-CN"/>
                    </w:rPr>
                    <w:t>8</w:t>
                  </w:r>
                  <w:r>
                    <w:rPr>
                      <w:rFonts w:hint="eastAsia" w:cs="宋体"/>
                      <w:color w:val="auto"/>
                      <w:kern w:val="0"/>
                    </w:rPr>
                    <w:t>月</w:t>
                  </w:r>
                  <w:r>
                    <w:rPr>
                      <w:rFonts w:hint="eastAsia"/>
                      <w:color w:val="auto"/>
                      <w:kern w:val="0"/>
                      <w:lang w:val="en-US" w:eastAsia="zh-CN"/>
                    </w:rPr>
                    <w:t>28</w:t>
                  </w:r>
                  <w:r>
                    <w:rPr>
                      <w:rFonts w:hint="eastAsia" w:cs="宋体"/>
                      <w:color w:val="auto"/>
                      <w:kern w:val="0"/>
                    </w:rPr>
                    <w:t>日取得</w:t>
                  </w:r>
                  <w:r>
                    <w:rPr>
                      <w:rFonts w:hint="eastAsia" w:cs="宋体"/>
                      <w:color w:val="auto"/>
                      <w:kern w:val="0"/>
                      <w:lang w:val="en-US" w:eastAsia="zh-CN"/>
                    </w:rPr>
                    <w:t>淮北市相山区工业和信息化局关于《同意环保建材生产线配套提升技改项目备案》的通知（</w:t>
                  </w:r>
                  <w:r>
                    <w:rPr>
                      <w:rFonts w:hint="eastAsia" w:ascii="宋体" w:hAnsi="宋体" w:cs="宋体"/>
                      <w:color w:val="auto"/>
                      <w:szCs w:val="21"/>
                      <w:lang w:val="en-US" w:eastAsia="zh-CN"/>
                    </w:rPr>
                    <w:t>相工信技改</w:t>
                  </w:r>
                  <w:r>
                    <w:rPr>
                      <w:rFonts w:hint="eastAsia"/>
                      <w:color w:val="auto"/>
                      <w:sz w:val="24"/>
                      <w:szCs w:val="24"/>
                      <w:lang w:eastAsia="zh-CN"/>
                    </w:rPr>
                    <w:t>〔</w:t>
                  </w:r>
                  <w:r>
                    <w:rPr>
                      <w:rFonts w:hint="eastAsia"/>
                      <w:color w:val="auto"/>
                      <w:lang w:val="en-US" w:eastAsia="zh-CN"/>
                    </w:rPr>
                    <w:t>2024</w:t>
                  </w:r>
                  <w:r>
                    <w:rPr>
                      <w:rFonts w:hint="eastAsia"/>
                      <w:color w:val="auto"/>
                      <w:sz w:val="24"/>
                      <w:szCs w:val="24"/>
                      <w:lang w:eastAsia="zh-CN"/>
                    </w:rPr>
                    <w:t>〕</w:t>
                  </w:r>
                  <w:r>
                    <w:rPr>
                      <w:rFonts w:hint="eastAsia"/>
                      <w:color w:val="auto"/>
                      <w:sz w:val="24"/>
                      <w:szCs w:val="24"/>
                      <w:lang w:val="en-US" w:eastAsia="zh-CN"/>
                    </w:rPr>
                    <w:t>4号</w:t>
                  </w:r>
                  <w:r>
                    <w:rPr>
                      <w:rFonts w:hint="eastAsia" w:cs="宋体"/>
                      <w:color w:val="auto"/>
                      <w:kern w:val="0"/>
                      <w:lang w:val="en-US" w:eastAsia="zh-CN"/>
                    </w:rPr>
                    <w:t>）</w:t>
                  </w:r>
                  <w:r>
                    <w:rPr>
                      <w:rFonts w:hint="eastAsia"/>
                      <w:color w:val="auto"/>
                    </w:rPr>
                    <w:t>。因此，本项目建设符合国家及地方产业政策</w:t>
                  </w:r>
                  <w:r>
                    <w:rPr>
                      <w:rFonts w:hint="eastAsia"/>
                      <w:color w:val="auto"/>
                      <w:lang w:eastAsia="zh-CN"/>
                    </w:rPr>
                    <w:t>，</w:t>
                  </w:r>
                  <w:r>
                    <w:rPr>
                      <w:rFonts w:hint="eastAsia"/>
                      <w:b w:val="0"/>
                      <w:bCs w:val="0"/>
                      <w:color w:val="000000"/>
                      <w:lang w:val="en-US" w:eastAsia="zh-CN"/>
                    </w:rPr>
                    <w:t>且环评要求企业使用新能源运输车辆运输</w:t>
                  </w:r>
                </w:p>
              </w:tc>
              <w:tc>
                <w:tcPr>
                  <w:tcW w:w="803" w:type="dxa"/>
                  <w:vAlign w:val="center"/>
                </w:tcPr>
                <w:p w14:paraId="5EF69533">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000000"/>
                    </w:rPr>
                  </w:pPr>
                  <w:r>
                    <w:rPr>
                      <w:rFonts w:hint="eastAsia"/>
                      <w:color w:val="000000"/>
                      <w:lang w:val="en-US" w:eastAsia="zh-CN"/>
                    </w:rPr>
                    <w:t>符合</w:t>
                  </w:r>
                </w:p>
              </w:tc>
            </w:tr>
            <w:tr w14:paraId="4A5C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restart"/>
                  <w:shd w:val="clear" w:color="auto" w:fill="auto"/>
                  <w:vAlign w:val="center"/>
                </w:tcPr>
                <w:p w14:paraId="3BE91FA3">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3</w:t>
                  </w:r>
                </w:p>
              </w:tc>
              <w:tc>
                <w:tcPr>
                  <w:tcW w:w="757" w:type="dxa"/>
                  <w:vMerge w:val="restart"/>
                  <w:shd w:val="clear" w:color="auto" w:fill="auto"/>
                  <w:vAlign w:val="center"/>
                </w:tcPr>
                <w:p w14:paraId="18001D73">
                  <w:pPr>
                    <w:pStyle w:val="3"/>
                    <w:bidi w:val="0"/>
                    <w:ind w:firstLine="0" w:firstLineChars="0"/>
                    <w:jc w:val="center"/>
                    <w:rPr>
                      <w:rFonts w:hint="default" w:ascii="Times New Roman" w:hAnsi="Times New Roman" w:eastAsia="宋体" w:cs="Times New Roman"/>
                      <w:color w:val="auto"/>
                      <w:kern w:val="44"/>
                      <w:sz w:val="21"/>
                      <w:szCs w:val="24"/>
                      <w:lang w:val="en-US" w:eastAsia="zh-CN" w:bidi="ar-SA"/>
                    </w:rPr>
                  </w:pPr>
                  <w:r>
                    <w:rPr>
                      <w:rFonts w:hint="eastAsia"/>
                      <w:color w:val="auto"/>
                      <w:lang w:val="en-US" w:eastAsia="zh-CN"/>
                    </w:rPr>
                    <w:t>《皖北六市空气质量提升攻坚行动方案》（皖政办秘〔2023〕58号</w:t>
                  </w:r>
                </w:p>
              </w:tc>
              <w:tc>
                <w:tcPr>
                  <w:tcW w:w="4254" w:type="dxa"/>
                  <w:shd w:val="clear" w:color="auto" w:fill="auto"/>
                  <w:vAlign w:val="center"/>
                </w:tcPr>
                <w:p w14:paraId="656973EB">
                  <w:pPr>
                    <w:pStyle w:val="55"/>
                    <w:bidi w:val="0"/>
                    <w:ind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深化扬尘污染综合治理。加强扬尘管控的监测巡查， 推进扬尘管控精细化、规范化、长效化。加大建筑施工扬尘管 控力度，全面落实建成区建筑施工工地围挡及喷淋、物料堆放覆盖、土方开挖湿法作业、施工便道硬化、出入车辆清洗、渣土车辆密闭运输“六个百分之百”；严格落实交通、水利等线性工程扬尘控制措施。</w:t>
                  </w:r>
                </w:p>
              </w:tc>
              <w:tc>
                <w:tcPr>
                  <w:tcW w:w="1845" w:type="dxa"/>
                  <w:shd w:val="clear" w:color="auto" w:fill="auto"/>
                  <w:vAlign w:val="center"/>
                </w:tcPr>
                <w:p w14:paraId="21DD8C22">
                  <w:pPr>
                    <w:pStyle w:val="55"/>
                    <w:bidi w:val="0"/>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rPr>
                    <w:t>厂内非道路移动机械和吸排车等特种运输机械全部达到国</w:t>
                  </w:r>
                  <w:r>
                    <w:rPr>
                      <w:rFonts w:hint="eastAsia"/>
                      <w:color w:val="auto"/>
                      <w:lang w:val="en-US" w:eastAsia="zh-CN"/>
                    </w:rPr>
                    <w:t>六</w:t>
                  </w:r>
                  <w:r>
                    <w:rPr>
                      <w:rFonts w:hint="eastAsia"/>
                      <w:color w:val="auto"/>
                    </w:rPr>
                    <w:t>及以上</w:t>
                  </w:r>
                </w:p>
              </w:tc>
              <w:tc>
                <w:tcPr>
                  <w:tcW w:w="803" w:type="dxa"/>
                  <w:vAlign w:val="center"/>
                </w:tcPr>
                <w:p w14:paraId="7783EBE9">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color w:val="000000"/>
                      <w:lang w:val="en-US" w:eastAsia="zh-CN"/>
                    </w:rPr>
                  </w:pPr>
                  <w:r>
                    <w:rPr>
                      <w:rFonts w:hint="eastAsia"/>
                      <w:color w:val="000000"/>
                      <w:lang w:val="en-US" w:eastAsia="zh-CN"/>
                    </w:rPr>
                    <w:t>符合</w:t>
                  </w:r>
                </w:p>
              </w:tc>
            </w:tr>
            <w:tr w14:paraId="41D1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continue"/>
                  <w:vAlign w:val="center"/>
                </w:tcPr>
                <w:p w14:paraId="7FE45107">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000000"/>
                    </w:rPr>
                  </w:pPr>
                </w:p>
              </w:tc>
              <w:tc>
                <w:tcPr>
                  <w:tcW w:w="757" w:type="dxa"/>
                  <w:vMerge w:val="continue"/>
                  <w:vAlign w:val="center"/>
                </w:tcPr>
                <w:p w14:paraId="06936326">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val="0"/>
                      <w:bCs w:val="0"/>
                      <w:color w:val="000000"/>
                      <w:lang w:val="en-US" w:eastAsia="zh-CN"/>
                    </w:rPr>
                  </w:pPr>
                </w:p>
              </w:tc>
              <w:tc>
                <w:tcPr>
                  <w:tcW w:w="4254" w:type="dxa"/>
                  <w:shd w:val="clear" w:color="auto" w:fill="auto"/>
                  <w:vAlign w:val="center"/>
                </w:tcPr>
                <w:p w14:paraId="50718A6C">
                  <w:pPr>
                    <w:pStyle w:val="55"/>
                    <w:bidi w:val="0"/>
                    <w:ind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强化移动源污染综合治理。全面实施机动车排放检验</w:t>
                  </w:r>
                  <w:r>
                    <w:rPr>
                      <w:rFonts w:hint="default"/>
                      <w:color w:val="auto"/>
                      <w:lang w:val="en-US" w:eastAsia="zh-CN"/>
                    </w:rPr>
                    <w:t>与维护制度，定期进行排放情况抽测。加快推进企业单位使用以新能源为动力的内部作业车辆和机械，全面推广使用新能源非道路移动机械。2025年底前基本淘汰国Ⅰ及以下排放标准的工程机械。深化非法加油站点整治，加大自备加油站点监管，严厉打击不合格油品。开展油气回收专项排查整治。</w:t>
                  </w:r>
                </w:p>
              </w:tc>
              <w:tc>
                <w:tcPr>
                  <w:tcW w:w="1845" w:type="dxa"/>
                  <w:shd w:val="clear" w:color="auto" w:fill="auto"/>
                  <w:vAlign w:val="center"/>
                </w:tcPr>
                <w:p w14:paraId="6DAF13F8">
                  <w:pPr>
                    <w:pStyle w:val="55"/>
                    <w:bidi w:val="0"/>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生活垃圾垃圾桶收集后，委托环卫部门采用密闭化收集转运</w:t>
                  </w:r>
                  <w:r>
                    <w:rPr>
                      <w:rFonts w:hint="default"/>
                      <w:color w:val="auto"/>
                      <w:lang w:val="en-US" w:eastAsia="zh-CN"/>
                    </w:rPr>
                    <w:t>，严防垃圾及渗滤液抛洒滴漏</w:t>
                  </w:r>
                </w:p>
              </w:tc>
              <w:tc>
                <w:tcPr>
                  <w:tcW w:w="803" w:type="dxa"/>
                  <w:vAlign w:val="center"/>
                </w:tcPr>
                <w:p w14:paraId="373375DB">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color w:val="000000"/>
                      <w:lang w:val="en-US" w:eastAsia="zh-CN"/>
                    </w:rPr>
                  </w:pPr>
                  <w:r>
                    <w:rPr>
                      <w:rFonts w:hint="eastAsia"/>
                      <w:color w:val="000000"/>
                      <w:lang w:val="en-US" w:eastAsia="zh-CN"/>
                    </w:rPr>
                    <w:t>符合</w:t>
                  </w:r>
                </w:p>
              </w:tc>
            </w:tr>
            <w:tr w14:paraId="1B3A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Align w:val="center"/>
                </w:tcPr>
                <w:p w14:paraId="4CA7721F">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eastAsia="宋体"/>
                      <w:b/>
                      <w:bCs/>
                      <w:color w:val="000000"/>
                      <w:lang w:val="en-US" w:eastAsia="zh-CN"/>
                    </w:rPr>
                  </w:pPr>
                  <w:r>
                    <w:rPr>
                      <w:rFonts w:hint="eastAsia"/>
                      <w:b/>
                      <w:bCs/>
                      <w:color w:val="000000"/>
                      <w:lang w:val="en-US" w:eastAsia="zh-CN"/>
                    </w:rPr>
                    <w:t>4</w:t>
                  </w:r>
                </w:p>
              </w:tc>
              <w:tc>
                <w:tcPr>
                  <w:tcW w:w="757" w:type="dxa"/>
                  <w:vAlign w:val="center"/>
                </w:tcPr>
                <w:p w14:paraId="0A0CBD9E">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val="0"/>
                      <w:bCs w:val="0"/>
                      <w:color w:val="000000"/>
                      <w:lang w:val="en-US" w:eastAsia="zh-CN"/>
                    </w:rPr>
                  </w:pPr>
                  <w:r>
                    <w:rPr>
                      <w:rFonts w:hint="eastAsia"/>
                      <w:lang w:val="en-US" w:eastAsia="zh-CN"/>
                    </w:rPr>
                    <w:t>《安徽省“两高”项目管理目录（试行）》（征求意见稿）</w:t>
                  </w:r>
                </w:p>
              </w:tc>
              <w:tc>
                <w:tcPr>
                  <w:tcW w:w="4254" w:type="dxa"/>
                  <w:shd w:val="clear" w:color="auto" w:fill="auto"/>
                  <w:vAlign w:val="center"/>
                </w:tcPr>
                <w:p w14:paraId="08ED769D">
                  <w:pPr>
                    <w:pStyle w:val="55"/>
                    <w:keepNext w:val="0"/>
                    <w:keepLines w:val="0"/>
                    <w:pageBreakBefore w:val="0"/>
                    <w:kinsoku/>
                    <w:wordWrap/>
                    <w:overflowPunct/>
                    <w:topLinePunct w:val="0"/>
                    <w:autoSpaceDE/>
                    <w:autoSpaceDN/>
                    <w:bidi w:val="0"/>
                    <w:adjustRightInd/>
                    <w:snapToGrid/>
                    <w:ind w:firstLine="0" w:firstLineChars="0"/>
                    <w:jc w:val="both"/>
                    <w:textAlignment w:val="auto"/>
                    <w:rPr>
                      <w:rStyle w:val="41"/>
                      <w:rFonts w:hint="eastAsia"/>
                      <w:lang w:val="en-US" w:eastAsia="zh-CN"/>
                    </w:rPr>
                  </w:pPr>
                  <w:r>
                    <w:rPr>
                      <w:rFonts w:hint="eastAsia"/>
                      <w:color w:val="auto"/>
                      <w:lang w:val="en-US" w:eastAsia="zh-CN"/>
                    </w:rPr>
                    <w:t>其中建材行业</w:t>
                  </w:r>
                  <w:r>
                    <w:rPr>
                      <w:rStyle w:val="41"/>
                      <w:rFonts w:hint="eastAsia"/>
                      <w:lang w:val="en-US" w:eastAsia="zh-CN"/>
                    </w:rPr>
                    <w:t>为：</w:t>
                  </w:r>
                  <w:r>
                    <w:rPr>
                      <w:rStyle w:val="41"/>
                      <w:rFonts w:hint="eastAsia"/>
                      <w:lang w:eastAsia="zh-CN"/>
                    </w:rPr>
                    <w:t>〔</w:t>
                  </w:r>
                  <w:r>
                    <w:rPr>
                      <w:rStyle w:val="41"/>
                    </w:rPr>
                    <w:t>C</w:t>
                  </w:r>
                  <w:r>
                    <w:rPr>
                      <w:rStyle w:val="41"/>
                      <w:rFonts w:hint="eastAsia"/>
                      <w:lang w:val="en-US" w:eastAsia="zh-CN"/>
                    </w:rPr>
                    <w:t>3011</w:t>
                  </w:r>
                  <w:r>
                    <w:rPr>
                      <w:rStyle w:val="41"/>
                      <w:rFonts w:hint="eastAsia"/>
                      <w:lang w:eastAsia="zh-CN"/>
                    </w:rPr>
                    <w:t>〕</w:t>
                  </w:r>
                  <w:r>
                    <w:rPr>
                      <w:rStyle w:val="41"/>
                      <w:rFonts w:hint="eastAsia"/>
                      <w:lang w:val="en-US" w:eastAsia="zh-CN"/>
                    </w:rPr>
                    <w:t>水泥制造；水泥熟料、水泥粉磨站；</w:t>
                  </w:r>
                </w:p>
                <w:p w14:paraId="094CA6DE">
                  <w:pPr>
                    <w:pStyle w:val="55"/>
                    <w:keepNext w:val="0"/>
                    <w:keepLines w:val="0"/>
                    <w:pageBreakBefore w:val="0"/>
                    <w:kinsoku/>
                    <w:wordWrap/>
                    <w:overflowPunct/>
                    <w:topLinePunct w:val="0"/>
                    <w:autoSpaceDE/>
                    <w:autoSpaceDN/>
                    <w:bidi w:val="0"/>
                    <w:adjustRightInd/>
                    <w:snapToGrid/>
                    <w:ind w:firstLine="0" w:firstLineChars="0"/>
                    <w:jc w:val="both"/>
                    <w:textAlignment w:val="auto"/>
                    <w:rPr>
                      <w:rStyle w:val="41"/>
                      <w:rFonts w:hint="default"/>
                      <w:lang w:val="en-US" w:eastAsia="zh-CN"/>
                    </w:rPr>
                  </w:pPr>
                  <w:r>
                    <w:rPr>
                      <w:rStyle w:val="41"/>
                      <w:rFonts w:hint="eastAsia"/>
                      <w:lang w:eastAsia="zh-CN"/>
                    </w:rPr>
                    <w:t>〔</w:t>
                  </w:r>
                  <w:r>
                    <w:rPr>
                      <w:rStyle w:val="41"/>
                    </w:rPr>
                    <w:t>C</w:t>
                  </w:r>
                  <w:r>
                    <w:rPr>
                      <w:rStyle w:val="41"/>
                      <w:rFonts w:hint="eastAsia"/>
                      <w:lang w:val="en-US" w:eastAsia="zh-CN"/>
                    </w:rPr>
                    <w:t>3012</w:t>
                  </w:r>
                  <w:r>
                    <w:rPr>
                      <w:rStyle w:val="41"/>
                      <w:rFonts w:hint="eastAsia"/>
                      <w:lang w:eastAsia="zh-CN"/>
                    </w:rPr>
                    <w:t>〕</w:t>
                  </w:r>
                  <w:r>
                    <w:rPr>
                      <w:rStyle w:val="41"/>
                      <w:rFonts w:hint="eastAsia"/>
                      <w:lang w:val="en-US" w:eastAsia="zh-CN"/>
                    </w:rPr>
                    <w:t>石灰和石膏制造；石灰</w:t>
                  </w:r>
                </w:p>
                <w:p w14:paraId="3F5B45AD">
                  <w:pPr>
                    <w:pStyle w:val="55"/>
                    <w:keepNext w:val="0"/>
                    <w:keepLines w:val="0"/>
                    <w:pageBreakBefore w:val="0"/>
                    <w:kinsoku/>
                    <w:wordWrap/>
                    <w:overflowPunct/>
                    <w:topLinePunct w:val="0"/>
                    <w:autoSpaceDE/>
                    <w:autoSpaceDN/>
                    <w:bidi w:val="0"/>
                    <w:adjustRightInd/>
                    <w:snapToGrid/>
                    <w:ind w:firstLine="0" w:firstLineChars="0"/>
                    <w:jc w:val="both"/>
                    <w:textAlignment w:val="auto"/>
                    <w:rPr>
                      <w:rStyle w:val="41"/>
                      <w:rFonts w:hint="eastAsia"/>
                      <w:lang w:val="en-US" w:eastAsia="zh-CN"/>
                    </w:rPr>
                  </w:pPr>
                  <w:r>
                    <w:rPr>
                      <w:rStyle w:val="41"/>
                      <w:rFonts w:hint="eastAsia"/>
                      <w:lang w:eastAsia="zh-CN"/>
                    </w:rPr>
                    <w:t>〔</w:t>
                  </w:r>
                  <w:r>
                    <w:rPr>
                      <w:rStyle w:val="41"/>
                    </w:rPr>
                    <w:t>C</w:t>
                  </w:r>
                  <w:r>
                    <w:rPr>
                      <w:rStyle w:val="41"/>
                      <w:rFonts w:hint="eastAsia"/>
                      <w:lang w:val="en-US" w:eastAsia="zh-CN"/>
                    </w:rPr>
                    <w:t>3031</w:t>
                  </w:r>
                  <w:r>
                    <w:rPr>
                      <w:rStyle w:val="41"/>
                      <w:rFonts w:hint="eastAsia"/>
                      <w:lang w:eastAsia="zh-CN"/>
                    </w:rPr>
                    <w:t>〕</w:t>
                  </w:r>
                  <w:r>
                    <w:rPr>
                      <w:rStyle w:val="41"/>
                      <w:rFonts w:hint="eastAsia"/>
                      <w:lang w:val="en-US" w:eastAsia="zh-CN"/>
                    </w:rPr>
                    <w:t>粘土砖瓦及建筑砌块制造；烧结砖瓦</w:t>
                  </w:r>
                </w:p>
                <w:p w14:paraId="05810052">
                  <w:pPr>
                    <w:pStyle w:val="55"/>
                    <w:keepNext w:val="0"/>
                    <w:keepLines w:val="0"/>
                    <w:pageBreakBefore w:val="0"/>
                    <w:kinsoku/>
                    <w:wordWrap/>
                    <w:overflowPunct/>
                    <w:topLinePunct w:val="0"/>
                    <w:autoSpaceDE/>
                    <w:autoSpaceDN/>
                    <w:bidi w:val="0"/>
                    <w:adjustRightInd/>
                    <w:snapToGrid/>
                    <w:ind w:firstLine="0" w:firstLineChars="0"/>
                    <w:jc w:val="both"/>
                    <w:textAlignment w:val="auto"/>
                    <w:rPr>
                      <w:rStyle w:val="41"/>
                      <w:rFonts w:hint="eastAsia"/>
                      <w:lang w:val="en-US" w:eastAsia="zh-CN"/>
                    </w:rPr>
                  </w:pPr>
                  <w:r>
                    <w:rPr>
                      <w:rStyle w:val="41"/>
                      <w:rFonts w:hint="eastAsia"/>
                      <w:lang w:eastAsia="zh-CN"/>
                    </w:rPr>
                    <w:t>〔</w:t>
                  </w:r>
                  <w:r>
                    <w:rPr>
                      <w:rStyle w:val="41"/>
                    </w:rPr>
                    <w:t>C</w:t>
                  </w:r>
                  <w:r>
                    <w:rPr>
                      <w:rStyle w:val="41"/>
                      <w:rFonts w:hint="eastAsia"/>
                      <w:lang w:val="en-US" w:eastAsia="zh-CN"/>
                    </w:rPr>
                    <w:t>3033</w:t>
                  </w:r>
                  <w:r>
                    <w:rPr>
                      <w:rStyle w:val="41"/>
                      <w:rFonts w:hint="eastAsia"/>
                      <w:lang w:eastAsia="zh-CN"/>
                    </w:rPr>
                    <w:t>〕</w:t>
                  </w:r>
                  <w:r>
                    <w:rPr>
                      <w:rStyle w:val="41"/>
                      <w:rFonts w:hint="eastAsia"/>
                      <w:lang w:val="en-US" w:eastAsia="zh-CN"/>
                    </w:rPr>
                    <w:t>防水建筑材料制造；石油沥青防水卷材（不包括改性沥青防水卷材，自粘防水卷材），其他沥青防水卷材；金属胎油毡，玻纤胎沥青瓦，钠基膨润土防水毯</w:t>
                  </w:r>
                </w:p>
                <w:p w14:paraId="543F6214">
                  <w:pPr>
                    <w:keepNext w:val="0"/>
                    <w:keepLines w:val="0"/>
                    <w:pageBreakBefore w:val="0"/>
                    <w:kinsoku/>
                    <w:wordWrap/>
                    <w:overflowPunct/>
                    <w:topLinePunct w:val="0"/>
                    <w:autoSpaceDE/>
                    <w:autoSpaceDN/>
                    <w:bidi w:val="0"/>
                    <w:adjustRightInd/>
                    <w:snapToGrid/>
                    <w:ind w:firstLine="0" w:firstLineChars="0"/>
                    <w:textAlignment w:val="auto"/>
                    <w:rPr>
                      <w:rFonts w:hint="default"/>
                      <w:lang w:val="en-US" w:eastAsia="zh-CN"/>
                    </w:rPr>
                  </w:pPr>
                  <w:r>
                    <w:rPr>
                      <w:rStyle w:val="41"/>
                      <w:rFonts w:hint="eastAsia"/>
                      <w:lang w:eastAsia="zh-CN"/>
                    </w:rPr>
                    <w:t>〔</w:t>
                  </w:r>
                  <w:r>
                    <w:rPr>
                      <w:rStyle w:val="41"/>
                    </w:rPr>
                    <w:t>C</w:t>
                  </w:r>
                  <w:r>
                    <w:rPr>
                      <w:rStyle w:val="41"/>
                      <w:rFonts w:hint="eastAsia"/>
                      <w:lang w:val="en-US" w:eastAsia="zh-CN"/>
                    </w:rPr>
                    <w:t>3041</w:t>
                  </w:r>
                  <w:r>
                    <w:rPr>
                      <w:rStyle w:val="41"/>
                      <w:rFonts w:hint="eastAsia"/>
                      <w:lang w:eastAsia="zh-CN"/>
                    </w:rPr>
                    <w:t>〕</w:t>
                  </w:r>
                  <w:r>
                    <w:rPr>
                      <w:rStyle w:val="41"/>
                      <w:rFonts w:hint="eastAsia"/>
                      <w:lang w:val="en-US" w:eastAsia="zh-CN"/>
                    </w:rPr>
                    <w:t>平板玻璃制造；普通平板玻璃，浮法平板玻璃，压延玻璃，其它平板玻璃</w:t>
                  </w:r>
                </w:p>
                <w:p w14:paraId="2D88C7DB">
                  <w:pPr>
                    <w:keepNext w:val="0"/>
                    <w:keepLines w:val="0"/>
                    <w:pageBreakBefore w:val="0"/>
                    <w:kinsoku/>
                    <w:wordWrap/>
                    <w:overflowPunct/>
                    <w:topLinePunct w:val="0"/>
                    <w:autoSpaceDE/>
                    <w:autoSpaceDN/>
                    <w:bidi w:val="0"/>
                    <w:adjustRightInd/>
                    <w:snapToGrid/>
                    <w:ind w:firstLine="0" w:firstLineChars="0"/>
                    <w:textAlignment w:val="auto"/>
                    <w:rPr>
                      <w:rStyle w:val="41"/>
                      <w:rFonts w:hint="eastAsia"/>
                      <w:lang w:val="en-US" w:eastAsia="zh-CN"/>
                    </w:rPr>
                  </w:pPr>
                  <w:r>
                    <w:rPr>
                      <w:rStyle w:val="41"/>
                      <w:rFonts w:hint="eastAsia"/>
                      <w:lang w:eastAsia="zh-CN"/>
                    </w:rPr>
                    <w:t>〔</w:t>
                  </w:r>
                  <w:r>
                    <w:rPr>
                      <w:rStyle w:val="41"/>
                    </w:rPr>
                    <w:t>C</w:t>
                  </w:r>
                  <w:r>
                    <w:rPr>
                      <w:rStyle w:val="41"/>
                      <w:rFonts w:hint="eastAsia"/>
                      <w:lang w:val="en-US" w:eastAsia="zh-CN"/>
                    </w:rPr>
                    <w:t>3071</w:t>
                  </w:r>
                  <w:r>
                    <w:rPr>
                      <w:rStyle w:val="41"/>
                      <w:rFonts w:hint="eastAsia"/>
                      <w:lang w:eastAsia="zh-CN"/>
                    </w:rPr>
                    <w:t>〕</w:t>
                  </w:r>
                  <w:r>
                    <w:rPr>
                      <w:rStyle w:val="41"/>
                      <w:rFonts w:hint="eastAsia"/>
                      <w:lang w:val="en-US" w:eastAsia="zh-CN"/>
                    </w:rPr>
                    <w:t>建筑陶瓷制品制造；建筑陶瓷</w:t>
                  </w:r>
                </w:p>
                <w:p w14:paraId="1E4EFB55">
                  <w:pPr>
                    <w:keepNext w:val="0"/>
                    <w:keepLines w:val="0"/>
                    <w:pageBreakBefore w:val="0"/>
                    <w:kinsoku/>
                    <w:wordWrap/>
                    <w:overflowPunct/>
                    <w:topLinePunct w:val="0"/>
                    <w:autoSpaceDE/>
                    <w:autoSpaceDN/>
                    <w:bidi w:val="0"/>
                    <w:adjustRightInd/>
                    <w:snapToGrid/>
                    <w:ind w:firstLine="0" w:firstLineChars="0"/>
                    <w:textAlignment w:val="auto"/>
                    <w:rPr>
                      <w:rStyle w:val="41"/>
                      <w:rFonts w:hint="eastAsia"/>
                      <w:lang w:val="en-US" w:eastAsia="zh-CN"/>
                    </w:rPr>
                  </w:pPr>
                  <w:r>
                    <w:rPr>
                      <w:rStyle w:val="41"/>
                      <w:rFonts w:hint="eastAsia"/>
                      <w:lang w:eastAsia="zh-CN"/>
                    </w:rPr>
                    <w:t>〔</w:t>
                  </w:r>
                  <w:r>
                    <w:rPr>
                      <w:rStyle w:val="41"/>
                    </w:rPr>
                    <w:t>C</w:t>
                  </w:r>
                  <w:r>
                    <w:rPr>
                      <w:rStyle w:val="41"/>
                      <w:rFonts w:hint="eastAsia"/>
                      <w:lang w:val="en-US" w:eastAsia="zh-CN"/>
                    </w:rPr>
                    <w:t>3072</w:t>
                  </w:r>
                  <w:r>
                    <w:rPr>
                      <w:rStyle w:val="41"/>
                      <w:rFonts w:hint="eastAsia"/>
                      <w:lang w:eastAsia="zh-CN"/>
                    </w:rPr>
                    <w:t>〕</w:t>
                  </w:r>
                  <w:r>
                    <w:rPr>
                      <w:rStyle w:val="41"/>
                      <w:rFonts w:hint="eastAsia"/>
                      <w:lang w:val="en-US" w:eastAsia="zh-CN"/>
                    </w:rPr>
                    <w:t>卫生陶瓷制品制造；耐火材料</w:t>
                  </w:r>
                </w:p>
                <w:p w14:paraId="24096390">
                  <w:pPr>
                    <w:keepNext w:val="0"/>
                    <w:keepLines w:val="0"/>
                    <w:pageBreakBefore w:val="0"/>
                    <w:kinsoku/>
                    <w:wordWrap/>
                    <w:overflowPunct/>
                    <w:topLinePunct w:val="0"/>
                    <w:autoSpaceDE/>
                    <w:autoSpaceDN/>
                    <w:bidi w:val="0"/>
                    <w:adjustRightInd/>
                    <w:snapToGrid/>
                    <w:ind w:firstLine="0" w:firstLineChars="0"/>
                    <w:textAlignment w:val="auto"/>
                    <w:rPr>
                      <w:rStyle w:val="41"/>
                      <w:rFonts w:hint="eastAsia"/>
                      <w:lang w:val="en-US" w:eastAsia="zh-CN"/>
                    </w:rPr>
                  </w:pPr>
                  <w:r>
                    <w:rPr>
                      <w:rStyle w:val="41"/>
                      <w:rFonts w:hint="eastAsia"/>
                      <w:lang w:eastAsia="zh-CN"/>
                    </w:rPr>
                    <w:t>〔</w:t>
                  </w:r>
                  <w:r>
                    <w:rPr>
                      <w:rStyle w:val="41"/>
                    </w:rPr>
                    <w:t>C</w:t>
                  </w:r>
                  <w:r>
                    <w:rPr>
                      <w:rStyle w:val="41"/>
                      <w:rFonts w:hint="eastAsia"/>
                      <w:lang w:val="en-US" w:eastAsia="zh-CN"/>
                    </w:rPr>
                    <w:t>308</w:t>
                  </w:r>
                  <w:r>
                    <w:rPr>
                      <w:rStyle w:val="41"/>
                      <w:rFonts w:hint="eastAsia"/>
                      <w:lang w:eastAsia="zh-CN"/>
                    </w:rPr>
                    <w:t>〕</w:t>
                  </w:r>
                  <w:r>
                    <w:rPr>
                      <w:rStyle w:val="41"/>
                      <w:rFonts w:hint="eastAsia"/>
                      <w:lang w:val="en-US" w:eastAsia="zh-CN"/>
                    </w:rPr>
                    <w:t>耐火陶瓷制品制造；耐火材料</w:t>
                  </w:r>
                </w:p>
                <w:p w14:paraId="5924049C">
                  <w:pPr>
                    <w:keepNext w:val="0"/>
                    <w:keepLines w:val="0"/>
                    <w:pageBreakBefore w:val="0"/>
                    <w:kinsoku/>
                    <w:wordWrap/>
                    <w:overflowPunct/>
                    <w:topLinePunct w:val="0"/>
                    <w:autoSpaceDE/>
                    <w:autoSpaceDN/>
                    <w:bidi w:val="0"/>
                    <w:adjustRightInd/>
                    <w:snapToGrid/>
                    <w:ind w:firstLine="0" w:firstLineChars="0"/>
                    <w:textAlignment w:val="auto"/>
                    <w:rPr>
                      <w:rFonts w:hint="default"/>
                      <w:lang w:val="en-US" w:eastAsia="zh-CN"/>
                    </w:rPr>
                  </w:pPr>
                  <w:r>
                    <w:rPr>
                      <w:rStyle w:val="41"/>
                      <w:rFonts w:hint="eastAsia"/>
                      <w:lang w:eastAsia="zh-CN"/>
                    </w:rPr>
                    <w:t>〔</w:t>
                  </w:r>
                  <w:r>
                    <w:rPr>
                      <w:rStyle w:val="41"/>
                    </w:rPr>
                    <w:t>C</w:t>
                  </w:r>
                  <w:r>
                    <w:rPr>
                      <w:rStyle w:val="41"/>
                      <w:rFonts w:hint="eastAsia"/>
                      <w:lang w:val="en-US" w:eastAsia="zh-CN"/>
                    </w:rPr>
                    <w:t>3091</w:t>
                  </w:r>
                  <w:r>
                    <w:rPr>
                      <w:rStyle w:val="41"/>
                      <w:rFonts w:hint="eastAsia"/>
                      <w:lang w:eastAsia="zh-CN"/>
                    </w:rPr>
                    <w:t>〕</w:t>
                  </w:r>
                  <w:r>
                    <w:rPr>
                      <w:rStyle w:val="41"/>
                      <w:rFonts w:hint="eastAsia"/>
                      <w:lang w:val="en-US" w:eastAsia="zh-CN"/>
                    </w:rPr>
                    <w:t>石墨及碳素制品制造；铝用炭素</w:t>
                  </w:r>
                </w:p>
              </w:tc>
              <w:tc>
                <w:tcPr>
                  <w:tcW w:w="1845" w:type="dxa"/>
                  <w:shd w:val="clear" w:color="auto" w:fill="auto"/>
                  <w:vAlign w:val="center"/>
                </w:tcPr>
                <w:p w14:paraId="07DF959A">
                  <w:pPr>
                    <w:pStyle w:val="55"/>
                    <w:bidi w:val="0"/>
                    <w:ind w:firstLine="0" w:firstLineChars="0"/>
                    <w:jc w:val="center"/>
                    <w:rPr>
                      <w:rFonts w:hint="eastAsia"/>
                      <w:color w:val="auto"/>
                      <w:lang w:val="en-US" w:eastAsia="zh-CN"/>
                    </w:rPr>
                  </w:pPr>
                  <w:r>
                    <w:rPr>
                      <w:rFonts w:hint="eastAsia"/>
                      <w:color w:val="auto"/>
                      <w:lang w:val="en-US" w:eastAsia="zh-CN"/>
                    </w:rPr>
                    <w:t>对照《建设项目环境影响评价分类管理名录（2021年版）》本项目为〔C3029〕其他水泥类似制品制造，根据</w:t>
                  </w:r>
                  <w:r>
                    <w:rPr>
                      <w:rFonts w:hint="eastAsia"/>
                      <w:lang w:val="en-US" w:eastAsia="zh-CN"/>
                    </w:rPr>
                    <w:t>《安徽省“两高”项目管理目录（试行）》（征求意见稿），本项目</w:t>
                  </w:r>
                  <w:r>
                    <w:rPr>
                      <w:rFonts w:hint="eastAsia"/>
                      <w:color w:val="auto"/>
                      <w:lang w:val="en-US" w:eastAsia="zh-CN"/>
                    </w:rPr>
                    <w:t>不属于两高项目</w:t>
                  </w:r>
                </w:p>
              </w:tc>
              <w:tc>
                <w:tcPr>
                  <w:tcW w:w="803" w:type="dxa"/>
                  <w:vAlign w:val="center"/>
                </w:tcPr>
                <w:p w14:paraId="05D8CBD1">
                  <w:pPr>
                    <w:pStyle w:val="3"/>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color w:val="000000"/>
                      <w:lang w:val="en-US" w:eastAsia="zh-CN"/>
                    </w:rPr>
                  </w:pPr>
                  <w:r>
                    <w:rPr>
                      <w:rFonts w:hint="eastAsia"/>
                      <w:color w:val="000000"/>
                      <w:lang w:val="en-US" w:eastAsia="zh-CN"/>
                    </w:rPr>
                    <w:t>符合</w:t>
                  </w:r>
                </w:p>
              </w:tc>
            </w:tr>
            <w:tr w14:paraId="2250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restart"/>
                  <w:vAlign w:val="center"/>
                </w:tcPr>
                <w:p w14:paraId="0C3C7980">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color w:val="000000"/>
                      <w:lang w:val="en-US" w:eastAsia="zh-CN"/>
                    </w:rPr>
                  </w:pPr>
                  <w:r>
                    <w:rPr>
                      <w:rFonts w:hint="eastAsia"/>
                      <w:color w:val="000000"/>
                      <w:lang w:val="en-US" w:eastAsia="zh-CN"/>
                    </w:rPr>
                    <w:t>6</w:t>
                  </w:r>
                </w:p>
              </w:tc>
              <w:tc>
                <w:tcPr>
                  <w:tcW w:w="757" w:type="dxa"/>
                  <w:vMerge w:val="restart"/>
                  <w:vAlign w:val="center"/>
                </w:tcPr>
                <w:p w14:paraId="22CBDD40">
                  <w:pPr>
                    <w:pStyle w:val="3"/>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000000"/>
                      <w:lang w:val="en-US" w:eastAsia="zh-CN"/>
                    </w:rPr>
                  </w:pPr>
                  <w:r>
                    <w:rPr>
                      <w:rFonts w:hint="eastAsia"/>
                      <w:color w:val="000000"/>
                    </w:rPr>
                    <w:t>淮北市生态环境保护</w:t>
                  </w:r>
                  <w:r>
                    <w:rPr>
                      <w:rFonts w:hint="eastAsia"/>
                      <w:color w:val="000000"/>
                      <w:lang w:eastAsia="zh-CN"/>
                    </w:rPr>
                    <w:t>“</w:t>
                  </w:r>
                  <w:r>
                    <w:rPr>
                      <w:rFonts w:hint="eastAsia"/>
                      <w:color w:val="000000"/>
                    </w:rPr>
                    <w:t>十四五</w:t>
                  </w:r>
                  <w:r>
                    <w:rPr>
                      <w:rFonts w:hint="eastAsia"/>
                      <w:color w:val="000000"/>
                      <w:lang w:eastAsia="zh-CN"/>
                    </w:rPr>
                    <w:t>”</w:t>
                  </w:r>
                  <w:r>
                    <w:rPr>
                      <w:rFonts w:hint="eastAsia"/>
                      <w:color w:val="000000"/>
                    </w:rPr>
                    <w:t>规划》的通知（淮环〔2022〕1号</w:t>
                  </w:r>
                  <w:r>
                    <w:rPr>
                      <w:rFonts w:hint="eastAsia"/>
                      <w:color w:val="000000"/>
                      <w:lang w:val="en-US" w:eastAsia="zh-CN"/>
                    </w:rPr>
                    <w:t>)</w:t>
                  </w:r>
                </w:p>
              </w:tc>
              <w:tc>
                <w:tcPr>
                  <w:tcW w:w="4254" w:type="dxa"/>
                  <w:vAlign w:val="center"/>
                </w:tcPr>
                <w:p w14:paraId="7EBE79AF">
                  <w:pPr>
                    <w:pStyle w:val="3"/>
                    <w:ind w:firstLine="0" w:firstLineChars="0"/>
                    <w:jc w:val="center"/>
                    <w:outlineLvl w:val="0"/>
                    <w:rPr>
                      <w:rFonts w:hint="eastAsia" w:ascii="Times New Roman" w:hAnsi="Times New Roman" w:eastAsia="宋体" w:cs="宋体"/>
                      <w:snapToGrid w:val="0"/>
                      <w:color w:val="000000"/>
                      <w:kern w:val="0"/>
                      <w:sz w:val="21"/>
                      <w:szCs w:val="21"/>
                      <w:lang w:val="en-US" w:eastAsia="zh-CN" w:bidi="ar-SA"/>
                    </w:rPr>
                  </w:pPr>
                  <w:r>
                    <w:rPr>
                      <w:rFonts w:hint="eastAsia"/>
                      <w:color w:val="000000"/>
                    </w:rPr>
                    <w:t>推进风险全过程监管。强化企业环境风险主体责任，督促企业开展环境风险隐患排查并建立档案。抓好重点行业企业和重点区域的环境风险评估工作，实施环境风险分级管理，持续推进企业、园区、行政区域的三级防控体系。建立企业突发环境事件报告与应急处理制度、特征污染物监测报告等制度，探索建立建设项目验收与企业环境应急预案备案的联动机制，推广</w:t>
                  </w:r>
                  <w:r>
                    <w:rPr>
                      <w:rFonts w:hint="eastAsia"/>
                      <w:color w:val="000000"/>
                      <w:lang w:eastAsia="zh-CN"/>
                    </w:rPr>
                    <w:t>“</w:t>
                  </w:r>
                  <w:r>
                    <w:rPr>
                      <w:rFonts w:hint="eastAsia"/>
                      <w:color w:val="000000"/>
                    </w:rPr>
                    <w:t>标杆式</w:t>
                  </w:r>
                  <w:r>
                    <w:rPr>
                      <w:rFonts w:hint="eastAsia"/>
                      <w:color w:val="000000"/>
                      <w:lang w:eastAsia="zh-CN"/>
                    </w:rPr>
                    <w:t>”</w:t>
                  </w:r>
                  <w:r>
                    <w:rPr>
                      <w:rFonts w:hint="eastAsia"/>
                      <w:color w:val="000000"/>
                    </w:rPr>
                    <w:t xml:space="preserve">、 </w:t>
                  </w:r>
                  <w:r>
                    <w:rPr>
                      <w:rFonts w:hint="eastAsia"/>
                      <w:color w:val="000000"/>
                      <w:lang w:eastAsia="zh-CN"/>
                    </w:rPr>
                    <w:t>“</w:t>
                  </w:r>
                  <w:r>
                    <w:rPr>
                      <w:rFonts w:hint="eastAsia"/>
                      <w:color w:val="000000"/>
                    </w:rPr>
                    <w:t>卡片式</w:t>
                  </w:r>
                  <w:r>
                    <w:rPr>
                      <w:rFonts w:hint="eastAsia"/>
                      <w:color w:val="000000"/>
                      <w:lang w:eastAsia="zh-CN"/>
                    </w:rPr>
                    <w:t>”</w:t>
                  </w:r>
                  <w:r>
                    <w:rPr>
                      <w:rFonts w:hint="eastAsia"/>
                      <w:color w:val="000000"/>
                    </w:rPr>
                    <w:t>预案管理模式。严格源头防控、深化过程监管，严厉打击污染治理设施不规范、不运行、偷排、漏排等行为，强化责任追究，将环境风险防范纳入到日常环境管理</w:t>
                  </w:r>
                  <w:r>
                    <w:rPr>
                      <w:rFonts w:hint="eastAsia"/>
                      <w:color w:val="000000"/>
                      <w:lang w:eastAsia="zh-CN"/>
                    </w:rPr>
                    <w:t>。</w:t>
                  </w:r>
                </w:p>
              </w:tc>
              <w:tc>
                <w:tcPr>
                  <w:tcW w:w="1845" w:type="dxa"/>
                  <w:vAlign w:val="center"/>
                </w:tcPr>
                <w:p w14:paraId="7726A62D">
                  <w:pPr>
                    <w:pStyle w:val="3"/>
                    <w:bidi w:val="0"/>
                    <w:jc w:val="center"/>
                    <w:rPr>
                      <w:rFonts w:hint="default" w:eastAsia="宋体"/>
                      <w:lang w:val="en-US" w:eastAsia="zh-CN"/>
                    </w:rPr>
                  </w:pPr>
                  <w:r>
                    <w:rPr>
                      <w:color w:val="000000"/>
                    </w:rPr>
                    <w:t>本项目将加强厂区内的环境风险防范措施</w:t>
                  </w:r>
                  <w:r>
                    <w:rPr>
                      <w:rFonts w:hint="eastAsia"/>
                      <w:color w:val="000000"/>
                    </w:rPr>
                    <w:t>，制定</w:t>
                  </w:r>
                  <w:r>
                    <w:rPr>
                      <w:color w:val="000000"/>
                    </w:rPr>
                    <w:t>突发环境风险应急预案</w:t>
                  </w:r>
                  <w:r>
                    <w:rPr>
                      <w:rFonts w:hint="eastAsia"/>
                      <w:lang w:val="en-US" w:eastAsia="zh-CN"/>
                    </w:rPr>
                    <w:t>与</w:t>
                  </w:r>
                  <w:r>
                    <w:rPr>
                      <w:rFonts w:hint="eastAsia"/>
                      <w:color w:val="000000"/>
                    </w:rPr>
                    <w:t>行政区域</w:t>
                  </w:r>
                  <w:r>
                    <w:rPr>
                      <w:rFonts w:hint="eastAsia"/>
                      <w:lang w:val="en-US" w:eastAsia="zh-CN"/>
                    </w:rPr>
                    <w:t>联动</w:t>
                  </w:r>
                </w:p>
                <w:p w14:paraId="34954F3D">
                  <w:pPr>
                    <w:pStyle w:val="3"/>
                    <w:bidi w:val="0"/>
                    <w:jc w:val="center"/>
                    <w:rPr>
                      <w:rFonts w:hint="eastAsia"/>
                      <w:color w:val="000000"/>
                      <w:lang w:val="en-US" w:eastAsia="zh-CN"/>
                    </w:rPr>
                  </w:pPr>
                </w:p>
              </w:tc>
              <w:tc>
                <w:tcPr>
                  <w:tcW w:w="803" w:type="dxa"/>
                  <w:vMerge w:val="restart"/>
                  <w:vAlign w:val="center"/>
                </w:tcPr>
                <w:p w14:paraId="08C9A3F6">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eastAsia"/>
                      <w:color w:val="000000"/>
                      <w:sz w:val="24"/>
                      <w:szCs w:val="24"/>
                      <w:lang w:val="en-US" w:eastAsia="zh-CN"/>
                    </w:rPr>
                  </w:pPr>
                  <w:r>
                    <w:rPr>
                      <w:rFonts w:hint="eastAsia"/>
                      <w:lang w:val="en-US" w:eastAsia="zh-CN"/>
                    </w:rPr>
                    <w:t>符合</w:t>
                  </w:r>
                </w:p>
              </w:tc>
            </w:tr>
            <w:tr w14:paraId="44D6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continue"/>
                  <w:vAlign w:val="center"/>
                </w:tcPr>
                <w:p w14:paraId="6E5A36B0">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center"/>
                    <w:textAlignment w:val="auto"/>
                    <w:rPr>
                      <w:rFonts w:hint="eastAsia"/>
                      <w:color w:val="000000"/>
                      <w:lang w:val="en-US" w:eastAsia="zh-CN"/>
                    </w:rPr>
                  </w:pPr>
                </w:p>
              </w:tc>
              <w:tc>
                <w:tcPr>
                  <w:tcW w:w="757" w:type="dxa"/>
                  <w:vMerge w:val="continue"/>
                  <w:vAlign w:val="center"/>
                </w:tcPr>
                <w:p w14:paraId="344FFAD8">
                  <w:pPr>
                    <w:pStyle w:val="3"/>
                    <w:keepNext w:val="0"/>
                    <w:keepLines w:val="0"/>
                    <w:pageBreakBefore w:val="0"/>
                    <w:widowControl w:val="0"/>
                    <w:kinsoku/>
                    <w:wordWrap/>
                    <w:overflowPunct/>
                    <w:topLinePunct w:val="0"/>
                    <w:autoSpaceDE/>
                    <w:autoSpaceDN/>
                    <w:bidi w:val="0"/>
                    <w:adjustRightInd/>
                    <w:snapToGrid/>
                    <w:jc w:val="center"/>
                    <w:textAlignment w:val="auto"/>
                    <w:rPr>
                      <w:rFonts w:hint="eastAsia"/>
                      <w:color w:val="000000"/>
                    </w:rPr>
                  </w:pPr>
                </w:p>
              </w:tc>
              <w:tc>
                <w:tcPr>
                  <w:tcW w:w="4254" w:type="dxa"/>
                  <w:vAlign w:val="center"/>
                </w:tcPr>
                <w:p w14:paraId="7698B4B9">
                  <w:pPr>
                    <w:pStyle w:val="3"/>
                    <w:ind w:firstLine="0" w:firstLineChars="0"/>
                    <w:jc w:val="center"/>
                    <w:outlineLvl w:val="0"/>
                    <w:rPr>
                      <w:rFonts w:hint="eastAsia" w:ascii="Times New Roman" w:hAnsi="Times New Roman" w:eastAsia="宋体" w:cs="宋体"/>
                      <w:snapToGrid w:val="0"/>
                      <w:color w:val="000000"/>
                      <w:kern w:val="0"/>
                      <w:sz w:val="21"/>
                      <w:szCs w:val="21"/>
                      <w:lang w:val="en-US" w:eastAsia="zh-CN" w:bidi="ar-SA"/>
                    </w:rPr>
                  </w:pPr>
                  <w:r>
                    <w:rPr>
                      <w:rFonts w:hint="eastAsia"/>
                      <w:color w:val="000000"/>
                    </w:rPr>
                    <w:t>强化应急防范处置能力。加强环境风险信息化管理，完善环境风险源、环境敏感目标、环境应急能力及环境应急预案等数据库，健全应急指挥决策支持系统，提升环境应急信息化水平。加强环境应急预案管理，强化应急演练，推进环境应急管理规范化。加强部门应急联动机制建设，完善环境应急监测设备，提高应急监测水平。提升环境应急保障能力，建立市、县(区)突发环境事件应急综合救援队伍，加强环境应急专家队伍管理，优化相关咨询机制和决策支持。加强突发环境事件环境污染损害评估、事件调查、信息发布等</w:t>
                  </w:r>
                </w:p>
              </w:tc>
              <w:tc>
                <w:tcPr>
                  <w:tcW w:w="1845" w:type="dxa"/>
                  <w:vAlign w:val="center"/>
                </w:tcPr>
                <w:p w14:paraId="18CA6B43">
                  <w:pPr>
                    <w:pStyle w:val="3"/>
                    <w:bidi w:val="0"/>
                    <w:jc w:val="center"/>
                    <w:rPr>
                      <w:rFonts w:hint="eastAsia"/>
                      <w:color w:val="000000"/>
                      <w:lang w:val="en-US" w:eastAsia="zh-CN"/>
                    </w:rPr>
                  </w:pPr>
                  <w:r>
                    <w:rPr>
                      <w:rFonts w:hint="eastAsia"/>
                      <w:color w:val="000000"/>
                    </w:rPr>
                    <w:t>本</w:t>
                  </w:r>
                  <w:r>
                    <w:rPr>
                      <w:color w:val="000000"/>
                    </w:rPr>
                    <w:t>项目完善环境风险源、环境敏感目标、环境应急能力及环境应急预案等数据库，</w:t>
                  </w:r>
                  <w:r>
                    <w:rPr>
                      <w:rFonts w:hint="eastAsia"/>
                      <w:color w:val="000000"/>
                    </w:rPr>
                    <w:t>且</w:t>
                  </w:r>
                  <w:r>
                    <w:rPr>
                      <w:color w:val="000000"/>
                    </w:rPr>
                    <w:t>加强厂区内的环境风险防范措施</w:t>
                  </w:r>
                </w:p>
              </w:tc>
              <w:tc>
                <w:tcPr>
                  <w:tcW w:w="803" w:type="dxa"/>
                  <w:vMerge w:val="continue"/>
                  <w:vAlign w:val="center"/>
                </w:tcPr>
                <w:p w14:paraId="04FCDECD">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480" w:firstLineChars="200"/>
                    <w:jc w:val="center"/>
                    <w:textAlignment w:val="auto"/>
                    <w:rPr>
                      <w:rFonts w:hint="eastAsia"/>
                      <w:color w:val="000000"/>
                      <w:sz w:val="24"/>
                      <w:szCs w:val="24"/>
                      <w:lang w:val="en-US" w:eastAsia="zh-CN"/>
                    </w:rPr>
                  </w:pPr>
                </w:p>
              </w:tc>
            </w:tr>
            <w:tr w14:paraId="1265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continue"/>
                  <w:vAlign w:val="center"/>
                </w:tcPr>
                <w:p w14:paraId="3AFB857A">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center"/>
                    <w:textAlignment w:val="auto"/>
                    <w:rPr>
                      <w:rFonts w:hint="eastAsia"/>
                      <w:color w:val="000000"/>
                      <w:lang w:val="en-US" w:eastAsia="zh-CN"/>
                    </w:rPr>
                  </w:pPr>
                </w:p>
              </w:tc>
              <w:tc>
                <w:tcPr>
                  <w:tcW w:w="757" w:type="dxa"/>
                  <w:vMerge w:val="continue"/>
                  <w:vAlign w:val="center"/>
                </w:tcPr>
                <w:p w14:paraId="17C2B216">
                  <w:pPr>
                    <w:pStyle w:val="3"/>
                    <w:keepNext w:val="0"/>
                    <w:keepLines w:val="0"/>
                    <w:pageBreakBefore w:val="0"/>
                    <w:widowControl w:val="0"/>
                    <w:kinsoku/>
                    <w:wordWrap/>
                    <w:overflowPunct/>
                    <w:topLinePunct w:val="0"/>
                    <w:autoSpaceDE/>
                    <w:autoSpaceDN/>
                    <w:bidi w:val="0"/>
                    <w:adjustRightInd/>
                    <w:snapToGrid/>
                    <w:jc w:val="center"/>
                    <w:textAlignment w:val="auto"/>
                    <w:rPr>
                      <w:rFonts w:hint="eastAsia"/>
                      <w:color w:val="000000"/>
                    </w:rPr>
                  </w:pPr>
                </w:p>
              </w:tc>
              <w:tc>
                <w:tcPr>
                  <w:tcW w:w="4254" w:type="dxa"/>
                  <w:vAlign w:val="center"/>
                </w:tcPr>
                <w:p w14:paraId="12DD900F">
                  <w:pPr>
                    <w:pStyle w:val="3"/>
                    <w:ind w:firstLine="0" w:firstLineChars="0"/>
                    <w:jc w:val="center"/>
                    <w:outlineLvl w:val="0"/>
                    <w:rPr>
                      <w:rFonts w:hint="eastAsia" w:ascii="Times New Roman" w:hAnsi="Times New Roman" w:eastAsia="宋体" w:cs="宋体"/>
                      <w:snapToGrid w:val="0"/>
                      <w:color w:val="000000"/>
                      <w:kern w:val="0"/>
                      <w:sz w:val="21"/>
                      <w:szCs w:val="21"/>
                      <w:lang w:val="en-US" w:eastAsia="zh-CN" w:bidi="ar-SA"/>
                    </w:rPr>
                  </w:pPr>
                  <w:r>
                    <w:rPr>
                      <w:rFonts w:hint="eastAsia"/>
                      <w:color w:val="000000"/>
                    </w:rPr>
                    <w:t>防控重点行业环境风险。加强石化、化工行业环境风险防控，全面排查危险化学品生产、运输、使用及存储全过程风险隐患，健全环境监管及风险防范制度，严厉查处环境违法行为。加强对涉重行业环境风险防控，提高金属表面处理等行业环境准入门槛和环境安全水平。加强对危废处置企业环境风险管控，强化贮存、运输、处置的环境监管</w:t>
                  </w:r>
                  <w:r>
                    <w:rPr>
                      <w:rFonts w:hint="eastAsia"/>
                      <w:color w:val="000000"/>
                      <w:lang w:eastAsia="zh-CN"/>
                    </w:rPr>
                    <w:t>。</w:t>
                  </w:r>
                </w:p>
              </w:tc>
              <w:tc>
                <w:tcPr>
                  <w:tcW w:w="1845" w:type="dxa"/>
                  <w:vAlign w:val="center"/>
                </w:tcPr>
                <w:p w14:paraId="0EEAFAB0">
                  <w:pPr>
                    <w:pStyle w:val="3"/>
                    <w:bidi w:val="0"/>
                    <w:jc w:val="center"/>
                    <w:rPr>
                      <w:rFonts w:hint="eastAsia"/>
                      <w:color w:val="000000"/>
                      <w:lang w:val="en-US" w:eastAsia="zh-CN"/>
                    </w:rPr>
                  </w:pPr>
                  <w:r>
                    <w:rPr>
                      <w:rFonts w:hint="eastAsia"/>
                      <w:color w:val="000000"/>
                    </w:rPr>
                    <w:t>本项目不属石油、化工、金属表面处理等防控重点行业，且</w:t>
                  </w:r>
                  <w:r>
                    <w:rPr>
                      <w:color w:val="000000"/>
                    </w:rPr>
                    <w:t>加强厂区内的环境风险防范措施</w:t>
                  </w:r>
                </w:p>
              </w:tc>
              <w:tc>
                <w:tcPr>
                  <w:tcW w:w="803" w:type="dxa"/>
                  <w:vMerge w:val="continue"/>
                  <w:vAlign w:val="center"/>
                </w:tcPr>
                <w:p w14:paraId="3AC361EA">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480" w:firstLineChars="200"/>
                    <w:jc w:val="center"/>
                    <w:textAlignment w:val="auto"/>
                    <w:rPr>
                      <w:rFonts w:hint="eastAsia"/>
                      <w:color w:val="000000"/>
                      <w:sz w:val="24"/>
                      <w:szCs w:val="24"/>
                      <w:lang w:val="en-US" w:eastAsia="zh-CN"/>
                    </w:rPr>
                  </w:pPr>
                </w:p>
              </w:tc>
            </w:tr>
            <w:tr w14:paraId="6B59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continue"/>
                  <w:vAlign w:val="center"/>
                </w:tcPr>
                <w:p w14:paraId="4BBBBC50">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center"/>
                    <w:textAlignment w:val="auto"/>
                    <w:rPr>
                      <w:rFonts w:hint="eastAsia"/>
                      <w:color w:val="000000"/>
                      <w:lang w:val="en-US" w:eastAsia="zh-CN"/>
                    </w:rPr>
                  </w:pPr>
                </w:p>
              </w:tc>
              <w:tc>
                <w:tcPr>
                  <w:tcW w:w="757" w:type="dxa"/>
                  <w:vMerge w:val="continue"/>
                  <w:vAlign w:val="center"/>
                </w:tcPr>
                <w:p w14:paraId="1FE4A9D7">
                  <w:pPr>
                    <w:pStyle w:val="3"/>
                    <w:keepNext w:val="0"/>
                    <w:keepLines w:val="0"/>
                    <w:pageBreakBefore w:val="0"/>
                    <w:widowControl w:val="0"/>
                    <w:kinsoku/>
                    <w:wordWrap/>
                    <w:overflowPunct/>
                    <w:topLinePunct w:val="0"/>
                    <w:autoSpaceDE/>
                    <w:autoSpaceDN/>
                    <w:bidi w:val="0"/>
                    <w:adjustRightInd/>
                    <w:snapToGrid/>
                    <w:jc w:val="center"/>
                    <w:textAlignment w:val="auto"/>
                    <w:rPr>
                      <w:rFonts w:hint="eastAsia"/>
                      <w:color w:val="000000"/>
                    </w:rPr>
                  </w:pPr>
                </w:p>
              </w:tc>
              <w:tc>
                <w:tcPr>
                  <w:tcW w:w="4254" w:type="dxa"/>
                  <w:vAlign w:val="center"/>
                </w:tcPr>
                <w:p w14:paraId="4F93583A">
                  <w:pPr>
                    <w:pStyle w:val="3"/>
                    <w:ind w:firstLine="0" w:firstLineChars="0"/>
                    <w:jc w:val="center"/>
                    <w:outlineLvl w:val="0"/>
                    <w:rPr>
                      <w:rFonts w:hint="eastAsia" w:ascii="Times New Roman" w:hAnsi="Times New Roman" w:eastAsia="宋体" w:cs="宋体"/>
                      <w:snapToGrid w:val="0"/>
                      <w:color w:val="000000"/>
                      <w:kern w:val="0"/>
                      <w:sz w:val="21"/>
                      <w:szCs w:val="21"/>
                      <w:lang w:val="en-US" w:eastAsia="zh-CN" w:bidi="ar-SA"/>
                    </w:rPr>
                  </w:pPr>
                  <w:r>
                    <w:rPr>
                      <w:rFonts w:hint="eastAsia"/>
                      <w:color w:val="000000"/>
                    </w:rPr>
                    <w:t>加强生活垃圾综合处理。深入实施城市生活垃圾分类，提高垃圾处理减量化、资源化和无害化水平，积极创建</w:t>
                  </w:r>
                  <w:r>
                    <w:rPr>
                      <w:rFonts w:hint="eastAsia"/>
                      <w:color w:val="000000"/>
                      <w:lang w:eastAsia="zh-CN"/>
                    </w:rPr>
                    <w:t>“</w:t>
                  </w:r>
                  <w:r>
                    <w:rPr>
                      <w:rFonts w:hint="eastAsia"/>
                      <w:color w:val="000000"/>
                    </w:rPr>
                    <w:t>无废城市</w:t>
                  </w:r>
                  <w:r>
                    <w:rPr>
                      <w:rFonts w:hint="eastAsia"/>
                      <w:color w:val="000000"/>
                      <w:lang w:eastAsia="zh-CN"/>
                    </w:rPr>
                    <w:t>”</w:t>
                  </w:r>
                  <w:r>
                    <w:rPr>
                      <w:rFonts w:hint="eastAsia"/>
                      <w:color w:val="000000"/>
                    </w:rPr>
                    <w:t>。完善区域生活垃圾无害化处理系统，加强生活垃圾无害化处理设施建设和运营信息统计，重点推进对焚烧厂、卫生填埋场主要设施运营状况等实施实时监控，加强对焚烧设施烟气排放和卫生填埋场渗滤液和填埋气体的监测，防范污染，提高垃圾处理厂监管能力</w:t>
                  </w:r>
                  <w:r>
                    <w:rPr>
                      <w:rFonts w:hint="eastAsia"/>
                      <w:color w:val="000000"/>
                      <w:lang w:eastAsia="zh-CN"/>
                    </w:rPr>
                    <w:t>。</w:t>
                  </w:r>
                </w:p>
              </w:tc>
              <w:tc>
                <w:tcPr>
                  <w:tcW w:w="1845" w:type="dxa"/>
                  <w:vAlign w:val="center"/>
                </w:tcPr>
                <w:p w14:paraId="11594399">
                  <w:pPr>
                    <w:pStyle w:val="3"/>
                    <w:bidi w:val="0"/>
                    <w:jc w:val="center"/>
                    <w:rPr>
                      <w:rFonts w:hint="eastAsia"/>
                      <w:color w:val="000000"/>
                      <w:lang w:val="en-US" w:eastAsia="zh-CN"/>
                    </w:rPr>
                  </w:pPr>
                  <w:r>
                    <w:rPr>
                      <w:rFonts w:hint="eastAsia"/>
                      <w:color w:val="000000"/>
                    </w:rPr>
                    <w:t>本项目生活垃圾经</w:t>
                  </w:r>
                  <w:r>
                    <w:rPr>
                      <w:color w:val="000000"/>
                    </w:rPr>
                    <w:t>生活垃圾</w:t>
                  </w:r>
                  <w:r>
                    <w:rPr>
                      <w:rFonts w:hint="eastAsia"/>
                      <w:color w:val="000000"/>
                    </w:rPr>
                    <w:t>桶</w:t>
                  </w:r>
                  <w:r>
                    <w:rPr>
                      <w:color w:val="000000"/>
                    </w:rPr>
                    <w:t>收集后由环卫部门统一清运处理</w:t>
                  </w:r>
                  <w:r>
                    <w:rPr>
                      <w:rFonts w:hint="eastAsia"/>
                      <w:color w:val="000000"/>
                    </w:rPr>
                    <w:t>，只在厂内暂存</w:t>
                  </w:r>
                </w:p>
              </w:tc>
              <w:tc>
                <w:tcPr>
                  <w:tcW w:w="803" w:type="dxa"/>
                  <w:vMerge w:val="continue"/>
                  <w:vAlign w:val="center"/>
                </w:tcPr>
                <w:p w14:paraId="4D5FDF86">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480" w:firstLineChars="200"/>
                    <w:jc w:val="center"/>
                    <w:textAlignment w:val="auto"/>
                    <w:rPr>
                      <w:rFonts w:hint="eastAsia"/>
                      <w:color w:val="000000"/>
                      <w:sz w:val="24"/>
                      <w:szCs w:val="24"/>
                      <w:lang w:val="en-US" w:eastAsia="zh-CN"/>
                    </w:rPr>
                  </w:pPr>
                </w:p>
              </w:tc>
            </w:tr>
            <w:tr w14:paraId="5432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restart"/>
                  <w:vAlign w:val="center"/>
                </w:tcPr>
                <w:p w14:paraId="58D96966">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color w:val="000000"/>
                      <w:lang w:val="en-US" w:eastAsia="zh-CN"/>
                    </w:rPr>
                  </w:pPr>
                  <w:r>
                    <w:rPr>
                      <w:rFonts w:hint="eastAsia"/>
                      <w:color w:val="000000"/>
                      <w:lang w:val="en-US" w:eastAsia="zh-CN"/>
                    </w:rPr>
                    <w:t>7</w:t>
                  </w:r>
                </w:p>
              </w:tc>
              <w:tc>
                <w:tcPr>
                  <w:tcW w:w="757" w:type="dxa"/>
                  <w:vMerge w:val="restart"/>
                  <w:vAlign w:val="center"/>
                </w:tcPr>
                <w:p w14:paraId="05E83FAA">
                  <w:pPr>
                    <w:pStyle w:val="3"/>
                    <w:bidi w:val="0"/>
                    <w:jc w:val="center"/>
                    <w:rPr>
                      <w:rFonts w:hint="eastAsia"/>
                      <w:color w:val="auto"/>
                      <w:szCs w:val="32"/>
                    </w:rPr>
                  </w:pPr>
                  <w:r>
                    <w:rPr>
                      <w:rFonts w:hint="eastAsia"/>
                      <w:color w:val="auto"/>
                      <w:szCs w:val="32"/>
                    </w:rPr>
                    <w:t>《关于进一步加强涉大气污染物排放项目环评文件审批的指导意见（试行）》的通知（淮环函</w:t>
                  </w:r>
                  <w:r>
                    <w:rPr>
                      <w:rFonts w:hint="eastAsia" w:ascii="宋体" w:hAnsi="宋体" w:cs="宋体"/>
                      <w:color w:val="auto"/>
                      <w:szCs w:val="32"/>
                    </w:rPr>
                    <w:t>〔</w:t>
                  </w:r>
                  <w:r>
                    <w:rPr>
                      <w:rFonts w:hint="eastAsia"/>
                      <w:color w:val="auto"/>
                      <w:szCs w:val="32"/>
                    </w:rPr>
                    <w:t>2022</w:t>
                  </w:r>
                  <w:r>
                    <w:rPr>
                      <w:rFonts w:hint="eastAsia" w:ascii="宋体" w:hAnsi="宋体" w:cs="宋体"/>
                      <w:color w:val="auto"/>
                      <w:szCs w:val="32"/>
                    </w:rPr>
                    <w:t>〕</w:t>
                  </w:r>
                  <w:r>
                    <w:rPr>
                      <w:rFonts w:hint="eastAsia"/>
                      <w:color w:val="auto"/>
                      <w:szCs w:val="32"/>
                    </w:rPr>
                    <w:t>227号）</w:t>
                  </w:r>
                </w:p>
                <w:p w14:paraId="7BDF74FE">
                  <w:pPr>
                    <w:pStyle w:val="3"/>
                    <w:bidi w:val="0"/>
                    <w:jc w:val="center"/>
                  </w:pPr>
                </w:p>
              </w:tc>
              <w:tc>
                <w:tcPr>
                  <w:tcW w:w="4254" w:type="dxa"/>
                  <w:vAlign w:val="center"/>
                </w:tcPr>
                <w:p w14:paraId="73125E62">
                  <w:pPr>
                    <w:pStyle w:val="3"/>
                    <w:bidi w:val="0"/>
                    <w:jc w:val="center"/>
                    <w:rPr>
                      <w:rFonts w:hint="eastAsia"/>
                    </w:rPr>
                  </w:pPr>
                  <w:r>
                    <w:rPr>
                      <w:rFonts w:hint="eastAsia"/>
                      <w:color w:val="auto"/>
                    </w:rPr>
                    <w:t>大宗物料和产品运输采用清洁运输方式或电动重型载货车辆的比例不低于50%；其他运输部分使用新能源车辆或达到国六排放标准的重型载货车辆的比例不低于80%，其他达到国四排放标准；其他原辅材料公路运输部分使用达到国五及以上排放标准的重型载货车辆（含燃气)或新能源车辆；厂内运输车辆全部达到国五及以上排放标准(含燃气）或使用新能源车辆；厂内非道路移动机械和吸排车等特种运输机械全部达到国三及以上。</w:t>
                  </w:r>
                </w:p>
              </w:tc>
              <w:tc>
                <w:tcPr>
                  <w:tcW w:w="1845" w:type="dxa"/>
                  <w:vAlign w:val="center"/>
                </w:tcPr>
                <w:p w14:paraId="0159528A">
                  <w:pPr>
                    <w:pStyle w:val="3"/>
                    <w:ind w:firstLine="0" w:firstLineChars="0"/>
                    <w:jc w:val="center"/>
                    <w:outlineLvl w:val="0"/>
                    <w:rPr>
                      <w:rFonts w:hint="eastAsia"/>
                      <w:color w:val="000000"/>
                      <w:lang w:val="en-US" w:eastAsia="zh-CN"/>
                    </w:rPr>
                  </w:pPr>
                  <w:r>
                    <w:rPr>
                      <w:rFonts w:hint="eastAsia"/>
                      <w:color w:val="auto"/>
                      <w:lang w:val="en-US" w:eastAsia="zh-CN"/>
                    </w:rPr>
                    <w:t>本项目</w:t>
                  </w:r>
                  <w:r>
                    <w:rPr>
                      <w:rFonts w:hint="eastAsia"/>
                      <w:color w:val="auto"/>
                    </w:rPr>
                    <w:t>厂内运输车辆全部达到国五及以上排放标准(含燃气）或使用新能源车辆；厂内非道路移动机械和吸排车等特种运输机械全部达到国三及以上</w:t>
                  </w:r>
                </w:p>
              </w:tc>
              <w:tc>
                <w:tcPr>
                  <w:tcW w:w="803" w:type="dxa"/>
                  <w:vMerge w:val="restart"/>
                  <w:vAlign w:val="center"/>
                </w:tcPr>
                <w:p w14:paraId="7E5C5BBA">
                  <w:pPr>
                    <w:pStyle w:val="3"/>
                    <w:bidi w:val="0"/>
                    <w:rPr>
                      <w:rFonts w:hint="eastAsia"/>
                      <w:lang w:val="en-US" w:eastAsia="zh-CN"/>
                    </w:rPr>
                  </w:pPr>
                  <w:r>
                    <w:rPr>
                      <w:rFonts w:hint="eastAsia"/>
                      <w:lang w:val="en-US" w:eastAsia="zh-CN"/>
                    </w:rPr>
                    <w:t>符合</w:t>
                  </w:r>
                </w:p>
              </w:tc>
            </w:tr>
            <w:tr w14:paraId="5399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continue"/>
                  <w:vAlign w:val="center"/>
                </w:tcPr>
                <w:p w14:paraId="19890F09">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eastAsia"/>
                      <w:color w:val="000000"/>
                      <w:lang w:val="en-US" w:eastAsia="zh-CN"/>
                    </w:rPr>
                  </w:pPr>
                </w:p>
              </w:tc>
              <w:tc>
                <w:tcPr>
                  <w:tcW w:w="757" w:type="dxa"/>
                  <w:vMerge w:val="continue"/>
                  <w:vAlign w:val="center"/>
                </w:tcPr>
                <w:p w14:paraId="4AB22443">
                  <w:pPr>
                    <w:pStyle w:val="3"/>
                    <w:bidi w:val="0"/>
                    <w:jc w:val="center"/>
                  </w:pPr>
                </w:p>
              </w:tc>
              <w:tc>
                <w:tcPr>
                  <w:tcW w:w="4254" w:type="dxa"/>
                  <w:vAlign w:val="center"/>
                </w:tcPr>
                <w:p w14:paraId="3FD036DC">
                  <w:pPr>
                    <w:pStyle w:val="55"/>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rPr>
                    <w:t>粉状物料采用料仓、储罐等方式密闭储存，采用密闭皮带、封闭通廊、管状带式输送机或密闭车厢等方式输送；破碎、筛分等设备设置密封罩，并配备除尘设施；物料输送过程中产尘点采取有效抑尘措施；厂区道路硬化。</w:t>
                  </w:r>
                </w:p>
              </w:tc>
              <w:tc>
                <w:tcPr>
                  <w:tcW w:w="1845" w:type="dxa"/>
                  <w:vMerge w:val="restart"/>
                  <w:vAlign w:val="center"/>
                </w:tcPr>
                <w:p w14:paraId="55F22C25">
                  <w:pPr>
                    <w:pStyle w:val="3"/>
                    <w:ind w:firstLine="0" w:firstLineChars="0"/>
                    <w:jc w:val="center"/>
                    <w:outlineLvl w:val="0"/>
                    <w:rPr>
                      <w:rFonts w:hint="default" w:eastAsia="宋体"/>
                      <w:color w:val="000000"/>
                      <w:lang w:val="en-US" w:eastAsia="zh-CN"/>
                    </w:rPr>
                  </w:pPr>
                  <w:r>
                    <w:rPr>
                      <w:rFonts w:hint="eastAsia" w:cs="Times New Roman"/>
                      <w:color w:val="auto"/>
                      <w:lang w:val="en-US" w:eastAsia="zh-CN"/>
                    </w:rPr>
                    <w:t>输送投料粉尘</w:t>
                  </w:r>
                  <w:r>
                    <w:rPr>
                      <w:rFonts w:hint="default" w:ascii="Times New Roman" w:hAnsi="Times New Roman" w:cs="Times New Roman"/>
                      <w:color w:val="auto"/>
                    </w:rPr>
                    <w:t>采取</w:t>
                  </w:r>
                  <w:r>
                    <w:rPr>
                      <w:rFonts w:hint="eastAsia" w:cs="Times New Roman"/>
                      <w:color w:val="auto"/>
                      <w:lang w:val="en-US" w:eastAsia="zh-CN"/>
                    </w:rPr>
                    <w:t>输送带封闭、安装喷淋装置（降尘50%）、</w:t>
                  </w:r>
                  <w:r>
                    <w:rPr>
                      <w:rFonts w:hint="eastAsia" w:cs="Times New Roman"/>
                      <w:color w:val="auto"/>
                      <w:lang w:eastAsia="zh-CN"/>
                    </w:rPr>
                    <w:t>“</w:t>
                  </w:r>
                  <w:r>
                    <w:rPr>
                      <w:rFonts w:hint="default" w:ascii="Times New Roman" w:hAnsi="Times New Roman" w:cs="Times New Roman"/>
                      <w:color w:val="auto"/>
                      <w:lang w:val="en-US" w:eastAsia="zh-CN"/>
                    </w:rPr>
                    <w:t>集气罩收集（收集效率为90%）+布袋除尘器（处理效率9</w:t>
                  </w:r>
                  <w:r>
                    <w:rPr>
                      <w:rFonts w:hint="eastAsia" w:cs="Times New Roman"/>
                      <w:color w:val="auto"/>
                      <w:lang w:val="en-US" w:eastAsia="zh-CN"/>
                    </w:rPr>
                    <w:t>9</w:t>
                  </w:r>
                  <w:r>
                    <w:rPr>
                      <w:rFonts w:hint="default" w:ascii="Times New Roman" w:hAnsi="Times New Roman" w:cs="Times New Roman"/>
                      <w:color w:val="auto"/>
                      <w:lang w:val="en-US" w:eastAsia="zh-CN"/>
                    </w:rPr>
                    <w:t>%）</w:t>
                  </w:r>
                  <w:r>
                    <w:rPr>
                      <w:rFonts w:hint="eastAsia" w:cs="Times New Roman"/>
                      <w:color w:val="auto"/>
                      <w:lang w:eastAsia="zh-CN"/>
                    </w:rPr>
                    <w:t>”</w:t>
                  </w:r>
                  <w:r>
                    <w:rPr>
                      <w:rFonts w:hint="default" w:ascii="Times New Roman" w:hAnsi="Times New Roman" w:cs="Times New Roman"/>
                      <w:color w:val="auto"/>
                      <w:lang w:val="en-US" w:eastAsia="zh-CN"/>
                    </w:rPr>
                    <w:t>处理后，经15m（DA001）排气筒排放</w:t>
                  </w:r>
                  <w:r>
                    <w:rPr>
                      <w:rFonts w:hint="eastAsia" w:cs="Times New Roman"/>
                      <w:color w:val="auto"/>
                      <w:lang w:val="en-US" w:eastAsia="zh-CN"/>
                    </w:rPr>
                    <w:t>；</w:t>
                  </w:r>
                  <w:r>
                    <w:rPr>
                      <w:rFonts w:hint="eastAsia"/>
                      <w:color w:val="auto"/>
                    </w:rPr>
                    <w:t>卸料粉尘采取生产车间封闭（控尘效率90%）、安装喷淋装置（控尘效率50%）、减小卸料落差、地面硬化、定期清扫地面的措施；车辆运输扬尘设置洗车平台，厂区内道路硬化、洒水抑尘、定期清扫地面的措施</w:t>
                  </w:r>
                </w:p>
              </w:tc>
              <w:tc>
                <w:tcPr>
                  <w:tcW w:w="803" w:type="dxa"/>
                  <w:vMerge w:val="continue"/>
                  <w:vAlign w:val="center"/>
                </w:tcPr>
                <w:p w14:paraId="6FD212CA">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480" w:firstLineChars="200"/>
                    <w:jc w:val="center"/>
                    <w:textAlignment w:val="auto"/>
                    <w:rPr>
                      <w:rFonts w:hint="eastAsia"/>
                      <w:color w:val="000000"/>
                      <w:sz w:val="24"/>
                      <w:szCs w:val="24"/>
                      <w:lang w:val="en-US" w:eastAsia="zh-CN"/>
                    </w:rPr>
                  </w:pPr>
                </w:p>
              </w:tc>
            </w:tr>
            <w:tr w14:paraId="49CF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continue"/>
                  <w:vAlign w:val="center"/>
                </w:tcPr>
                <w:p w14:paraId="5A7F238A">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eastAsia"/>
                      <w:color w:val="000000"/>
                      <w:lang w:val="en-US" w:eastAsia="zh-CN"/>
                    </w:rPr>
                  </w:pPr>
                </w:p>
              </w:tc>
              <w:tc>
                <w:tcPr>
                  <w:tcW w:w="757" w:type="dxa"/>
                  <w:vMerge w:val="continue"/>
                  <w:vAlign w:val="center"/>
                </w:tcPr>
                <w:p w14:paraId="13EAEF63">
                  <w:pPr>
                    <w:pStyle w:val="3"/>
                    <w:bidi w:val="0"/>
                    <w:jc w:val="center"/>
                  </w:pPr>
                </w:p>
              </w:tc>
              <w:tc>
                <w:tcPr>
                  <w:tcW w:w="4254" w:type="dxa"/>
                  <w:vAlign w:val="center"/>
                </w:tcPr>
                <w:p w14:paraId="63977AF6">
                  <w:pPr>
                    <w:pStyle w:val="55"/>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rPr>
                    <w:t>车间采取密闭、封闭等措施，无可见烟粉尘外逸；生产工艺（装置）产尘点采用密闭、封闭或设置集气罩等措施；粒状、块状物料采用入棚、入仓等方式储存，堆场建设防风抑尘网，粒状物料采用密闭、封闭等方式输送；物料装卸、储存、输送过程中产尘点采取有效抑尘措施；料棚配备喷雾抑尘设施或物料全部封闭储存，产尘点及车间不得有可见烟（粉）尘外逸出入口配备自动门。</w:t>
                  </w:r>
                </w:p>
              </w:tc>
              <w:tc>
                <w:tcPr>
                  <w:tcW w:w="1845" w:type="dxa"/>
                  <w:vMerge w:val="continue"/>
                  <w:vAlign w:val="center"/>
                </w:tcPr>
                <w:p w14:paraId="2A1BDF48">
                  <w:pPr>
                    <w:pStyle w:val="3"/>
                    <w:ind w:firstLine="0" w:firstLineChars="0"/>
                    <w:jc w:val="center"/>
                    <w:outlineLvl w:val="0"/>
                    <w:rPr>
                      <w:rFonts w:hint="eastAsia"/>
                      <w:color w:val="000000"/>
                      <w:lang w:val="en-US" w:eastAsia="zh-CN"/>
                    </w:rPr>
                  </w:pPr>
                </w:p>
              </w:tc>
              <w:tc>
                <w:tcPr>
                  <w:tcW w:w="803" w:type="dxa"/>
                  <w:vMerge w:val="continue"/>
                  <w:vAlign w:val="center"/>
                </w:tcPr>
                <w:p w14:paraId="24CF6A28">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480" w:firstLineChars="200"/>
                    <w:jc w:val="center"/>
                    <w:textAlignment w:val="auto"/>
                    <w:rPr>
                      <w:rFonts w:hint="eastAsia"/>
                      <w:color w:val="000000"/>
                      <w:sz w:val="24"/>
                      <w:szCs w:val="24"/>
                      <w:lang w:val="en-US" w:eastAsia="zh-CN"/>
                    </w:rPr>
                  </w:pPr>
                </w:p>
              </w:tc>
            </w:tr>
            <w:tr w14:paraId="22A7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continue"/>
                  <w:vAlign w:val="center"/>
                </w:tcPr>
                <w:p w14:paraId="0354F7E6">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eastAsia"/>
                      <w:color w:val="000000"/>
                      <w:lang w:val="en-US" w:eastAsia="zh-CN"/>
                    </w:rPr>
                  </w:pPr>
                </w:p>
              </w:tc>
              <w:tc>
                <w:tcPr>
                  <w:tcW w:w="757" w:type="dxa"/>
                  <w:vMerge w:val="continue"/>
                  <w:vAlign w:val="center"/>
                </w:tcPr>
                <w:p w14:paraId="48081386">
                  <w:pPr>
                    <w:pStyle w:val="3"/>
                    <w:bidi w:val="0"/>
                    <w:jc w:val="center"/>
                  </w:pPr>
                </w:p>
              </w:tc>
              <w:tc>
                <w:tcPr>
                  <w:tcW w:w="4254" w:type="dxa"/>
                  <w:vAlign w:val="center"/>
                </w:tcPr>
                <w:p w14:paraId="2EEFECCB">
                  <w:pPr>
                    <w:pStyle w:val="55"/>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rPr>
                    <w:t>料场出入口等易产生颗粒物排放环节，安装高清视频监控设施。视频监控数据保存三个月以上；主要生产设施与污染防治设施分表计电。</w:t>
                  </w:r>
                </w:p>
              </w:tc>
              <w:tc>
                <w:tcPr>
                  <w:tcW w:w="1845" w:type="dxa"/>
                  <w:vMerge w:val="continue"/>
                  <w:vAlign w:val="center"/>
                </w:tcPr>
                <w:p w14:paraId="30FA30FE">
                  <w:pPr>
                    <w:pStyle w:val="3"/>
                    <w:ind w:firstLine="0" w:firstLineChars="0"/>
                    <w:jc w:val="center"/>
                    <w:outlineLvl w:val="0"/>
                    <w:rPr>
                      <w:rFonts w:hint="eastAsia"/>
                      <w:color w:val="000000"/>
                      <w:lang w:val="en-US" w:eastAsia="zh-CN"/>
                    </w:rPr>
                  </w:pPr>
                </w:p>
              </w:tc>
              <w:tc>
                <w:tcPr>
                  <w:tcW w:w="803" w:type="dxa"/>
                  <w:vMerge w:val="continue"/>
                  <w:vAlign w:val="center"/>
                </w:tcPr>
                <w:p w14:paraId="0BB6A01D">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480" w:firstLineChars="200"/>
                    <w:jc w:val="center"/>
                    <w:textAlignment w:val="auto"/>
                    <w:rPr>
                      <w:rFonts w:hint="eastAsia"/>
                      <w:color w:val="000000"/>
                      <w:sz w:val="24"/>
                      <w:szCs w:val="24"/>
                      <w:lang w:val="en-US" w:eastAsia="zh-CN"/>
                    </w:rPr>
                  </w:pPr>
                </w:p>
              </w:tc>
            </w:tr>
            <w:tr w14:paraId="7C81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restart"/>
                  <w:vAlign w:val="center"/>
                </w:tcPr>
                <w:p w14:paraId="158B2224">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color w:val="auto"/>
                      <w:lang w:val="en-US" w:eastAsia="zh-CN"/>
                    </w:rPr>
                  </w:pPr>
                  <w:r>
                    <w:rPr>
                      <w:rFonts w:hint="eastAsia"/>
                      <w:color w:val="auto"/>
                      <w:lang w:val="en-US" w:eastAsia="zh-CN"/>
                    </w:rPr>
                    <w:t>8</w:t>
                  </w:r>
                </w:p>
              </w:tc>
              <w:tc>
                <w:tcPr>
                  <w:tcW w:w="757" w:type="dxa"/>
                  <w:vMerge w:val="restart"/>
                  <w:vAlign w:val="center"/>
                </w:tcPr>
                <w:p w14:paraId="21D7B044">
                  <w:pPr>
                    <w:pStyle w:val="3"/>
                    <w:bidi w:val="0"/>
                    <w:jc w:val="center"/>
                    <w:rPr>
                      <w:rFonts w:hint="default"/>
                      <w:color w:val="auto"/>
                      <w:lang w:val="en-US" w:eastAsia="zh-CN"/>
                    </w:rPr>
                  </w:pPr>
                  <w:r>
                    <w:rPr>
                      <w:rFonts w:hint="eastAsia"/>
                      <w:color w:val="auto"/>
                    </w:rPr>
                    <w:t>淮北市人民政府办公室关于印发《淮北市空气质量提升攻坚行动方案的通知》</w:t>
                  </w:r>
                  <w:r>
                    <w:rPr>
                      <w:rFonts w:hint="eastAsia"/>
                      <w:color w:val="auto"/>
                      <w:lang w:eastAsia="zh-CN"/>
                    </w:rPr>
                    <w:t>（</w:t>
                  </w:r>
                  <w:r>
                    <w:rPr>
                      <w:rFonts w:hint="eastAsia"/>
                      <w:color w:val="auto"/>
                      <w:lang w:val="en-US" w:eastAsia="zh-CN"/>
                    </w:rPr>
                    <w:t>淮政办秘</w:t>
                  </w:r>
                  <w:r>
                    <w:rPr>
                      <w:rFonts w:hint="eastAsia"/>
                      <w:color w:val="auto"/>
                      <w:lang w:eastAsia="zh-CN"/>
                    </w:rPr>
                    <w:t>〔202</w:t>
                  </w:r>
                  <w:r>
                    <w:rPr>
                      <w:rFonts w:hint="eastAsia"/>
                      <w:color w:val="auto"/>
                      <w:lang w:val="en-US" w:eastAsia="zh-CN"/>
                    </w:rPr>
                    <w:t>4</w:t>
                  </w:r>
                  <w:r>
                    <w:rPr>
                      <w:rFonts w:hint="eastAsia"/>
                      <w:color w:val="auto"/>
                      <w:lang w:eastAsia="zh-CN"/>
                    </w:rPr>
                    <w:t>〕</w:t>
                  </w:r>
                  <w:r>
                    <w:rPr>
                      <w:rFonts w:hint="eastAsia"/>
                      <w:color w:val="auto"/>
                      <w:lang w:val="en-US" w:eastAsia="zh-CN"/>
                    </w:rPr>
                    <w:t>8</w:t>
                  </w:r>
                  <w:r>
                    <w:rPr>
                      <w:rFonts w:hint="eastAsia"/>
                      <w:color w:val="auto"/>
                      <w:lang w:eastAsia="zh-CN"/>
                    </w:rPr>
                    <w:t>号</w:t>
                  </w:r>
                </w:p>
                <w:p w14:paraId="3EB84024">
                  <w:pPr>
                    <w:pStyle w:val="3"/>
                    <w:bidi w:val="0"/>
                    <w:jc w:val="center"/>
                    <w:rPr>
                      <w:color w:val="auto"/>
                    </w:rPr>
                  </w:pPr>
                </w:p>
              </w:tc>
              <w:tc>
                <w:tcPr>
                  <w:tcW w:w="4254" w:type="dxa"/>
                  <w:vAlign w:val="center"/>
                </w:tcPr>
                <w:p w14:paraId="716D9DC9">
                  <w:pPr>
                    <w:pStyle w:val="55"/>
                    <w:ind w:firstLine="0" w:firstLineChars="0"/>
                    <w:jc w:val="center"/>
                    <w:rPr>
                      <w:rFonts w:hint="eastAsia"/>
                      <w:color w:val="auto"/>
                    </w:rPr>
                  </w:pPr>
                  <w:r>
                    <w:rPr>
                      <w:rFonts w:hint="eastAsia"/>
                      <w:color w:val="auto"/>
                    </w:rPr>
                    <w:t>1</w:t>
                  </w:r>
                  <w:r>
                    <w:rPr>
                      <w:rFonts w:hint="eastAsia"/>
                      <w:color w:val="auto"/>
                      <w:lang w:eastAsia="zh-CN"/>
                    </w:rPr>
                    <w:t>、</w:t>
                  </w:r>
                  <w:r>
                    <w:rPr>
                      <w:rFonts w:hint="eastAsia"/>
                      <w:color w:val="auto"/>
                    </w:rPr>
                    <w:t>坚决遏制“两高”项目盲目发展。新改扩建项目严格落实国家产业规划、产业政策、产能置换、重点污染物总量控制、污染物排放区域削减、碳排放达峰目标等相关要求，采用清洁运输方式运输。严格火电、焦化行业监管，对火电、焦化、建材、水泥、化工、陶瓷等项目，实施清单管理、动态监控，严格落实省地方污染物排放标准和绩效分级差异管控，实施错峰生产和重污染天气应急管理措施</w:t>
                  </w:r>
                  <w:r>
                    <w:rPr>
                      <w:rFonts w:hint="eastAsia"/>
                      <w:color w:val="auto"/>
                      <w:lang w:eastAsia="zh-CN"/>
                    </w:rPr>
                    <w:t>；</w:t>
                  </w:r>
                  <w:r>
                    <w:rPr>
                      <w:rFonts w:hint="eastAsia"/>
                      <w:color w:val="auto"/>
                    </w:rPr>
                    <w:t>新建“两高”项目按照重污染天气A级绩效指标建设。</w:t>
                  </w:r>
                </w:p>
              </w:tc>
              <w:tc>
                <w:tcPr>
                  <w:tcW w:w="1845" w:type="dxa"/>
                  <w:vAlign w:val="center"/>
                </w:tcPr>
                <w:p w14:paraId="78A4BF8B">
                  <w:pPr>
                    <w:pStyle w:val="3"/>
                    <w:ind w:firstLine="0" w:firstLineChars="0"/>
                    <w:jc w:val="center"/>
                    <w:outlineLvl w:val="0"/>
                    <w:rPr>
                      <w:rFonts w:hint="eastAsia" w:eastAsia="宋体"/>
                      <w:color w:val="auto"/>
                      <w:lang w:val="en-US" w:eastAsia="zh-CN"/>
                    </w:rPr>
                  </w:pPr>
                  <w:r>
                    <w:rPr>
                      <w:rFonts w:hint="eastAsia"/>
                      <w:color w:val="auto"/>
                      <w:lang w:val="en-US" w:eastAsia="zh-CN"/>
                    </w:rPr>
                    <w:t>本项目为水泥制品制造，不属于两高项目，本项目</w:t>
                  </w:r>
                  <w:r>
                    <w:rPr>
                      <w:rFonts w:hint="eastAsia"/>
                      <w:color w:val="auto"/>
                    </w:rPr>
                    <w:t>采用清洁运输方式运输</w:t>
                  </w:r>
                  <w:r>
                    <w:rPr>
                      <w:rFonts w:hint="eastAsia"/>
                      <w:color w:val="auto"/>
                      <w:lang w:eastAsia="zh-CN"/>
                    </w:rPr>
                    <w:t>，</w:t>
                  </w:r>
                  <w:r>
                    <w:rPr>
                      <w:rFonts w:hint="eastAsia"/>
                      <w:color w:val="auto"/>
                    </w:rPr>
                    <w:t>实施清单管理、动态监控，严格落实省地方污染物排放标准和绩效分级差异管控</w:t>
                  </w:r>
                </w:p>
              </w:tc>
              <w:tc>
                <w:tcPr>
                  <w:tcW w:w="803" w:type="dxa"/>
                  <w:vAlign w:val="center"/>
                </w:tcPr>
                <w:p w14:paraId="65399FC6">
                  <w:pPr>
                    <w:pStyle w:val="3"/>
                    <w:bidi w:val="0"/>
                    <w:rPr>
                      <w:rFonts w:hint="default"/>
                      <w:color w:val="auto"/>
                      <w:lang w:val="en-US" w:eastAsia="zh-CN"/>
                    </w:rPr>
                  </w:pPr>
                  <w:r>
                    <w:rPr>
                      <w:rFonts w:hint="eastAsia"/>
                      <w:color w:val="auto"/>
                      <w:lang w:val="en-US" w:eastAsia="zh-CN"/>
                    </w:rPr>
                    <w:t>符合</w:t>
                  </w:r>
                </w:p>
              </w:tc>
            </w:tr>
            <w:tr w14:paraId="3372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dxa"/>
                  <w:vMerge w:val="continue"/>
                  <w:vAlign w:val="center"/>
                </w:tcPr>
                <w:p w14:paraId="7CA81B98">
                  <w:pPr>
                    <w:pStyle w:val="3"/>
                    <w:keepNext/>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eastAsia"/>
                      <w:color w:val="auto"/>
                      <w:lang w:val="en-US" w:eastAsia="zh-CN"/>
                    </w:rPr>
                  </w:pPr>
                </w:p>
              </w:tc>
              <w:tc>
                <w:tcPr>
                  <w:tcW w:w="757" w:type="dxa"/>
                  <w:vMerge w:val="continue"/>
                  <w:vAlign w:val="center"/>
                </w:tcPr>
                <w:p w14:paraId="3F9A78B0">
                  <w:pPr>
                    <w:pStyle w:val="3"/>
                    <w:bidi w:val="0"/>
                    <w:jc w:val="center"/>
                    <w:rPr>
                      <w:color w:val="auto"/>
                    </w:rPr>
                  </w:pPr>
                </w:p>
              </w:tc>
              <w:tc>
                <w:tcPr>
                  <w:tcW w:w="4254" w:type="dxa"/>
                  <w:vAlign w:val="center"/>
                </w:tcPr>
                <w:p w14:paraId="13B40D36">
                  <w:pPr>
                    <w:pStyle w:val="55"/>
                    <w:ind w:firstLine="0" w:firstLineChars="0"/>
                    <w:jc w:val="center"/>
                    <w:rPr>
                      <w:rFonts w:hint="eastAsia"/>
                      <w:color w:val="auto"/>
                    </w:rPr>
                  </w:pPr>
                  <w:r>
                    <w:rPr>
                      <w:rFonts w:hint="eastAsia"/>
                      <w:color w:val="auto"/>
                      <w:lang w:val="en-US" w:eastAsia="zh-CN"/>
                    </w:rPr>
                    <w:t>2</w:t>
                  </w:r>
                  <w:r>
                    <w:rPr>
                      <w:rFonts w:hint="eastAsia"/>
                      <w:color w:val="auto"/>
                      <w:lang w:eastAsia="zh-CN"/>
                    </w:rPr>
                    <w:t>、</w:t>
                  </w:r>
                  <w:r>
                    <w:rPr>
                      <w:rFonts w:hint="eastAsia"/>
                      <w:color w:val="auto"/>
                    </w:rPr>
                    <w:t>强化“散乱污”企业综合整治。全面排查塑料加工、人造板、木材加工、家具制造、合成革、包装印刷、石材(石料)加工、煤和矸石破碎加工(含煤球等)、粮食饲料加工、不规范搅拌站、汽车维修(抛光、打磨)、黑色和有色金属熔炼加工、陶瓷烧制、砖瓦窑、散状物料堆场等涉气“散乱污”企业，实施清单管理，建立动态管理</w:t>
                  </w:r>
                  <w:r>
                    <w:rPr>
                      <w:rFonts w:hint="eastAsia"/>
                      <w:color w:val="auto"/>
                      <w:lang w:val="en-US" w:eastAsia="zh-CN"/>
                    </w:rPr>
                    <w:t>台</w:t>
                  </w:r>
                  <w:r>
                    <w:rPr>
                      <w:rFonts w:hint="eastAsia"/>
                      <w:color w:val="auto"/>
                    </w:rPr>
                    <w:t>账，明确时限、责任、措施，依法依规限期退出，推动相关产业转型升级。</w:t>
                  </w:r>
                </w:p>
              </w:tc>
              <w:tc>
                <w:tcPr>
                  <w:tcW w:w="1845" w:type="dxa"/>
                  <w:vAlign w:val="center"/>
                </w:tcPr>
                <w:p w14:paraId="58AA341D">
                  <w:pPr>
                    <w:pStyle w:val="3"/>
                    <w:bidi w:val="0"/>
                    <w:jc w:val="center"/>
                    <w:rPr>
                      <w:rFonts w:hint="eastAsia" w:eastAsia="宋体"/>
                      <w:color w:val="auto"/>
                      <w:lang w:val="en-US" w:eastAsia="zh-CN"/>
                    </w:rPr>
                  </w:pPr>
                  <w:r>
                    <w:rPr>
                      <w:color w:val="auto"/>
                    </w:rPr>
                    <w:t>本项目将加强厂区内的环境风险防范措施</w:t>
                  </w:r>
                  <w:r>
                    <w:rPr>
                      <w:rFonts w:hint="eastAsia"/>
                      <w:color w:val="auto"/>
                    </w:rPr>
                    <w:t>，制定</w:t>
                  </w:r>
                  <w:r>
                    <w:rPr>
                      <w:color w:val="auto"/>
                    </w:rPr>
                    <w:t>突发环境风险应急预案</w:t>
                  </w:r>
                  <w:r>
                    <w:rPr>
                      <w:rFonts w:hint="eastAsia"/>
                      <w:color w:val="auto"/>
                      <w:lang w:val="en-US" w:eastAsia="zh-CN"/>
                    </w:rPr>
                    <w:t>与</w:t>
                  </w:r>
                  <w:r>
                    <w:rPr>
                      <w:rFonts w:hint="eastAsia"/>
                      <w:color w:val="auto"/>
                    </w:rPr>
                    <w:t>行政区域</w:t>
                  </w:r>
                  <w:r>
                    <w:rPr>
                      <w:rFonts w:hint="eastAsia"/>
                      <w:color w:val="auto"/>
                      <w:lang w:val="en-US" w:eastAsia="zh-CN"/>
                    </w:rPr>
                    <w:t>联动，</w:t>
                  </w:r>
                  <w:r>
                    <w:rPr>
                      <w:rFonts w:hint="eastAsia"/>
                      <w:color w:val="auto"/>
                    </w:rPr>
                    <w:t>实施清单管理，建立动态管理</w:t>
                  </w:r>
                  <w:r>
                    <w:rPr>
                      <w:rFonts w:hint="eastAsia"/>
                      <w:color w:val="auto"/>
                      <w:lang w:val="en-US" w:eastAsia="zh-CN"/>
                    </w:rPr>
                    <w:t>台</w:t>
                  </w:r>
                  <w:r>
                    <w:rPr>
                      <w:rFonts w:hint="eastAsia"/>
                      <w:color w:val="auto"/>
                    </w:rPr>
                    <w:t>账，明确时限、责任、措施</w:t>
                  </w:r>
                </w:p>
                <w:p w14:paraId="785A0D31">
                  <w:pPr>
                    <w:pStyle w:val="3"/>
                    <w:bidi w:val="0"/>
                    <w:jc w:val="center"/>
                    <w:rPr>
                      <w:rFonts w:hint="default" w:eastAsia="宋体"/>
                      <w:color w:val="auto"/>
                      <w:lang w:val="en-US" w:eastAsia="zh-CN"/>
                    </w:rPr>
                  </w:pPr>
                </w:p>
                <w:p w14:paraId="2EBBE267">
                  <w:pPr>
                    <w:pStyle w:val="3"/>
                    <w:ind w:firstLine="0" w:firstLineChars="0"/>
                    <w:jc w:val="center"/>
                    <w:outlineLvl w:val="0"/>
                    <w:rPr>
                      <w:rFonts w:hint="eastAsia"/>
                      <w:color w:val="auto"/>
                      <w:lang w:val="en-US" w:eastAsia="zh-CN"/>
                    </w:rPr>
                  </w:pPr>
                </w:p>
              </w:tc>
              <w:tc>
                <w:tcPr>
                  <w:tcW w:w="803" w:type="dxa"/>
                  <w:vAlign w:val="center"/>
                </w:tcPr>
                <w:p w14:paraId="72936D8E">
                  <w:pPr>
                    <w:pStyle w:val="3"/>
                    <w:bidi w:val="0"/>
                    <w:rPr>
                      <w:rFonts w:hint="eastAsia"/>
                      <w:color w:val="auto"/>
                      <w:lang w:val="en-US" w:eastAsia="zh-CN"/>
                    </w:rPr>
                  </w:pPr>
                  <w:r>
                    <w:rPr>
                      <w:rFonts w:hint="eastAsia"/>
                      <w:color w:val="auto"/>
                      <w:lang w:val="en-US" w:eastAsia="zh-CN"/>
                    </w:rPr>
                    <w:t>符合</w:t>
                  </w:r>
                </w:p>
              </w:tc>
            </w:tr>
          </w:tbl>
          <w:p w14:paraId="486995F2">
            <w:pPr>
              <w:ind w:firstLine="480"/>
              <w:rPr>
                <w:rFonts w:hint="eastAsia"/>
                <w:color w:val="auto"/>
              </w:rPr>
            </w:pPr>
          </w:p>
          <w:p w14:paraId="6DBC477E">
            <w:pPr>
              <w:ind w:firstLine="480"/>
              <w:rPr>
                <w:rFonts w:hint="eastAsia"/>
                <w:color w:val="auto"/>
              </w:rPr>
            </w:pPr>
          </w:p>
          <w:p w14:paraId="725B08C1">
            <w:pPr>
              <w:ind w:firstLine="480"/>
              <w:rPr>
                <w:rFonts w:hint="eastAsia"/>
                <w:color w:val="auto"/>
              </w:rPr>
            </w:pPr>
          </w:p>
          <w:p w14:paraId="531FFF81">
            <w:pPr>
              <w:ind w:firstLine="480"/>
              <w:rPr>
                <w:rFonts w:hint="eastAsia"/>
                <w:color w:val="auto"/>
              </w:rPr>
            </w:pPr>
          </w:p>
          <w:p w14:paraId="6386E3E6">
            <w:pPr>
              <w:ind w:firstLine="480"/>
              <w:rPr>
                <w:rFonts w:hint="eastAsia"/>
                <w:color w:val="auto"/>
              </w:rPr>
            </w:pPr>
          </w:p>
          <w:p w14:paraId="07CADDD0">
            <w:pPr>
              <w:ind w:firstLine="480"/>
              <w:rPr>
                <w:rFonts w:hint="eastAsia"/>
                <w:color w:val="auto"/>
              </w:rPr>
            </w:pPr>
          </w:p>
          <w:p w14:paraId="5F7781C5">
            <w:pPr>
              <w:ind w:left="0" w:leftChars="0" w:firstLine="0" w:firstLineChars="0"/>
              <w:rPr>
                <w:rFonts w:hint="eastAsia" w:ascii="宋体" w:hAnsi="宋体" w:eastAsia="宋体" w:cs="宋体"/>
                <w:color w:val="auto"/>
                <w:kern w:val="0"/>
                <w:szCs w:val="21"/>
                <w:lang w:val="en-US" w:eastAsia="zh-CN"/>
              </w:rPr>
            </w:pPr>
          </w:p>
        </w:tc>
      </w:tr>
    </w:tbl>
    <w:p w14:paraId="24E523A5">
      <w:pPr>
        <w:pStyle w:val="20"/>
        <w:ind w:firstLine="482"/>
        <w:rPr>
          <w:color w:val="auto"/>
        </w:rPr>
        <w:sectPr>
          <w:pgSz w:w="11906" w:h="16838"/>
          <w:pgMar w:top="1701" w:right="1531" w:bottom="1701" w:left="1531" w:header="851" w:footer="1077" w:gutter="0"/>
          <w:pgNumType w:fmt="decimal"/>
          <w:cols w:space="720" w:num="1"/>
          <w:docGrid w:linePitch="312" w:charSpace="0"/>
        </w:sectPr>
      </w:pPr>
    </w:p>
    <w:p w14:paraId="70C84D72">
      <w:pPr>
        <w:pStyle w:val="23"/>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6"/>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474"/>
      </w:tblGrid>
      <w:tr w14:paraId="67CA1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510" w:type="dxa"/>
            <w:vAlign w:val="center"/>
          </w:tcPr>
          <w:p w14:paraId="43DAA585">
            <w:pPr>
              <w:ind w:firstLine="0" w:firstLineChars="0"/>
              <w:jc w:val="center"/>
              <w:rPr>
                <w:rFonts w:cs="宋体"/>
                <w:color w:val="auto"/>
                <w:szCs w:val="21"/>
              </w:rPr>
            </w:pPr>
          </w:p>
        </w:tc>
        <w:tc>
          <w:tcPr>
            <w:tcW w:w="8474" w:type="dxa"/>
          </w:tcPr>
          <w:p w14:paraId="26044D2E">
            <w:pPr>
              <w:ind w:firstLine="0" w:firstLineChars="0"/>
              <w:rPr>
                <w:b/>
                <w:bCs/>
                <w:color w:val="auto"/>
              </w:rPr>
            </w:pPr>
            <w:r>
              <w:rPr>
                <w:rFonts w:hint="eastAsia"/>
                <w:b/>
                <w:bCs/>
                <w:color w:val="auto"/>
              </w:rPr>
              <w:t>1、</w:t>
            </w:r>
            <w:r>
              <w:rPr>
                <w:b/>
                <w:bCs/>
                <w:color w:val="auto"/>
              </w:rPr>
              <w:t>项目基本情况</w:t>
            </w:r>
          </w:p>
          <w:p w14:paraId="3D643FE2">
            <w:pPr>
              <w:ind w:firstLine="480"/>
              <w:rPr>
                <w:color w:val="auto"/>
              </w:rPr>
            </w:pPr>
            <w:r>
              <w:rPr>
                <w:color w:val="auto"/>
              </w:rPr>
              <w:t>项目名称：</w:t>
            </w:r>
            <w:r>
              <w:rPr>
                <w:rFonts w:hint="eastAsia" w:ascii="宋体" w:hAnsi="宋体" w:cs="宋体"/>
                <w:color w:val="auto"/>
                <w:szCs w:val="21"/>
              </w:rPr>
              <w:t>环保建材生产线配套提升技改项目</w:t>
            </w:r>
          </w:p>
          <w:p w14:paraId="73EF488E">
            <w:pPr>
              <w:ind w:firstLine="480"/>
              <w:rPr>
                <w:color w:val="auto"/>
              </w:rPr>
            </w:pPr>
            <w:r>
              <w:rPr>
                <w:color w:val="auto"/>
              </w:rPr>
              <w:t>建设单位：</w:t>
            </w:r>
            <w:r>
              <w:rPr>
                <w:rFonts w:hint="eastAsia"/>
                <w:color w:val="auto"/>
              </w:rPr>
              <w:t>淮北市鸿济新型建材有限责任公司</w:t>
            </w:r>
          </w:p>
          <w:p w14:paraId="1BB94359">
            <w:pPr>
              <w:ind w:firstLine="480"/>
              <w:rPr>
                <w:color w:val="auto"/>
              </w:rPr>
            </w:pPr>
            <w:r>
              <w:rPr>
                <w:color w:val="auto"/>
              </w:rPr>
              <w:t>项目性质：</w:t>
            </w:r>
            <w:r>
              <w:rPr>
                <w:rFonts w:hint="eastAsia"/>
                <w:color w:val="auto"/>
              </w:rPr>
              <w:t>扩</w:t>
            </w:r>
            <w:r>
              <w:rPr>
                <w:color w:val="auto"/>
              </w:rPr>
              <w:t>建</w:t>
            </w:r>
          </w:p>
          <w:p w14:paraId="410B9564">
            <w:pPr>
              <w:ind w:firstLine="480"/>
              <w:rPr>
                <w:color w:val="auto"/>
              </w:rPr>
            </w:pPr>
            <w:r>
              <w:rPr>
                <w:color w:val="auto"/>
              </w:rPr>
              <w:t>项目总投资：</w:t>
            </w:r>
            <w:r>
              <w:rPr>
                <w:rFonts w:hint="eastAsia"/>
                <w:color w:val="auto"/>
                <w:lang w:val="en-US" w:eastAsia="zh-CN"/>
              </w:rPr>
              <w:t>600</w:t>
            </w:r>
            <w:r>
              <w:rPr>
                <w:color w:val="auto"/>
              </w:rPr>
              <w:t>万元。</w:t>
            </w:r>
          </w:p>
          <w:p w14:paraId="2F2492AF">
            <w:pPr>
              <w:autoSpaceDE w:val="0"/>
              <w:autoSpaceDN w:val="0"/>
              <w:ind w:firstLine="480"/>
              <w:rPr>
                <w:color w:val="auto"/>
              </w:rPr>
            </w:pPr>
            <w:r>
              <w:rPr>
                <w:color w:val="auto"/>
              </w:rPr>
              <w:t>周边环境现状：</w:t>
            </w:r>
            <w:r>
              <w:rPr>
                <w:rFonts w:hint="eastAsia"/>
                <w:color w:val="auto"/>
              </w:rPr>
              <w:t>项目位于</w:t>
            </w:r>
            <w:r>
              <w:rPr>
                <w:rFonts w:hint="eastAsia"/>
                <w:color w:val="auto"/>
                <w:lang w:val="en-US" w:eastAsia="zh-CN"/>
              </w:rPr>
              <w:t>淮北市相山区渠沟镇油坊村</w:t>
            </w:r>
            <w:r>
              <w:rPr>
                <w:rFonts w:hint="eastAsia"/>
                <w:color w:val="auto"/>
              </w:rPr>
              <w:t>，厂区</w:t>
            </w:r>
            <w:r>
              <w:rPr>
                <w:rFonts w:hint="eastAsia"/>
                <w:color w:val="auto"/>
                <w:lang w:val="en-US" w:eastAsia="zh-CN"/>
              </w:rPr>
              <w:t>北侧</w:t>
            </w:r>
            <w:r>
              <w:rPr>
                <w:rFonts w:hint="eastAsia"/>
                <w:color w:val="auto"/>
              </w:rPr>
              <w:t>为</w:t>
            </w:r>
            <w:r>
              <w:rPr>
                <w:rFonts w:hint="eastAsia"/>
                <w:color w:val="auto"/>
                <w:lang w:val="en-US" w:eastAsia="zh-CN"/>
              </w:rPr>
              <w:t>淮北市油西环保建材有限公司</w:t>
            </w:r>
            <w:r>
              <w:rPr>
                <w:rFonts w:hint="eastAsia"/>
                <w:color w:val="auto"/>
              </w:rPr>
              <w:t>厂区，</w:t>
            </w:r>
            <w:r>
              <w:rPr>
                <w:rFonts w:hint="eastAsia"/>
                <w:color w:val="auto"/>
                <w:lang w:val="en-US" w:eastAsia="zh-CN"/>
              </w:rPr>
              <w:t>东侧为道路，隔路为农田，西侧、南侧均为农田</w:t>
            </w:r>
            <w:r>
              <w:rPr>
                <w:color w:val="auto"/>
              </w:rPr>
              <w:t>。</w:t>
            </w:r>
          </w:p>
          <w:p w14:paraId="241045DA">
            <w:pPr>
              <w:autoSpaceDE w:val="0"/>
              <w:autoSpaceDN w:val="0"/>
              <w:ind w:firstLine="0" w:firstLineChars="0"/>
              <w:rPr>
                <w:b/>
                <w:bCs/>
                <w:color w:val="auto"/>
              </w:rPr>
            </w:pPr>
            <w:r>
              <w:rPr>
                <w:rFonts w:hint="eastAsia"/>
                <w:b/>
                <w:bCs/>
                <w:color w:val="auto"/>
              </w:rPr>
              <w:t>2、项目由来</w:t>
            </w:r>
          </w:p>
          <w:p w14:paraId="180167A8">
            <w:pPr>
              <w:ind w:firstLine="480"/>
              <w:rPr>
                <w:color w:val="auto"/>
              </w:rPr>
            </w:pPr>
            <w:r>
              <w:rPr>
                <w:rFonts w:hint="eastAsia"/>
                <w:color w:val="auto"/>
              </w:rPr>
              <w:t>淮北市鸿济新型建材有限责任公司成立于</w:t>
            </w:r>
            <w:r>
              <w:rPr>
                <w:rFonts w:hint="eastAsia"/>
                <w:color w:val="auto"/>
                <w:lang w:val="en-US" w:eastAsia="zh-CN"/>
              </w:rPr>
              <w:t>2019年12月份</w:t>
            </w:r>
            <w:r>
              <w:rPr>
                <w:rFonts w:hint="eastAsia"/>
                <w:color w:val="auto"/>
              </w:rPr>
              <w:t>，公司位于</w:t>
            </w:r>
            <w:r>
              <w:rPr>
                <w:rFonts w:hint="eastAsia"/>
                <w:color w:val="auto"/>
                <w:lang w:val="en-US" w:eastAsia="zh-CN"/>
              </w:rPr>
              <w:t>淮北市相山区渠沟镇油坊村</w:t>
            </w:r>
            <w:r>
              <w:rPr>
                <w:rFonts w:hint="eastAsia"/>
                <w:color w:val="auto"/>
              </w:rPr>
              <w:t>，经营范围为</w:t>
            </w:r>
            <w:r>
              <w:rPr>
                <w:rFonts w:hint="eastAsia"/>
                <w:color w:val="auto"/>
                <w:lang w:val="en-US" w:eastAsia="zh-CN"/>
              </w:rPr>
              <w:t>新型建材研发、生产与销售、加工、销售干混砂浆、预拌混凝土加工、销售、销售石子</w:t>
            </w:r>
            <w:r>
              <w:rPr>
                <w:rFonts w:hint="eastAsia"/>
                <w:color w:val="auto"/>
              </w:rPr>
              <w:t>等。</w:t>
            </w:r>
          </w:p>
          <w:p w14:paraId="4E84F8C3">
            <w:pPr>
              <w:ind w:firstLine="480"/>
              <w:rPr>
                <w:rFonts w:hint="eastAsia"/>
                <w:color w:val="auto"/>
                <w:lang w:val="en-US" w:eastAsia="zh-CN"/>
              </w:rPr>
            </w:pPr>
            <w:r>
              <w:rPr>
                <w:rFonts w:hint="eastAsia"/>
                <w:color w:val="auto"/>
              </w:rPr>
              <w:t>淮北市鸿济新型建材有限责任公司现已建设</w:t>
            </w:r>
            <w:r>
              <w:rPr>
                <w:rFonts w:hint="eastAsia"/>
                <w:color w:val="auto"/>
                <w:lang w:val="en-US" w:eastAsia="zh-CN"/>
              </w:rPr>
              <w:t>50万吨机制砂暨70万吨干混砂浆（35万吨</w:t>
            </w:r>
            <w:r>
              <w:rPr>
                <w:rFonts w:hint="eastAsia" w:ascii="Times New Roman" w:eastAsia="宋体"/>
                <w:color w:val="auto"/>
                <w:szCs w:val="21"/>
                <w:lang w:val="en-US" w:eastAsia="zh-CN"/>
              </w:rPr>
              <w:t>砌筑砂浆</w:t>
            </w:r>
            <w:r>
              <w:rPr>
                <w:rFonts w:hint="eastAsia"/>
                <w:color w:val="auto"/>
                <w:lang w:val="en-US" w:eastAsia="zh-CN"/>
              </w:rPr>
              <w:t>）生产线</w:t>
            </w:r>
            <w:r>
              <w:rPr>
                <w:rFonts w:hint="eastAsia"/>
                <w:color w:val="auto"/>
              </w:rPr>
              <w:t>，</w:t>
            </w:r>
            <w:r>
              <w:rPr>
                <w:rFonts w:hint="eastAsia"/>
                <w:color w:val="auto"/>
                <w:lang w:val="en-US" w:eastAsia="zh-CN"/>
              </w:rPr>
              <w:t>机制砂生产线、干混砂浆生产线环评手续已批，且生产线已建设。淮北市鸿济新型建材有限责任公司出于经济效益考量，将年产70万吨干混砂浆中35万吨的抹灰砂浆交由淮北市油西环保建材有限公司建设运营（不在本项目建设范围内，本次扩建项目不对70万吨干混砂浆中35万吨的抹灰砂浆生产线进行分析），现已履行环保手续。</w:t>
            </w:r>
          </w:p>
          <w:p w14:paraId="6CD3DDFD">
            <w:pPr>
              <w:ind w:firstLine="480"/>
              <w:rPr>
                <w:rFonts w:hint="default" w:eastAsia="宋体"/>
                <w:color w:val="auto"/>
                <w:lang w:val="en-US" w:eastAsia="zh-CN"/>
              </w:rPr>
            </w:pPr>
            <w:r>
              <w:rPr>
                <w:rFonts w:hint="eastAsia"/>
                <w:color w:val="auto"/>
              </w:rPr>
              <w:t>为了顺应市场发展的趋势，提高企业市场竞争力，淮北市鸿济新型建材有限责任公司</w:t>
            </w:r>
            <w:r>
              <w:rPr>
                <w:rFonts w:hint="eastAsia"/>
                <w:color w:val="auto"/>
                <w:lang w:val="en-US" w:eastAsia="zh-CN"/>
              </w:rPr>
              <w:t>新建</w:t>
            </w:r>
            <w:r>
              <w:rPr>
                <w:rFonts w:hint="eastAsia"/>
                <w:color w:val="auto"/>
              </w:rPr>
              <w:t>1条水稳生产线，</w:t>
            </w:r>
            <w:r>
              <w:rPr>
                <w:rFonts w:hint="eastAsia"/>
                <w:color w:val="auto"/>
                <w:lang w:val="en-US" w:eastAsia="zh-CN"/>
              </w:rPr>
              <w:t>部分依托现有生产车间</w:t>
            </w:r>
            <w:r>
              <w:rPr>
                <w:rFonts w:hint="eastAsia"/>
                <w:color w:val="auto"/>
              </w:rPr>
              <w:t>，</w:t>
            </w:r>
            <w:r>
              <w:rPr>
                <w:rFonts w:hint="eastAsia"/>
                <w:color w:val="auto"/>
                <w:lang w:val="en-US" w:eastAsia="zh-CN"/>
              </w:rPr>
              <w:t>剩余部分利用生产车间东侧空地新建，</w:t>
            </w:r>
            <w:r>
              <w:rPr>
                <w:rFonts w:hint="eastAsia"/>
                <w:color w:val="auto"/>
              </w:rPr>
              <w:t>拟购置</w:t>
            </w:r>
            <w:r>
              <w:rPr>
                <w:rFonts w:hint="eastAsia"/>
                <w:bCs/>
                <w:color w:val="auto"/>
                <w:lang w:val="en-US" w:eastAsia="zh-CN"/>
              </w:rPr>
              <w:t>水泥稳定土拌合站</w:t>
            </w:r>
            <w:r>
              <w:rPr>
                <w:rFonts w:hint="eastAsia"/>
                <w:bCs/>
                <w:color w:val="auto"/>
              </w:rPr>
              <w:t>、水泥筒仓、输送带等设备</w:t>
            </w:r>
            <w:r>
              <w:rPr>
                <w:rFonts w:hint="eastAsia"/>
                <w:color w:val="auto"/>
              </w:rPr>
              <w:t>，</w:t>
            </w:r>
            <w:r>
              <w:rPr>
                <w:rFonts w:hint="eastAsia"/>
                <w:color w:val="auto"/>
                <w:lang w:val="en-US" w:eastAsia="zh-CN"/>
              </w:rPr>
              <w:t>项目原料为水泥、碎石、石粉等，</w:t>
            </w:r>
            <w:r>
              <w:rPr>
                <w:rFonts w:hint="eastAsia"/>
                <w:color w:val="auto"/>
              </w:rPr>
              <w:t>主要生产工艺为卸料、计量、输送、</w:t>
            </w:r>
            <w:r>
              <w:rPr>
                <w:rFonts w:hint="eastAsia"/>
                <w:color w:val="auto"/>
                <w:lang w:val="en-US" w:eastAsia="zh-CN"/>
              </w:rPr>
              <w:t>投料、</w:t>
            </w:r>
            <w:r>
              <w:rPr>
                <w:rFonts w:hint="eastAsia"/>
                <w:color w:val="auto"/>
              </w:rPr>
              <w:t>搅拌等。</w:t>
            </w:r>
            <w:r>
              <w:rPr>
                <w:rFonts w:hint="eastAsia"/>
                <w:color w:val="auto"/>
                <w:lang w:val="en-US" w:eastAsia="zh-CN"/>
              </w:rPr>
              <w:t>本</w:t>
            </w:r>
            <w:r>
              <w:rPr>
                <w:rFonts w:hint="eastAsia"/>
                <w:color w:val="auto"/>
              </w:rPr>
              <w:t>项目建成后，可达到年产</w:t>
            </w:r>
            <w:r>
              <w:rPr>
                <w:rFonts w:hint="eastAsia"/>
                <w:color w:val="auto"/>
                <w:lang w:val="en-US" w:eastAsia="zh-CN"/>
              </w:rPr>
              <w:t>50</w:t>
            </w:r>
            <w:r>
              <w:rPr>
                <w:rFonts w:hint="eastAsia"/>
                <w:color w:val="auto"/>
              </w:rPr>
              <w:t>万吨水稳</w:t>
            </w:r>
            <w:r>
              <w:rPr>
                <w:rFonts w:hint="eastAsia"/>
                <w:color w:val="auto"/>
                <w:lang w:val="en-US" w:eastAsia="zh-CN"/>
              </w:rPr>
              <w:t>料</w:t>
            </w:r>
            <w:r>
              <w:rPr>
                <w:rFonts w:hint="eastAsia"/>
                <w:color w:val="auto"/>
              </w:rPr>
              <w:t>的生产规模。</w:t>
            </w:r>
            <w:r>
              <w:rPr>
                <w:rFonts w:hint="eastAsia"/>
                <w:color w:val="auto"/>
                <w:lang w:val="en-US" w:eastAsia="zh-CN"/>
              </w:rPr>
              <w:t>全厂可达到</w:t>
            </w:r>
            <w:r>
              <w:rPr>
                <w:rFonts w:hint="eastAsia"/>
                <w:color w:val="auto"/>
              </w:rPr>
              <w:t>年产</w:t>
            </w:r>
            <w:r>
              <w:rPr>
                <w:rFonts w:hint="eastAsia"/>
                <w:color w:val="auto"/>
                <w:lang w:val="en-US" w:eastAsia="zh-CN"/>
              </w:rPr>
              <w:t>50</w:t>
            </w:r>
            <w:r>
              <w:rPr>
                <w:rFonts w:hint="eastAsia"/>
                <w:color w:val="auto"/>
              </w:rPr>
              <w:t>万吨水稳</w:t>
            </w:r>
            <w:r>
              <w:rPr>
                <w:rFonts w:hint="eastAsia"/>
                <w:color w:val="auto"/>
                <w:lang w:val="en-US" w:eastAsia="zh-CN"/>
              </w:rPr>
              <w:t>料、年产50万吨机制砂、年产35万吨干混砂浆（砌筑砂浆）的生产规模。</w:t>
            </w:r>
          </w:p>
          <w:p w14:paraId="1DDC16B5">
            <w:pPr>
              <w:ind w:firstLine="480"/>
              <w:rPr>
                <w:rFonts w:hint="eastAsia" w:eastAsia="宋体"/>
                <w:color w:val="auto"/>
                <w:lang w:val="en-US" w:eastAsia="zh-CN"/>
              </w:rPr>
            </w:pPr>
            <w:r>
              <w:rPr>
                <w:rFonts w:hint="eastAsia"/>
                <w:color w:val="auto"/>
              </w:rPr>
              <w:t>项目已于202</w:t>
            </w:r>
            <w:r>
              <w:rPr>
                <w:rFonts w:hint="eastAsia"/>
                <w:color w:val="auto"/>
                <w:lang w:val="en-US" w:eastAsia="zh-CN"/>
              </w:rPr>
              <w:t>4</w:t>
            </w:r>
            <w:r>
              <w:rPr>
                <w:rFonts w:hint="eastAsia"/>
                <w:color w:val="auto"/>
              </w:rPr>
              <w:t>年</w:t>
            </w:r>
            <w:r>
              <w:rPr>
                <w:rFonts w:hint="eastAsia"/>
                <w:color w:val="auto"/>
                <w:lang w:val="en-US" w:eastAsia="zh-CN"/>
              </w:rPr>
              <w:t>6</w:t>
            </w:r>
            <w:r>
              <w:rPr>
                <w:rFonts w:hint="eastAsia"/>
                <w:color w:val="auto"/>
              </w:rPr>
              <w:t>月2</w:t>
            </w:r>
            <w:r>
              <w:rPr>
                <w:rFonts w:hint="eastAsia"/>
                <w:color w:val="auto"/>
                <w:lang w:val="en-US" w:eastAsia="zh-CN"/>
              </w:rPr>
              <w:t>8</w:t>
            </w:r>
            <w:r>
              <w:rPr>
                <w:rFonts w:hint="eastAsia"/>
                <w:color w:val="auto"/>
              </w:rPr>
              <w:t>日，</w:t>
            </w:r>
            <w:r>
              <w:rPr>
                <w:color w:val="auto"/>
              </w:rPr>
              <w:t>经</w:t>
            </w:r>
            <w:r>
              <w:rPr>
                <w:rFonts w:hint="eastAsia" w:ascii="宋体" w:hAnsi="宋体" w:cs="宋体"/>
                <w:color w:val="auto"/>
                <w:szCs w:val="21"/>
                <w:lang w:val="en-US" w:eastAsia="zh-CN"/>
              </w:rPr>
              <w:t>淮北市相山区工业和信息化局</w:t>
            </w:r>
            <w:r>
              <w:rPr>
                <w:rFonts w:hint="eastAsia"/>
                <w:color w:val="auto"/>
              </w:rPr>
              <w:t>备案（</w:t>
            </w:r>
            <w:r>
              <w:rPr>
                <w:rFonts w:hint="eastAsia" w:ascii="宋体" w:hAnsi="宋体" w:cs="宋体"/>
                <w:color w:val="auto"/>
                <w:szCs w:val="21"/>
                <w:lang w:val="en-US" w:eastAsia="zh-CN"/>
              </w:rPr>
              <w:t>相工信技改</w:t>
            </w:r>
            <w:r>
              <w:rPr>
                <w:rFonts w:hint="eastAsia"/>
                <w:color w:val="auto"/>
                <w:sz w:val="24"/>
                <w:szCs w:val="24"/>
                <w:lang w:eastAsia="zh-CN"/>
              </w:rPr>
              <w:t>〔</w:t>
            </w:r>
            <w:r>
              <w:rPr>
                <w:rFonts w:hint="eastAsia"/>
                <w:color w:val="auto"/>
                <w:lang w:val="en-US" w:eastAsia="zh-CN"/>
              </w:rPr>
              <w:t>2024</w:t>
            </w:r>
            <w:r>
              <w:rPr>
                <w:rFonts w:hint="eastAsia"/>
                <w:color w:val="auto"/>
                <w:sz w:val="24"/>
                <w:szCs w:val="24"/>
                <w:lang w:eastAsia="zh-CN"/>
              </w:rPr>
              <w:t>〕</w:t>
            </w:r>
            <w:r>
              <w:rPr>
                <w:rFonts w:hint="eastAsia"/>
                <w:color w:val="auto"/>
                <w:sz w:val="24"/>
                <w:szCs w:val="24"/>
                <w:lang w:val="en-US" w:eastAsia="zh-CN"/>
              </w:rPr>
              <w:t>4号</w:t>
            </w:r>
            <w:r>
              <w:rPr>
                <w:rFonts w:hint="eastAsia"/>
                <w:color w:val="auto"/>
              </w:rPr>
              <w:t>）。</w:t>
            </w:r>
          </w:p>
        </w:tc>
      </w:tr>
    </w:tbl>
    <w:p w14:paraId="0BE5C785">
      <w:pPr>
        <w:pStyle w:val="23"/>
        <w:spacing w:before="0" w:beforeAutospacing="0" w:after="0" w:afterAutospacing="0"/>
        <w:ind w:firstLine="0" w:firstLineChars="0"/>
        <w:jc w:val="center"/>
        <w:outlineLvl w:val="0"/>
        <w:rPr>
          <w:rFonts w:ascii="黑体" w:hAnsi="黑体" w:eastAsia="黑体"/>
          <w:snapToGrid w:val="0"/>
          <w:color w:val="auto"/>
          <w:sz w:val="30"/>
          <w:szCs w:val="30"/>
        </w:rPr>
        <w:sectPr>
          <w:pgSz w:w="11907" w:h="16840"/>
          <w:pgMar w:top="1701" w:right="1531" w:bottom="2127" w:left="1531" w:header="851" w:footer="851" w:gutter="0"/>
          <w:pgNumType w:fmt="decimal"/>
          <w:cols w:space="720" w:num="1"/>
          <w:docGrid w:linePitch="312" w:charSpace="0"/>
        </w:sectPr>
      </w:pPr>
    </w:p>
    <w:tbl>
      <w:tblPr>
        <w:tblStyle w:val="26"/>
        <w:tblW w:w="132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0"/>
        <w:gridCol w:w="12975"/>
      </w:tblGrid>
      <w:tr w14:paraId="06D11E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 w:type="dxa"/>
            <w:vAlign w:val="center"/>
          </w:tcPr>
          <w:p w14:paraId="3E8643B3">
            <w:pPr>
              <w:spacing w:line="460" w:lineRule="exact"/>
              <w:ind w:firstLine="0" w:firstLineChars="0"/>
              <w:jc w:val="center"/>
              <w:rPr>
                <w:rFonts w:ascii="宋体" w:hAnsi="宋体" w:cs="宋体"/>
                <w:color w:val="auto"/>
                <w:kern w:val="0"/>
                <w:szCs w:val="21"/>
              </w:rPr>
            </w:pPr>
          </w:p>
        </w:tc>
        <w:tc>
          <w:tcPr>
            <w:tcW w:w="12975" w:type="dxa"/>
            <w:vAlign w:val="center"/>
          </w:tcPr>
          <w:p w14:paraId="7EB9856F">
            <w:pPr>
              <w:spacing w:line="240" w:lineRule="auto"/>
              <w:ind w:firstLine="0" w:firstLineChars="0"/>
              <w:jc w:val="center"/>
              <w:rPr>
                <w:color w:val="auto"/>
              </w:rPr>
            </w:pPr>
            <w:r>
              <w:rPr>
                <w:rFonts w:hAnsi="宋体"/>
                <w:b/>
                <w:bCs/>
                <w:color w:val="auto"/>
                <w:szCs w:val="21"/>
              </w:rPr>
              <w:t>表</w:t>
            </w:r>
            <w:r>
              <w:rPr>
                <w:rFonts w:hint="eastAsia"/>
                <w:b/>
                <w:bCs/>
                <w:color w:val="auto"/>
                <w:szCs w:val="21"/>
              </w:rPr>
              <w:t xml:space="preserve">2-1 </w:t>
            </w:r>
            <w:r>
              <w:rPr>
                <w:b/>
                <w:bCs/>
                <w:color w:val="auto"/>
                <w:szCs w:val="21"/>
              </w:rPr>
              <w:t xml:space="preserve"> </w:t>
            </w:r>
            <w:r>
              <w:rPr>
                <w:rFonts w:hint="eastAsia"/>
                <w:b/>
                <w:bCs/>
                <w:color w:val="auto"/>
                <w:szCs w:val="21"/>
              </w:rPr>
              <w:t>全厂项目</w:t>
            </w:r>
            <w:r>
              <w:rPr>
                <w:rFonts w:hAnsi="宋体"/>
                <w:b/>
                <w:bCs/>
                <w:color w:val="auto"/>
                <w:szCs w:val="21"/>
              </w:rPr>
              <w:t>组成一览表</w:t>
            </w:r>
          </w:p>
          <w:tbl>
            <w:tblPr>
              <w:tblStyle w:val="27"/>
              <w:tblW w:w="12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69"/>
              <w:gridCol w:w="405"/>
              <w:gridCol w:w="253"/>
              <w:gridCol w:w="1189"/>
              <w:gridCol w:w="4318"/>
              <w:gridCol w:w="3840"/>
              <w:gridCol w:w="1412"/>
            </w:tblGrid>
            <w:tr w14:paraId="2A94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Align w:val="center"/>
                </w:tcPr>
                <w:p w14:paraId="780624AD">
                  <w:pPr>
                    <w:pStyle w:val="3"/>
                    <w:outlineLvl w:val="0"/>
                    <w:rPr>
                      <w:b/>
                      <w:bCs/>
                      <w:color w:val="auto"/>
                    </w:rPr>
                  </w:pPr>
                  <w:r>
                    <w:rPr>
                      <w:b/>
                      <w:bCs/>
                      <w:color w:val="auto"/>
                    </w:rPr>
                    <w:t>类别</w:t>
                  </w:r>
                </w:p>
              </w:tc>
              <w:tc>
                <w:tcPr>
                  <w:tcW w:w="2516" w:type="dxa"/>
                  <w:gridSpan w:val="4"/>
                  <w:vAlign w:val="center"/>
                </w:tcPr>
                <w:p w14:paraId="04663BE4">
                  <w:pPr>
                    <w:pStyle w:val="3"/>
                    <w:outlineLvl w:val="0"/>
                    <w:rPr>
                      <w:b/>
                      <w:bCs/>
                      <w:color w:val="auto"/>
                    </w:rPr>
                  </w:pPr>
                  <w:r>
                    <w:rPr>
                      <w:b/>
                      <w:bCs/>
                      <w:color w:val="auto"/>
                    </w:rPr>
                    <w:t>单项工程名称</w:t>
                  </w:r>
                </w:p>
              </w:tc>
              <w:tc>
                <w:tcPr>
                  <w:tcW w:w="4318" w:type="dxa"/>
                  <w:vAlign w:val="center"/>
                </w:tcPr>
                <w:p w14:paraId="2A32B6C0">
                  <w:pPr>
                    <w:pStyle w:val="3"/>
                    <w:outlineLvl w:val="0"/>
                    <w:rPr>
                      <w:b/>
                      <w:bCs/>
                      <w:color w:val="auto"/>
                    </w:rPr>
                  </w:pPr>
                  <w:r>
                    <w:rPr>
                      <w:rFonts w:hint="eastAsia"/>
                      <w:b/>
                      <w:bCs/>
                      <w:color w:val="auto"/>
                    </w:rPr>
                    <w:t>现有</w:t>
                  </w:r>
                  <w:r>
                    <w:rPr>
                      <w:b/>
                      <w:bCs/>
                      <w:color w:val="auto"/>
                    </w:rPr>
                    <w:t>工程规模</w:t>
                  </w:r>
                </w:p>
              </w:tc>
              <w:tc>
                <w:tcPr>
                  <w:tcW w:w="3840" w:type="dxa"/>
                  <w:vAlign w:val="center"/>
                </w:tcPr>
                <w:p w14:paraId="5F8F2A82">
                  <w:pPr>
                    <w:pStyle w:val="3"/>
                    <w:outlineLvl w:val="0"/>
                    <w:rPr>
                      <w:b/>
                      <w:bCs/>
                      <w:color w:val="auto"/>
                    </w:rPr>
                  </w:pPr>
                  <w:r>
                    <w:rPr>
                      <w:rFonts w:hint="eastAsia"/>
                      <w:b/>
                      <w:bCs/>
                      <w:color w:val="auto"/>
                    </w:rPr>
                    <w:t>扩建项目工程规模</w:t>
                  </w:r>
                </w:p>
              </w:tc>
              <w:tc>
                <w:tcPr>
                  <w:tcW w:w="1412" w:type="dxa"/>
                  <w:vAlign w:val="center"/>
                </w:tcPr>
                <w:p w14:paraId="7FA95AC6">
                  <w:pPr>
                    <w:pStyle w:val="3"/>
                    <w:outlineLvl w:val="0"/>
                    <w:rPr>
                      <w:b/>
                      <w:bCs/>
                      <w:color w:val="auto"/>
                    </w:rPr>
                  </w:pPr>
                  <w:r>
                    <w:rPr>
                      <w:rFonts w:hint="eastAsia"/>
                      <w:b/>
                      <w:bCs/>
                      <w:color w:val="auto"/>
                    </w:rPr>
                    <w:t>备注</w:t>
                  </w:r>
                </w:p>
              </w:tc>
            </w:tr>
            <w:tr w14:paraId="2910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58" w:type="dxa"/>
                  <w:vMerge w:val="restart"/>
                  <w:vAlign w:val="center"/>
                </w:tcPr>
                <w:p w14:paraId="036C5B5C">
                  <w:pPr>
                    <w:pStyle w:val="3"/>
                    <w:outlineLvl w:val="0"/>
                    <w:rPr>
                      <w:b/>
                      <w:bCs/>
                      <w:color w:val="auto"/>
                    </w:rPr>
                  </w:pPr>
                  <w:r>
                    <w:rPr>
                      <w:color w:val="auto"/>
                    </w:rPr>
                    <w:t>主体工程</w:t>
                  </w:r>
                </w:p>
              </w:tc>
              <w:tc>
                <w:tcPr>
                  <w:tcW w:w="669" w:type="dxa"/>
                  <w:vAlign w:val="center"/>
                </w:tcPr>
                <w:p w14:paraId="20994BEC">
                  <w:pPr>
                    <w:pStyle w:val="3"/>
                    <w:ind w:firstLine="0" w:firstLineChars="0"/>
                    <w:outlineLvl w:val="0"/>
                    <w:rPr>
                      <w:rFonts w:hint="default" w:ascii="Times New Roman" w:hAnsi="Times New Roman" w:eastAsia="宋体" w:cs="Times New Roman"/>
                      <w:color w:val="auto"/>
                      <w:kern w:val="44"/>
                      <w:sz w:val="21"/>
                      <w:szCs w:val="24"/>
                      <w:lang w:val="en-US" w:eastAsia="zh-CN" w:bidi="ar-SA"/>
                    </w:rPr>
                  </w:pPr>
                  <w:r>
                    <w:rPr>
                      <w:rFonts w:hint="eastAsia"/>
                      <w:color w:val="auto"/>
                      <w:lang w:val="en-US" w:eastAsia="zh-CN"/>
                    </w:rPr>
                    <w:t>干混砂浆生产车间</w:t>
                  </w:r>
                </w:p>
              </w:tc>
              <w:tc>
                <w:tcPr>
                  <w:tcW w:w="1847" w:type="dxa"/>
                  <w:gridSpan w:val="3"/>
                  <w:shd w:val="clear" w:color="auto" w:fill="auto"/>
                  <w:vAlign w:val="center"/>
                </w:tcPr>
                <w:p w14:paraId="63A100D8">
                  <w:pPr>
                    <w:pStyle w:val="3"/>
                    <w:ind w:firstLine="0" w:firstLineChars="0"/>
                    <w:outlineLvl w:val="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干混砂浆生产线</w:t>
                  </w:r>
                </w:p>
              </w:tc>
              <w:tc>
                <w:tcPr>
                  <w:tcW w:w="4318" w:type="dxa"/>
                  <w:vAlign w:val="center"/>
                </w:tcPr>
                <w:p w14:paraId="6E6C92A6">
                  <w:pPr>
                    <w:pStyle w:val="3"/>
                    <w:outlineLvl w:val="0"/>
                    <w:rPr>
                      <w:rFonts w:hint="default" w:eastAsia="宋体"/>
                      <w:color w:val="auto"/>
                      <w:szCs w:val="21"/>
                      <w:lang w:val="en-US" w:eastAsia="zh-CN"/>
                    </w:rPr>
                  </w:pPr>
                  <w:r>
                    <w:rPr>
                      <w:rFonts w:hint="eastAsia"/>
                      <w:color w:val="auto"/>
                    </w:rPr>
                    <w:t>H=</w:t>
                  </w:r>
                  <w:r>
                    <w:rPr>
                      <w:rFonts w:hint="eastAsia"/>
                      <w:color w:val="auto"/>
                      <w:lang w:val="en-US" w:eastAsia="zh-CN"/>
                    </w:rPr>
                    <w:t>37</w:t>
                  </w:r>
                  <w:r>
                    <w:rPr>
                      <w:rFonts w:hint="eastAsia"/>
                      <w:color w:val="auto"/>
                    </w:rPr>
                    <w:t>m</w:t>
                  </w:r>
                  <w:r>
                    <w:rPr>
                      <w:rFonts w:hint="eastAsia"/>
                      <w:color w:val="auto"/>
                      <w:lang w:eastAsia="zh-CN"/>
                    </w:rPr>
                    <w:t>、</w:t>
                  </w:r>
                  <w:r>
                    <w:rPr>
                      <w:rFonts w:hint="eastAsia"/>
                      <w:color w:val="auto"/>
                    </w:rPr>
                    <w:t>建筑面积</w:t>
                  </w:r>
                  <w:r>
                    <w:rPr>
                      <w:rFonts w:hint="eastAsia"/>
                      <w:color w:val="auto"/>
                      <w:lang w:val="en-US" w:eastAsia="zh-CN"/>
                    </w:rPr>
                    <w:t>3200</w:t>
                  </w:r>
                  <w:r>
                    <w:rPr>
                      <w:rFonts w:hint="eastAsia"/>
                      <w:color w:val="auto"/>
                    </w:rPr>
                    <w:t>m</w:t>
                  </w:r>
                  <w:r>
                    <w:rPr>
                      <w:rFonts w:hint="eastAsia"/>
                      <w:color w:val="auto"/>
                      <w:vertAlign w:val="superscript"/>
                    </w:rPr>
                    <w:t>2</w:t>
                  </w:r>
                  <w:r>
                    <w:rPr>
                      <w:rFonts w:hint="eastAsia"/>
                      <w:color w:val="auto"/>
                    </w:rPr>
                    <w:t>，框架结构的全封闭式厂房</w:t>
                  </w:r>
                  <w:r>
                    <w:rPr>
                      <w:rFonts w:hint="eastAsia"/>
                      <w:color w:val="auto"/>
                      <w:lang w:eastAsia="zh-CN"/>
                    </w:rPr>
                    <w:t>，</w:t>
                  </w:r>
                  <w:r>
                    <w:rPr>
                      <w:rFonts w:hint="eastAsia"/>
                      <w:color w:val="auto"/>
                      <w:lang w:val="en-US" w:eastAsia="zh-CN"/>
                    </w:rPr>
                    <w:t>位于生产车间外东侧</w:t>
                  </w:r>
                  <w:r>
                    <w:rPr>
                      <w:rFonts w:hint="eastAsia"/>
                      <w:color w:val="auto"/>
                    </w:rPr>
                    <w:t>，</w:t>
                  </w:r>
                  <w:r>
                    <w:rPr>
                      <w:rFonts w:hint="eastAsia"/>
                      <w:color w:val="auto"/>
                      <w:lang w:val="en-US" w:eastAsia="zh-CN"/>
                    </w:rPr>
                    <w:t>设置</w:t>
                  </w:r>
                  <w:r>
                    <w:rPr>
                      <w:rFonts w:hint="eastAsia"/>
                      <w:color w:val="auto"/>
                    </w:rPr>
                    <w:t>1条干混砂浆生产线</w:t>
                  </w:r>
                  <w:r>
                    <w:rPr>
                      <w:rFonts w:hint="eastAsia"/>
                      <w:color w:val="auto"/>
                      <w:lang w:eastAsia="zh-CN"/>
                    </w:rPr>
                    <w:t>，</w:t>
                  </w:r>
                  <w:r>
                    <w:rPr>
                      <w:rFonts w:hint="eastAsia"/>
                      <w:color w:val="auto"/>
                      <w:lang w:val="en-US" w:eastAsia="zh-CN"/>
                    </w:rPr>
                    <w:t>包含筒仓、提升机、搅拌系统、散装机等设备，年产35万砌筑砂浆</w:t>
                  </w:r>
                </w:p>
              </w:tc>
              <w:tc>
                <w:tcPr>
                  <w:tcW w:w="3840" w:type="dxa"/>
                  <w:vAlign w:val="center"/>
                </w:tcPr>
                <w:p w14:paraId="5B8163F8">
                  <w:pPr>
                    <w:pStyle w:val="3"/>
                    <w:outlineLvl w:val="0"/>
                    <w:rPr>
                      <w:rFonts w:eastAsiaTheme="minorEastAsia"/>
                      <w:color w:val="auto"/>
                      <w:szCs w:val="21"/>
                    </w:rPr>
                  </w:pPr>
                  <w:r>
                    <w:rPr>
                      <w:rFonts w:hint="eastAsia" w:eastAsiaTheme="minorEastAsia"/>
                      <w:color w:val="auto"/>
                      <w:szCs w:val="21"/>
                    </w:rPr>
                    <w:t>/</w:t>
                  </w:r>
                </w:p>
              </w:tc>
              <w:tc>
                <w:tcPr>
                  <w:tcW w:w="1412" w:type="dxa"/>
                  <w:vAlign w:val="center"/>
                </w:tcPr>
                <w:p w14:paraId="48331F81">
                  <w:pPr>
                    <w:pStyle w:val="3"/>
                    <w:outlineLvl w:val="0"/>
                    <w:rPr>
                      <w:rFonts w:hint="default" w:eastAsia="宋体"/>
                      <w:color w:val="auto"/>
                      <w:lang w:val="en-US" w:eastAsia="zh-CN"/>
                    </w:rPr>
                  </w:pPr>
                  <w:r>
                    <w:rPr>
                      <w:rFonts w:hint="eastAsia"/>
                      <w:color w:val="auto"/>
                      <w:lang w:val="en-US" w:eastAsia="zh-CN"/>
                    </w:rPr>
                    <w:t>已建、已验</w:t>
                  </w:r>
                </w:p>
              </w:tc>
            </w:tr>
            <w:tr w14:paraId="1859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626BE025">
                  <w:pPr>
                    <w:pStyle w:val="3"/>
                    <w:outlineLvl w:val="0"/>
                    <w:rPr>
                      <w:color w:val="auto"/>
                    </w:rPr>
                  </w:pPr>
                </w:p>
              </w:tc>
              <w:tc>
                <w:tcPr>
                  <w:tcW w:w="669" w:type="dxa"/>
                  <w:vMerge w:val="restart"/>
                  <w:vAlign w:val="center"/>
                </w:tcPr>
                <w:p w14:paraId="5D88B4D9">
                  <w:pPr>
                    <w:pStyle w:val="3"/>
                    <w:ind w:firstLine="0" w:firstLineChars="0"/>
                    <w:outlineLvl w:val="0"/>
                    <w:rPr>
                      <w:rFonts w:hint="eastAsia" w:ascii="Times New Roman" w:hAnsi="Times New Roman" w:eastAsia="宋体" w:cs="Times New Roman"/>
                      <w:color w:val="auto"/>
                      <w:kern w:val="44"/>
                      <w:sz w:val="21"/>
                      <w:szCs w:val="24"/>
                      <w:lang w:val="en-US" w:eastAsia="zh-CN" w:bidi="ar-SA"/>
                    </w:rPr>
                  </w:pPr>
                  <w:r>
                    <w:rPr>
                      <w:rFonts w:hint="eastAsia" w:cs="Times New Roman"/>
                      <w:b w:val="0"/>
                      <w:bCs w:val="0"/>
                      <w:color w:val="auto"/>
                      <w:kern w:val="44"/>
                      <w:sz w:val="21"/>
                      <w:szCs w:val="24"/>
                      <w:lang w:val="en-US" w:eastAsia="zh-CN" w:bidi="ar-SA"/>
                    </w:rPr>
                    <w:t>生产车间</w:t>
                  </w:r>
                </w:p>
              </w:tc>
              <w:tc>
                <w:tcPr>
                  <w:tcW w:w="1847" w:type="dxa"/>
                  <w:gridSpan w:val="3"/>
                  <w:shd w:val="clear" w:color="auto" w:fill="auto"/>
                  <w:vAlign w:val="center"/>
                </w:tcPr>
                <w:p w14:paraId="0789C1D6">
                  <w:pPr>
                    <w:pStyle w:val="3"/>
                    <w:ind w:firstLine="0" w:firstLineChars="0"/>
                    <w:outlineLvl w:val="0"/>
                    <w:rPr>
                      <w:rFonts w:hint="eastAsia" w:ascii="Times New Roman" w:hAnsi="Times New Roman" w:eastAsia="宋体" w:cs="Times New Roman"/>
                      <w:b/>
                      <w:bCs/>
                      <w:color w:val="auto"/>
                      <w:kern w:val="44"/>
                      <w:sz w:val="21"/>
                      <w:szCs w:val="24"/>
                      <w:lang w:val="en-US" w:eastAsia="zh-CN" w:bidi="ar-SA"/>
                    </w:rPr>
                  </w:pPr>
                  <w:r>
                    <w:rPr>
                      <w:rFonts w:hint="eastAsia"/>
                      <w:b w:val="0"/>
                      <w:bCs w:val="0"/>
                      <w:color w:val="auto"/>
                      <w:lang w:val="en-US" w:eastAsia="zh-CN"/>
                    </w:rPr>
                    <w:t>机制砂生产线</w:t>
                  </w:r>
                </w:p>
              </w:tc>
              <w:tc>
                <w:tcPr>
                  <w:tcW w:w="4318" w:type="dxa"/>
                  <w:shd w:val="clear" w:color="auto" w:fill="auto"/>
                  <w:vAlign w:val="center"/>
                </w:tcPr>
                <w:p w14:paraId="7CB10594">
                  <w:pPr>
                    <w:pStyle w:val="3"/>
                    <w:ind w:firstLine="0" w:firstLineChars="0"/>
                    <w:outlineLvl w:val="0"/>
                    <w:rPr>
                      <w:rFonts w:hint="eastAsia" w:ascii="Times New Roman" w:hAnsi="Times New Roman" w:eastAsia="宋体" w:cs="Times New Roman"/>
                      <w:b/>
                      <w:bCs/>
                      <w:color w:val="auto"/>
                      <w:kern w:val="44"/>
                      <w:sz w:val="21"/>
                      <w:szCs w:val="24"/>
                      <w:lang w:val="en-US" w:eastAsia="zh-CN" w:bidi="ar-SA"/>
                    </w:rPr>
                  </w:pPr>
                  <w:r>
                    <w:rPr>
                      <w:rFonts w:hint="eastAsia"/>
                      <w:color w:val="auto"/>
                    </w:rPr>
                    <w:t>H=</w:t>
                  </w:r>
                  <w:r>
                    <w:rPr>
                      <w:rFonts w:hint="eastAsia"/>
                      <w:color w:val="auto"/>
                      <w:lang w:val="en-US" w:eastAsia="zh-CN"/>
                    </w:rPr>
                    <w:t>9</w:t>
                  </w:r>
                  <w:r>
                    <w:rPr>
                      <w:rFonts w:hint="eastAsia"/>
                      <w:color w:val="auto"/>
                    </w:rPr>
                    <w:t>m</w:t>
                  </w:r>
                  <w:r>
                    <w:rPr>
                      <w:rFonts w:hint="eastAsia"/>
                      <w:color w:val="auto"/>
                      <w:lang w:eastAsia="zh-CN"/>
                    </w:rPr>
                    <w:t>、</w:t>
                  </w:r>
                  <w:r>
                    <w:rPr>
                      <w:rFonts w:eastAsiaTheme="minorEastAsia"/>
                      <w:color w:val="auto"/>
                      <w:szCs w:val="21"/>
                    </w:rPr>
                    <w:t>建筑面积</w:t>
                  </w:r>
                  <w:r>
                    <w:rPr>
                      <w:rFonts w:hint="eastAsia" w:eastAsiaTheme="minorEastAsia"/>
                      <w:color w:val="auto"/>
                      <w:szCs w:val="21"/>
                    </w:rPr>
                    <w:t>约</w:t>
                  </w:r>
                  <w:r>
                    <w:rPr>
                      <w:rFonts w:hint="eastAsia" w:eastAsiaTheme="minorEastAsia"/>
                      <w:color w:val="auto"/>
                      <w:szCs w:val="21"/>
                      <w:lang w:val="en-US" w:eastAsia="zh-CN"/>
                    </w:rPr>
                    <w:t>6000</w:t>
                  </w:r>
                  <w:r>
                    <w:rPr>
                      <w:rFonts w:eastAsiaTheme="minorEastAsia"/>
                      <w:color w:val="auto"/>
                      <w:szCs w:val="21"/>
                    </w:rPr>
                    <w:t>m</w:t>
                  </w:r>
                  <w:r>
                    <w:rPr>
                      <w:rFonts w:eastAsiaTheme="minorEastAsia"/>
                      <w:color w:val="auto"/>
                      <w:szCs w:val="21"/>
                      <w:vertAlign w:val="superscript"/>
                    </w:rPr>
                    <w:t>2</w:t>
                  </w:r>
                  <w:r>
                    <w:rPr>
                      <w:rFonts w:hint="eastAsia" w:eastAsiaTheme="minorEastAsia"/>
                      <w:color w:val="auto"/>
                      <w:szCs w:val="21"/>
                    </w:rPr>
                    <w:t>，</w:t>
                  </w:r>
                  <w:r>
                    <w:rPr>
                      <w:rFonts w:hint="eastAsia"/>
                      <w:color w:val="auto"/>
                    </w:rPr>
                    <w:t>框架结构的全封闭式</w:t>
                  </w:r>
                  <w:r>
                    <w:rPr>
                      <w:rFonts w:hint="eastAsia"/>
                      <w:color w:val="auto"/>
                      <w:lang w:val="en-US" w:eastAsia="zh-CN"/>
                    </w:rPr>
                    <w:t>生产车间</w:t>
                  </w:r>
                  <w:r>
                    <w:rPr>
                      <w:rFonts w:hint="eastAsia"/>
                      <w:color w:val="auto"/>
                      <w:lang w:eastAsia="zh-CN"/>
                    </w:rPr>
                    <w:t>，</w:t>
                  </w:r>
                  <w:r>
                    <w:rPr>
                      <w:rFonts w:hint="eastAsia" w:eastAsiaTheme="minorEastAsia"/>
                      <w:color w:val="auto"/>
                      <w:szCs w:val="21"/>
                    </w:rPr>
                    <w:t>位于</w:t>
                  </w:r>
                  <w:r>
                    <w:rPr>
                      <w:rFonts w:hint="eastAsia" w:eastAsiaTheme="minorEastAsia"/>
                      <w:color w:val="auto"/>
                      <w:szCs w:val="21"/>
                      <w:lang w:val="en-US" w:eastAsia="zh-CN"/>
                    </w:rPr>
                    <w:t>生产车间内东南侧</w:t>
                  </w:r>
                  <w:r>
                    <w:rPr>
                      <w:rFonts w:hint="eastAsia" w:eastAsiaTheme="minorEastAsia"/>
                      <w:color w:val="auto"/>
                      <w:szCs w:val="21"/>
                    </w:rPr>
                    <w:t>，</w:t>
                  </w:r>
                  <w:r>
                    <w:rPr>
                      <w:rFonts w:hint="eastAsia" w:eastAsiaTheme="minorEastAsia"/>
                      <w:color w:val="auto"/>
                      <w:szCs w:val="21"/>
                      <w:lang w:val="en-US" w:eastAsia="zh-CN"/>
                    </w:rPr>
                    <w:t>设置一条</w:t>
                  </w:r>
                  <w:r>
                    <w:rPr>
                      <w:rFonts w:hint="eastAsia"/>
                      <w:b w:val="0"/>
                      <w:bCs w:val="0"/>
                      <w:color w:val="auto"/>
                      <w:lang w:val="en-US" w:eastAsia="zh-CN"/>
                    </w:rPr>
                    <w:t>机制砂生产线</w:t>
                  </w:r>
                  <w:r>
                    <w:rPr>
                      <w:rFonts w:hint="eastAsia" w:eastAsiaTheme="minorEastAsia"/>
                      <w:color w:val="auto"/>
                      <w:szCs w:val="21"/>
                    </w:rPr>
                    <w:t>，</w:t>
                  </w:r>
                  <w:r>
                    <w:rPr>
                      <w:rFonts w:hint="eastAsia" w:eastAsiaTheme="minorEastAsia"/>
                      <w:color w:val="auto"/>
                      <w:szCs w:val="21"/>
                      <w:lang w:val="en-US" w:eastAsia="zh-CN"/>
                    </w:rPr>
                    <w:t>包括破碎机、筛分机、除铁器、制砂机等设备，年产</w:t>
                  </w:r>
                  <w:r>
                    <w:rPr>
                      <w:rFonts w:hint="eastAsia"/>
                      <w:color w:val="auto"/>
                      <w:lang w:val="en-US" w:eastAsia="zh-CN"/>
                    </w:rPr>
                    <w:t>50万吨机制砂</w:t>
                  </w:r>
                </w:p>
              </w:tc>
              <w:tc>
                <w:tcPr>
                  <w:tcW w:w="3840" w:type="dxa"/>
                  <w:vAlign w:val="center"/>
                </w:tcPr>
                <w:p w14:paraId="0B3402BB">
                  <w:pPr>
                    <w:pStyle w:val="3"/>
                    <w:outlineLvl w:val="0"/>
                    <w:rPr>
                      <w:rFonts w:hint="eastAsia" w:eastAsiaTheme="minorEastAsia"/>
                      <w:color w:val="auto"/>
                      <w:szCs w:val="21"/>
                    </w:rPr>
                  </w:pPr>
                  <w:r>
                    <w:rPr>
                      <w:rFonts w:hint="eastAsia" w:eastAsiaTheme="minorEastAsia"/>
                      <w:color w:val="auto"/>
                      <w:szCs w:val="21"/>
                    </w:rPr>
                    <w:t>/</w:t>
                  </w:r>
                </w:p>
              </w:tc>
              <w:tc>
                <w:tcPr>
                  <w:tcW w:w="1412" w:type="dxa"/>
                  <w:vAlign w:val="center"/>
                </w:tcPr>
                <w:p w14:paraId="5132D0B2">
                  <w:pPr>
                    <w:pStyle w:val="3"/>
                    <w:outlineLvl w:val="0"/>
                    <w:rPr>
                      <w:rFonts w:hint="eastAsia"/>
                      <w:color w:val="auto"/>
                      <w:lang w:val="en-US" w:eastAsia="zh-CN"/>
                    </w:rPr>
                  </w:pPr>
                  <w:r>
                    <w:rPr>
                      <w:rFonts w:hint="eastAsia" w:eastAsiaTheme="minorEastAsia"/>
                      <w:color w:val="auto"/>
                      <w:szCs w:val="21"/>
                    </w:rPr>
                    <w:t>已建、已验</w:t>
                  </w:r>
                </w:p>
              </w:tc>
            </w:tr>
            <w:tr w14:paraId="280E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34FCA988">
                  <w:pPr>
                    <w:pStyle w:val="3"/>
                    <w:outlineLvl w:val="0"/>
                    <w:rPr>
                      <w:color w:val="auto"/>
                    </w:rPr>
                  </w:pPr>
                </w:p>
              </w:tc>
              <w:tc>
                <w:tcPr>
                  <w:tcW w:w="669" w:type="dxa"/>
                  <w:vMerge w:val="continue"/>
                  <w:vAlign w:val="center"/>
                </w:tcPr>
                <w:p w14:paraId="4F42F827">
                  <w:pPr>
                    <w:pStyle w:val="3"/>
                    <w:ind w:firstLine="0" w:firstLineChars="0"/>
                    <w:outlineLvl w:val="0"/>
                    <w:rPr>
                      <w:rFonts w:hint="eastAsia" w:ascii="Times New Roman" w:hAnsi="Times New Roman" w:cs="Times New Roman" w:eastAsiaTheme="minorEastAsia"/>
                      <w:color w:val="auto"/>
                      <w:kern w:val="44"/>
                      <w:sz w:val="21"/>
                      <w:szCs w:val="21"/>
                      <w:lang w:val="en-US" w:eastAsia="zh-CN" w:bidi="ar-SA"/>
                    </w:rPr>
                  </w:pPr>
                </w:p>
              </w:tc>
              <w:tc>
                <w:tcPr>
                  <w:tcW w:w="1847" w:type="dxa"/>
                  <w:gridSpan w:val="3"/>
                  <w:shd w:val="clear" w:color="auto" w:fill="auto"/>
                  <w:vAlign w:val="center"/>
                </w:tcPr>
                <w:p w14:paraId="3ED316B6">
                  <w:pPr>
                    <w:pStyle w:val="3"/>
                    <w:ind w:firstLine="0" w:firstLineChars="0"/>
                    <w:outlineLvl w:val="0"/>
                    <w:rPr>
                      <w:rFonts w:hint="eastAsia" w:ascii="Times New Roman" w:hAnsi="Times New Roman" w:cs="Times New Roman" w:eastAsiaTheme="minorEastAsia"/>
                      <w:color w:val="auto"/>
                      <w:kern w:val="44"/>
                      <w:sz w:val="21"/>
                      <w:szCs w:val="21"/>
                      <w:lang w:val="en-US" w:eastAsia="zh-CN" w:bidi="ar-SA"/>
                    </w:rPr>
                  </w:pPr>
                  <w:r>
                    <w:rPr>
                      <w:rFonts w:hint="eastAsia"/>
                      <w:color w:val="auto"/>
                    </w:rPr>
                    <w:t>水稳生产线</w:t>
                  </w:r>
                </w:p>
              </w:tc>
              <w:tc>
                <w:tcPr>
                  <w:tcW w:w="4318" w:type="dxa"/>
                  <w:vAlign w:val="center"/>
                </w:tcPr>
                <w:p w14:paraId="24C4E6E4">
                  <w:pPr>
                    <w:pStyle w:val="3"/>
                    <w:outlineLvl w:val="0"/>
                    <w:rPr>
                      <w:rFonts w:eastAsiaTheme="minorEastAsia"/>
                      <w:color w:val="auto"/>
                      <w:szCs w:val="21"/>
                    </w:rPr>
                  </w:pPr>
                  <w:r>
                    <w:rPr>
                      <w:rFonts w:hint="eastAsia" w:eastAsiaTheme="minorEastAsia"/>
                      <w:color w:val="auto"/>
                      <w:szCs w:val="21"/>
                    </w:rPr>
                    <w:t>/</w:t>
                  </w:r>
                </w:p>
              </w:tc>
              <w:tc>
                <w:tcPr>
                  <w:tcW w:w="3840" w:type="dxa"/>
                  <w:vAlign w:val="center"/>
                </w:tcPr>
                <w:p w14:paraId="5695824C">
                  <w:pPr>
                    <w:pStyle w:val="3"/>
                    <w:outlineLvl w:val="0"/>
                    <w:rPr>
                      <w:rFonts w:eastAsiaTheme="minorEastAsia"/>
                      <w:color w:val="auto"/>
                      <w:szCs w:val="21"/>
                    </w:rPr>
                  </w:pPr>
                  <w:r>
                    <w:rPr>
                      <w:rFonts w:hint="eastAsia"/>
                      <w:color w:val="auto"/>
                    </w:rPr>
                    <w:t>H=</w:t>
                  </w:r>
                  <w:r>
                    <w:rPr>
                      <w:rFonts w:hint="eastAsia"/>
                      <w:color w:val="auto"/>
                      <w:lang w:val="en-US" w:eastAsia="zh-CN"/>
                    </w:rPr>
                    <w:t>9</w:t>
                  </w:r>
                  <w:r>
                    <w:rPr>
                      <w:rFonts w:hint="eastAsia"/>
                      <w:color w:val="auto"/>
                    </w:rPr>
                    <w:t>m，</w:t>
                  </w:r>
                  <w:r>
                    <w:rPr>
                      <w:rFonts w:hint="eastAsia"/>
                      <w:color w:val="auto"/>
                      <w:lang w:val="en-US" w:eastAsia="zh-CN"/>
                    </w:rPr>
                    <w:t>建筑面积为1000</w:t>
                  </w:r>
                  <w:r>
                    <w:rPr>
                      <w:rFonts w:eastAsiaTheme="minorEastAsia"/>
                      <w:color w:val="auto"/>
                      <w:szCs w:val="21"/>
                    </w:rPr>
                    <w:t>m</w:t>
                  </w:r>
                  <w:r>
                    <w:rPr>
                      <w:rFonts w:eastAsiaTheme="minorEastAsia"/>
                      <w:color w:val="auto"/>
                      <w:szCs w:val="21"/>
                      <w:vertAlign w:val="superscript"/>
                    </w:rPr>
                    <w:t>2</w:t>
                  </w:r>
                  <w:r>
                    <w:rPr>
                      <w:rFonts w:hint="eastAsia" w:eastAsiaTheme="minorEastAsia"/>
                      <w:color w:val="auto"/>
                      <w:szCs w:val="21"/>
                      <w:vertAlign w:val="baseline"/>
                      <w:lang w:eastAsia="zh-CN"/>
                    </w:rPr>
                    <w:t>，</w:t>
                  </w:r>
                  <w:r>
                    <w:rPr>
                      <w:rFonts w:hint="eastAsia"/>
                      <w:color w:val="auto"/>
                    </w:rPr>
                    <w:t>框架结构的全封闭式厂房，位于</w:t>
                  </w:r>
                  <w:r>
                    <w:rPr>
                      <w:rFonts w:hint="eastAsia"/>
                      <w:color w:val="auto"/>
                      <w:lang w:val="en-US" w:eastAsia="zh-CN"/>
                    </w:rPr>
                    <w:t>现有生产车间内东北侧，部分依托现有生产车间，部分利用生产车间东侧空地新建，设置</w:t>
                  </w:r>
                  <w:r>
                    <w:rPr>
                      <w:rFonts w:hint="eastAsia"/>
                      <w:color w:val="auto"/>
                    </w:rPr>
                    <w:t>1条</w:t>
                  </w:r>
                  <w:r>
                    <w:rPr>
                      <w:rFonts w:hint="eastAsia"/>
                      <w:color w:val="auto"/>
                      <w:lang w:val="en-US" w:eastAsia="zh-CN"/>
                    </w:rPr>
                    <w:t>WDZ-600</w:t>
                  </w:r>
                  <w:r>
                    <w:rPr>
                      <w:rFonts w:hint="eastAsia"/>
                      <w:color w:val="auto"/>
                    </w:rPr>
                    <w:t>型水稳生产线（含传送带、物料计量系统、监控系统、输送机、搅拌</w:t>
                  </w:r>
                  <w:r>
                    <w:rPr>
                      <w:rFonts w:hint="eastAsia"/>
                      <w:color w:val="auto"/>
                      <w:lang w:val="en-US" w:eastAsia="zh-CN"/>
                    </w:rPr>
                    <w:t>器</w:t>
                  </w:r>
                  <w:r>
                    <w:rPr>
                      <w:rFonts w:hint="eastAsia"/>
                      <w:color w:val="auto"/>
                    </w:rPr>
                    <w:t>等），设计总产能</w:t>
                  </w:r>
                  <w:r>
                    <w:rPr>
                      <w:rFonts w:hint="eastAsia"/>
                      <w:color w:val="auto"/>
                      <w:lang w:val="en-US" w:eastAsia="zh-CN"/>
                    </w:rPr>
                    <w:t>50</w:t>
                  </w:r>
                  <w:r>
                    <w:rPr>
                      <w:rFonts w:hint="eastAsia"/>
                      <w:color w:val="auto"/>
                    </w:rPr>
                    <w:t>万吨</w:t>
                  </w:r>
                </w:p>
              </w:tc>
              <w:tc>
                <w:tcPr>
                  <w:tcW w:w="1412" w:type="dxa"/>
                  <w:vAlign w:val="center"/>
                </w:tcPr>
                <w:p w14:paraId="05789C8F">
                  <w:pPr>
                    <w:pStyle w:val="3"/>
                    <w:outlineLvl w:val="0"/>
                    <w:rPr>
                      <w:rFonts w:hint="default" w:eastAsia="宋体"/>
                      <w:color w:val="auto"/>
                      <w:lang w:val="en-US" w:eastAsia="zh-CN"/>
                    </w:rPr>
                  </w:pPr>
                  <w:r>
                    <w:rPr>
                      <w:rFonts w:hint="eastAsia"/>
                      <w:color w:val="auto"/>
                      <w:lang w:val="en-US" w:eastAsia="zh-CN"/>
                    </w:rPr>
                    <w:t>厂房部分依托，部分新建，生产线新建，原有成品区变更为水稳生产线</w:t>
                  </w:r>
                </w:p>
              </w:tc>
            </w:tr>
            <w:tr w14:paraId="1D45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restart"/>
                  <w:vAlign w:val="center"/>
                </w:tcPr>
                <w:p w14:paraId="31763F0D">
                  <w:pPr>
                    <w:pStyle w:val="3"/>
                    <w:outlineLvl w:val="0"/>
                    <w:rPr>
                      <w:color w:val="auto"/>
                    </w:rPr>
                  </w:pPr>
                  <w:r>
                    <w:rPr>
                      <w:rFonts w:hint="eastAsia"/>
                      <w:color w:val="auto"/>
                    </w:rPr>
                    <w:t>辅助</w:t>
                  </w:r>
                </w:p>
                <w:p w14:paraId="5894254C">
                  <w:pPr>
                    <w:pStyle w:val="3"/>
                    <w:outlineLvl w:val="0"/>
                    <w:rPr>
                      <w:color w:val="auto"/>
                    </w:rPr>
                  </w:pPr>
                  <w:r>
                    <w:rPr>
                      <w:rFonts w:hint="eastAsia"/>
                      <w:color w:val="auto"/>
                    </w:rPr>
                    <w:t>工程</w:t>
                  </w:r>
                </w:p>
              </w:tc>
              <w:tc>
                <w:tcPr>
                  <w:tcW w:w="2516" w:type="dxa"/>
                  <w:gridSpan w:val="4"/>
                  <w:vAlign w:val="center"/>
                </w:tcPr>
                <w:p w14:paraId="091CF3A6">
                  <w:pPr>
                    <w:pStyle w:val="3"/>
                    <w:outlineLvl w:val="0"/>
                    <w:rPr>
                      <w:color w:val="auto"/>
                    </w:rPr>
                  </w:pPr>
                  <w:r>
                    <w:rPr>
                      <w:rFonts w:hint="eastAsia"/>
                      <w:color w:val="auto"/>
                    </w:rPr>
                    <w:t>办公楼</w:t>
                  </w:r>
                </w:p>
              </w:tc>
              <w:tc>
                <w:tcPr>
                  <w:tcW w:w="4318" w:type="dxa"/>
                  <w:vAlign w:val="center"/>
                </w:tcPr>
                <w:p w14:paraId="70BCC4FF">
                  <w:pPr>
                    <w:pStyle w:val="3"/>
                    <w:outlineLvl w:val="0"/>
                    <w:rPr>
                      <w:rFonts w:hint="default" w:eastAsia="宋体"/>
                      <w:color w:val="auto"/>
                      <w:lang w:val="en-US" w:eastAsia="zh-CN"/>
                    </w:rPr>
                  </w:pPr>
                  <w:r>
                    <w:rPr>
                      <w:rFonts w:hint="eastAsia"/>
                      <w:color w:val="auto"/>
                    </w:rPr>
                    <w:t>3F，</w:t>
                  </w:r>
                  <w:r>
                    <w:rPr>
                      <w:color w:val="auto"/>
                    </w:rPr>
                    <w:t>建筑面积</w:t>
                  </w:r>
                  <w:r>
                    <w:rPr>
                      <w:rFonts w:hint="eastAsia"/>
                      <w:color w:val="auto"/>
                      <w:lang w:val="en-US" w:eastAsia="zh-CN"/>
                    </w:rPr>
                    <w:t>1000</w:t>
                  </w:r>
                  <w:r>
                    <w:rPr>
                      <w:color w:val="auto"/>
                    </w:rPr>
                    <w:t>m</w:t>
                  </w:r>
                  <w:r>
                    <w:rPr>
                      <w:color w:val="auto"/>
                      <w:vertAlign w:val="superscript"/>
                    </w:rPr>
                    <w:t>2</w:t>
                  </w:r>
                  <w:r>
                    <w:rPr>
                      <w:rFonts w:hint="eastAsia"/>
                      <w:color w:val="auto"/>
                    </w:rPr>
                    <w:t>，位于</w:t>
                  </w:r>
                  <w:r>
                    <w:rPr>
                      <w:rFonts w:hint="eastAsia"/>
                      <w:color w:val="auto"/>
                      <w:lang w:val="en-US" w:eastAsia="zh-CN"/>
                    </w:rPr>
                    <w:t>厂区东侧</w:t>
                  </w:r>
                  <w:r>
                    <w:rPr>
                      <w:rFonts w:hint="eastAsia"/>
                      <w:color w:val="auto"/>
                    </w:rPr>
                    <w:t>，</w:t>
                  </w:r>
                  <w:r>
                    <w:rPr>
                      <w:rFonts w:hint="eastAsia"/>
                      <w:color w:val="auto"/>
                      <w:lang w:val="en-US" w:eastAsia="zh-CN"/>
                    </w:rPr>
                    <w:t>主要为职工提供办公场所</w:t>
                  </w:r>
                </w:p>
              </w:tc>
              <w:tc>
                <w:tcPr>
                  <w:tcW w:w="3840" w:type="dxa"/>
                  <w:vAlign w:val="center"/>
                </w:tcPr>
                <w:p w14:paraId="4CD27831">
                  <w:pPr>
                    <w:pStyle w:val="3"/>
                    <w:outlineLvl w:val="0"/>
                    <w:rPr>
                      <w:rFonts w:hint="default" w:eastAsia="宋体"/>
                      <w:color w:val="auto"/>
                      <w:lang w:val="en-US" w:eastAsia="zh-CN"/>
                    </w:rPr>
                  </w:pPr>
                  <w:r>
                    <w:rPr>
                      <w:rFonts w:hint="eastAsia"/>
                      <w:color w:val="auto"/>
                      <w:lang w:val="en-US" w:eastAsia="zh-CN"/>
                    </w:rPr>
                    <w:t>依托现有</w:t>
                  </w:r>
                </w:p>
              </w:tc>
              <w:tc>
                <w:tcPr>
                  <w:tcW w:w="1412" w:type="dxa"/>
                  <w:vAlign w:val="center"/>
                </w:tcPr>
                <w:p w14:paraId="0C654BA6">
                  <w:pPr>
                    <w:pStyle w:val="3"/>
                    <w:outlineLvl w:val="0"/>
                    <w:rPr>
                      <w:color w:val="auto"/>
                    </w:rPr>
                  </w:pPr>
                  <w:r>
                    <w:rPr>
                      <w:rFonts w:hint="eastAsia"/>
                      <w:color w:val="auto"/>
                    </w:rPr>
                    <w:t>依托现有</w:t>
                  </w:r>
                </w:p>
              </w:tc>
            </w:tr>
            <w:tr w14:paraId="1939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49981E1F">
                  <w:pPr>
                    <w:pStyle w:val="3"/>
                    <w:outlineLvl w:val="0"/>
                    <w:rPr>
                      <w:rFonts w:hint="eastAsia"/>
                      <w:color w:val="auto"/>
                    </w:rPr>
                  </w:pPr>
                </w:p>
              </w:tc>
              <w:tc>
                <w:tcPr>
                  <w:tcW w:w="2516" w:type="dxa"/>
                  <w:gridSpan w:val="4"/>
                  <w:vAlign w:val="center"/>
                </w:tcPr>
                <w:p w14:paraId="777BA503">
                  <w:pPr>
                    <w:pStyle w:val="3"/>
                    <w:outlineLvl w:val="0"/>
                    <w:rPr>
                      <w:rFonts w:hint="eastAsia" w:eastAsia="宋体"/>
                      <w:color w:val="auto"/>
                      <w:lang w:val="en-US" w:eastAsia="zh-CN"/>
                    </w:rPr>
                  </w:pPr>
                  <w:r>
                    <w:rPr>
                      <w:rFonts w:hint="eastAsia"/>
                      <w:color w:val="auto"/>
                      <w:lang w:val="en-US" w:eastAsia="zh-CN"/>
                    </w:rPr>
                    <w:t>食堂</w:t>
                  </w:r>
                </w:p>
              </w:tc>
              <w:tc>
                <w:tcPr>
                  <w:tcW w:w="4318" w:type="dxa"/>
                  <w:vAlign w:val="center"/>
                </w:tcPr>
                <w:p w14:paraId="366BB0A9">
                  <w:pPr>
                    <w:pStyle w:val="3"/>
                    <w:outlineLvl w:val="0"/>
                    <w:rPr>
                      <w:rFonts w:hint="default" w:eastAsia="宋体"/>
                      <w:color w:val="auto"/>
                      <w:lang w:val="en-US" w:eastAsia="zh-CN"/>
                    </w:rPr>
                  </w:pPr>
                  <w:r>
                    <w:rPr>
                      <w:rFonts w:hint="eastAsia"/>
                      <w:color w:val="auto"/>
                      <w:lang w:val="en-US" w:eastAsia="zh-CN"/>
                    </w:rPr>
                    <w:t>1F，H=3m，建筑面积80</w:t>
                  </w:r>
                  <w:r>
                    <w:rPr>
                      <w:color w:val="auto"/>
                    </w:rPr>
                    <w:t>m</w:t>
                  </w:r>
                  <w:r>
                    <w:rPr>
                      <w:color w:val="auto"/>
                      <w:vertAlign w:val="superscript"/>
                    </w:rPr>
                    <w:t>2</w:t>
                  </w:r>
                  <w:r>
                    <w:rPr>
                      <w:rFonts w:hint="eastAsia"/>
                      <w:color w:val="auto"/>
                      <w:vertAlign w:val="baseline"/>
                      <w:lang w:eastAsia="zh-CN"/>
                    </w:rPr>
                    <w:t>，</w:t>
                  </w:r>
                  <w:r>
                    <w:rPr>
                      <w:rFonts w:hint="eastAsia"/>
                      <w:color w:val="auto"/>
                      <w:vertAlign w:val="baseline"/>
                      <w:lang w:val="en-US" w:eastAsia="zh-CN"/>
                    </w:rPr>
                    <w:t>位于办公楼南侧，主要为职工提供就餐场所</w:t>
                  </w:r>
                </w:p>
              </w:tc>
              <w:tc>
                <w:tcPr>
                  <w:tcW w:w="3840" w:type="dxa"/>
                  <w:vAlign w:val="center"/>
                </w:tcPr>
                <w:p w14:paraId="0179506C">
                  <w:pPr>
                    <w:pStyle w:val="3"/>
                    <w:outlineLvl w:val="0"/>
                    <w:rPr>
                      <w:rFonts w:hint="eastAsia"/>
                      <w:color w:val="auto"/>
                      <w:lang w:val="en-US" w:eastAsia="zh-CN"/>
                    </w:rPr>
                  </w:pPr>
                  <w:r>
                    <w:rPr>
                      <w:rFonts w:hint="eastAsia"/>
                      <w:color w:val="auto"/>
                      <w:lang w:val="en-US" w:eastAsia="zh-CN"/>
                    </w:rPr>
                    <w:t>依托现有</w:t>
                  </w:r>
                </w:p>
              </w:tc>
              <w:tc>
                <w:tcPr>
                  <w:tcW w:w="1412" w:type="dxa"/>
                  <w:vAlign w:val="center"/>
                </w:tcPr>
                <w:p w14:paraId="2E8CBCC0">
                  <w:pPr>
                    <w:pStyle w:val="3"/>
                    <w:outlineLvl w:val="0"/>
                    <w:rPr>
                      <w:rFonts w:hint="eastAsia"/>
                      <w:color w:val="auto"/>
                    </w:rPr>
                  </w:pPr>
                  <w:r>
                    <w:rPr>
                      <w:rFonts w:hint="eastAsia"/>
                      <w:color w:val="auto"/>
                      <w:lang w:val="en-US" w:eastAsia="zh-CN"/>
                    </w:rPr>
                    <w:t>依托现有</w:t>
                  </w:r>
                </w:p>
              </w:tc>
            </w:tr>
            <w:tr w14:paraId="0C00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1375DAD4">
                  <w:pPr>
                    <w:pStyle w:val="3"/>
                    <w:outlineLvl w:val="0"/>
                    <w:rPr>
                      <w:color w:val="auto"/>
                    </w:rPr>
                  </w:pPr>
                </w:p>
              </w:tc>
              <w:tc>
                <w:tcPr>
                  <w:tcW w:w="2516" w:type="dxa"/>
                  <w:gridSpan w:val="4"/>
                  <w:vAlign w:val="center"/>
                </w:tcPr>
                <w:p w14:paraId="5793C0C0">
                  <w:pPr>
                    <w:pStyle w:val="3"/>
                    <w:outlineLvl w:val="0"/>
                    <w:rPr>
                      <w:color w:val="auto"/>
                    </w:rPr>
                  </w:pPr>
                  <w:r>
                    <w:rPr>
                      <w:rFonts w:hint="eastAsia"/>
                      <w:color w:val="auto"/>
                    </w:rPr>
                    <w:t>辅助用房</w:t>
                  </w:r>
                </w:p>
              </w:tc>
              <w:tc>
                <w:tcPr>
                  <w:tcW w:w="4318" w:type="dxa"/>
                  <w:vAlign w:val="center"/>
                </w:tcPr>
                <w:p w14:paraId="573D05EC">
                  <w:pPr>
                    <w:pStyle w:val="3"/>
                    <w:outlineLvl w:val="0"/>
                    <w:rPr>
                      <w:rFonts w:hint="default" w:eastAsia="宋体"/>
                      <w:color w:val="auto"/>
                      <w:lang w:val="en-US" w:eastAsia="zh-CN"/>
                    </w:rPr>
                  </w:pPr>
                  <w:r>
                    <w:rPr>
                      <w:rFonts w:hint="eastAsia"/>
                      <w:color w:val="auto"/>
                      <w:lang w:val="en-US" w:eastAsia="zh-CN"/>
                    </w:rPr>
                    <w:t>1F，H=3m，建筑面积120</w:t>
                  </w:r>
                  <w:r>
                    <w:rPr>
                      <w:color w:val="auto"/>
                    </w:rPr>
                    <w:t>m</w:t>
                  </w:r>
                  <w:r>
                    <w:rPr>
                      <w:color w:val="auto"/>
                      <w:vertAlign w:val="superscript"/>
                    </w:rPr>
                    <w:t>2</w:t>
                  </w:r>
                  <w:r>
                    <w:rPr>
                      <w:rFonts w:hint="eastAsia"/>
                      <w:color w:val="auto"/>
                      <w:vertAlign w:val="baseline"/>
                      <w:lang w:eastAsia="zh-CN"/>
                    </w:rPr>
                    <w:t>，</w:t>
                  </w:r>
                  <w:r>
                    <w:rPr>
                      <w:rFonts w:hint="eastAsia"/>
                      <w:color w:val="auto"/>
                      <w:vertAlign w:val="baseline"/>
                      <w:lang w:val="en-US" w:eastAsia="zh-CN"/>
                    </w:rPr>
                    <w:t>位于食堂西侧，主要</w:t>
                  </w:r>
                  <w:r>
                    <w:rPr>
                      <w:rFonts w:hint="eastAsia"/>
                      <w:color w:val="auto"/>
                    </w:rPr>
                    <w:t>用于配件存放</w:t>
                  </w:r>
                  <w:r>
                    <w:rPr>
                      <w:rFonts w:hint="eastAsia"/>
                      <w:color w:val="auto"/>
                      <w:lang w:val="en-US" w:eastAsia="zh-CN"/>
                    </w:rPr>
                    <w:t>及员工临时休息</w:t>
                  </w:r>
                  <w:r>
                    <w:rPr>
                      <w:rFonts w:hint="eastAsia"/>
                      <w:color w:val="auto"/>
                    </w:rPr>
                    <w:t>等</w:t>
                  </w:r>
                </w:p>
              </w:tc>
              <w:tc>
                <w:tcPr>
                  <w:tcW w:w="3840" w:type="dxa"/>
                  <w:vAlign w:val="center"/>
                </w:tcPr>
                <w:p w14:paraId="124BF211">
                  <w:pPr>
                    <w:pStyle w:val="3"/>
                    <w:outlineLvl w:val="0"/>
                    <w:rPr>
                      <w:color w:val="auto"/>
                    </w:rPr>
                  </w:pPr>
                  <w:r>
                    <w:rPr>
                      <w:rFonts w:hint="eastAsia"/>
                      <w:color w:val="auto"/>
                    </w:rPr>
                    <w:t>依托现有</w:t>
                  </w:r>
                </w:p>
              </w:tc>
              <w:tc>
                <w:tcPr>
                  <w:tcW w:w="1412" w:type="dxa"/>
                  <w:vAlign w:val="center"/>
                </w:tcPr>
                <w:p w14:paraId="5D345808">
                  <w:pPr>
                    <w:pStyle w:val="3"/>
                    <w:outlineLvl w:val="0"/>
                    <w:rPr>
                      <w:color w:val="auto"/>
                    </w:rPr>
                  </w:pPr>
                  <w:r>
                    <w:rPr>
                      <w:rFonts w:hint="eastAsia"/>
                      <w:color w:val="auto"/>
                    </w:rPr>
                    <w:t>依托现有</w:t>
                  </w:r>
                </w:p>
              </w:tc>
            </w:tr>
            <w:tr w14:paraId="6872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restart"/>
                  <w:vAlign w:val="center"/>
                </w:tcPr>
                <w:p w14:paraId="614E52B1">
                  <w:pPr>
                    <w:pStyle w:val="3"/>
                    <w:outlineLvl w:val="0"/>
                    <w:rPr>
                      <w:color w:val="auto"/>
                    </w:rPr>
                  </w:pPr>
                  <w:r>
                    <w:rPr>
                      <w:rFonts w:hint="eastAsia"/>
                      <w:color w:val="auto"/>
                    </w:rPr>
                    <w:t>储运</w:t>
                  </w:r>
                </w:p>
                <w:p w14:paraId="242D82D7">
                  <w:pPr>
                    <w:pStyle w:val="3"/>
                    <w:outlineLvl w:val="0"/>
                    <w:rPr>
                      <w:color w:val="auto"/>
                    </w:rPr>
                  </w:pPr>
                  <w:r>
                    <w:rPr>
                      <w:rFonts w:hint="eastAsia"/>
                      <w:color w:val="auto"/>
                    </w:rPr>
                    <w:t>工程</w:t>
                  </w:r>
                </w:p>
              </w:tc>
              <w:tc>
                <w:tcPr>
                  <w:tcW w:w="669" w:type="dxa"/>
                  <w:vMerge w:val="restart"/>
                  <w:vAlign w:val="center"/>
                </w:tcPr>
                <w:p w14:paraId="7A5ACAC2">
                  <w:pPr>
                    <w:pStyle w:val="3"/>
                    <w:outlineLvl w:val="0"/>
                    <w:rPr>
                      <w:color w:val="auto"/>
                    </w:rPr>
                  </w:pPr>
                  <w:r>
                    <w:rPr>
                      <w:rFonts w:hint="eastAsia"/>
                      <w:b w:val="0"/>
                      <w:bCs w:val="0"/>
                      <w:color w:val="auto"/>
                      <w:lang w:val="en-US" w:eastAsia="zh-CN"/>
                    </w:rPr>
                    <w:t>机制砂生产线、</w:t>
                  </w:r>
                  <w:r>
                    <w:rPr>
                      <w:rFonts w:hint="eastAsia"/>
                      <w:color w:val="auto"/>
                      <w:lang w:val="en-US" w:eastAsia="zh-CN"/>
                    </w:rPr>
                    <w:t>干混砂浆生产线</w:t>
                  </w:r>
                </w:p>
              </w:tc>
              <w:tc>
                <w:tcPr>
                  <w:tcW w:w="1847" w:type="dxa"/>
                  <w:gridSpan w:val="3"/>
                  <w:vAlign w:val="center"/>
                </w:tcPr>
                <w:p w14:paraId="5A0BCED1">
                  <w:pPr>
                    <w:pStyle w:val="3"/>
                    <w:outlineLvl w:val="0"/>
                    <w:rPr>
                      <w:color w:val="auto"/>
                    </w:rPr>
                  </w:pPr>
                  <w:r>
                    <w:rPr>
                      <w:rFonts w:hint="eastAsia"/>
                      <w:color w:val="auto"/>
                    </w:rPr>
                    <w:t>原料区</w:t>
                  </w:r>
                </w:p>
              </w:tc>
              <w:tc>
                <w:tcPr>
                  <w:tcW w:w="4318" w:type="dxa"/>
                  <w:vAlign w:val="center"/>
                </w:tcPr>
                <w:p w14:paraId="056CE34A">
                  <w:pPr>
                    <w:pStyle w:val="3"/>
                    <w:outlineLvl w:val="0"/>
                    <w:rPr>
                      <w:color w:val="auto"/>
                    </w:rPr>
                  </w:pPr>
                  <w:r>
                    <w:rPr>
                      <w:rFonts w:hint="eastAsia"/>
                      <w:color w:val="auto"/>
                    </w:rPr>
                    <w:t>1F，H=</w:t>
                  </w:r>
                  <w:r>
                    <w:rPr>
                      <w:rFonts w:hint="eastAsia"/>
                      <w:color w:val="auto"/>
                      <w:lang w:val="en-US" w:eastAsia="zh-CN"/>
                    </w:rPr>
                    <w:t>9</w:t>
                  </w:r>
                  <w:r>
                    <w:rPr>
                      <w:rFonts w:hint="eastAsia"/>
                      <w:color w:val="auto"/>
                    </w:rPr>
                    <w:t>m、建筑面积</w:t>
                  </w:r>
                  <w:r>
                    <w:rPr>
                      <w:rFonts w:hint="eastAsia"/>
                      <w:color w:val="auto"/>
                      <w:lang w:val="en-US" w:eastAsia="zh-CN"/>
                    </w:rPr>
                    <w:t>320</w:t>
                  </w:r>
                  <w:r>
                    <w:rPr>
                      <w:rFonts w:hint="eastAsia"/>
                      <w:color w:val="auto"/>
                    </w:rPr>
                    <w:t>m</w:t>
                  </w:r>
                  <w:r>
                    <w:rPr>
                      <w:rFonts w:hint="eastAsia"/>
                      <w:color w:val="auto"/>
                      <w:vertAlign w:val="superscript"/>
                    </w:rPr>
                    <w:t>2</w:t>
                  </w:r>
                  <w:r>
                    <w:rPr>
                      <w:rFonts w:hint="eastAsia"/>
                      <w:color w:val="auto"/>
                    </w:rPr>
                    <w:t>，位于</w:t>
                  </w:r>
                  <w:r>
                    <w:rPr>
                      <w:rFonts w:hint="eastAsia"/>
                      <w:b w:val="0"/>
                      <w:bCs w:val="0"/>
                      <w:color w:val="auto"/>
                      <w:lang w:val="en-US" w:eastAsia="zh-CN"/>
                    </w:rPr>
                    <w:t>机制砂生产线</w:t>
                  </w:r>
                  <w:r>
                    <w:rPr>
                      <w:rFonts w:hint="eastAsia"/>
                      <w:color w:val="auto"/>
                      <w:lang w:val="en-US" w:eastAsia="zh-CN"/>
                    </w:rPr>
                    <w:t>西</w:t>
                  </w:r>
                  <w:r>
                    <w:rPr>
                      <w:rFonts w:hint="eastAsia"/>
                      <w:color w:val="auto"/>
                    </w:rPr>
                    <w:t>侧，用于存放</w:t>
                  </w:r>
                  <w:r>
                    <w:rPr>
                      <w:rFonts w:hint="eastAsia"/>
                      <w:color w:val="auto"/>
                      <w:lang w:val="en-US" w:eastAsia="zh-CN"/>
                    </w:rPr>
                    <w:t>石料、碎石等</w:t>
                  </w:r>
                  <w:r>
                    <w:rPr>
                      <w:rFonts w:hint="eastAsia"/>
                      <w:color w:val="auto"/>
                    </w:rPr>
                    <w:t>原料</w:t>
                  </w:r>
                </w:p>
              </w:tc>
              <w:tc>
                <w:tcPr>
                  <w:tcW w:w="3840" w:type="dxa"/>
                  <w:vAlign w:val="center"/>
                </w:tcPr>
                <w:p w14:paraId="4409D6AD">
                  <w:pPr>
                    <w:pStyle w:val="3"/>
                    <w:outlineLvl w:val="0"/>
                    <w:rPr>
                      <w:color w:val="auto"/>
                    </w:rPr>
                  </w:pPr>
                  <w:r>
                    <w:rPr>
                      <w:rFonts w:hint="eastAsia"/>
                      <w:color w:val="auto"/>
                    </w:rPr>
                    <w:t>/</w:t>
                  </w:r>
                </w:p>
              </w:tc>
              <w:tc>
                <w:tcPr>
                  <w:tcW w:w="1412" w:type="dxa"/>
                  <w:vAlign w:val="center"/>
                </w:tcPr>
                <w:p w14:paraId="04FE6DAA">
                  <w:pPr>
                    <w:pStyle w:val="3"/>
                    <w:outlineLvl w:val="0"/>
                    <w:rPr>
                      <w:color w:val="auto"/>
                    </w:rPr>
                  </w:pPr>
                  <w:r>
                    <w:rPr>
                      <w:rFonts w:hint="eastAsia"/>
                      <w:color w:val="auto"/>
                      <w:lang w:val="en-US" w:eastAsia="zh-CN"/>
                    </w:rPr>
                    <w:t>其中南侧作为该生产原料区，北侧作为该成品区，加强进出货频次，原料区及成品区能满足现有工程使用</w:t>
                  </w:r>
                </w:p>
              </w:tc>
            </w:tr>
            <w:tr w14:paraId="0EB5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4C6FEAEC">
                  <w:pPr>
                    <w:pStyle w:val="3"/>
                    <w:outlineLvl w:val="0"/>
                    <w:rPr>
                      <w:color w:val="auto"/>
                    </w:rPr>
                  </w:pPr>
                </w:p>
              </w:tc>
              <w:tc>
                <w:tcPr>
                  <w:tcW w:w="669" w:type="dxa"/>
                  <w:vMerge w:val="continue"/>
                  <w:vAlign w:val="center"/>
                </w:tcPr>
                <w:p w14:paraId="3616AC55">
                  <w:pPr>
                    <w:pStyle w:val="3"/>
                    <w:outlineLvl w:val="0"/>
                    <w:rPr>
                      <w:color w:val="auto"/>
                    </w:rPr>
                  </w:pPr>
                </w:p>
              </w:tc>
              <w:tc>
                <w:tcPr>
                  <w:tcW w:w="1847" w:type="dxa"/>
                  <w:gridSpan w:val="3"/>
                  <w:vAlign w:val="center"/>
                </w:tcPr>
                <w:p w14:paraId="01C8ACF0">
                  <w:pPr>
                    <w:pStyle w:val="3"/>
                    <w:outlineLvl w:val="0"/>
                    <w:rPr>
                      <w:color w:val="auto"/>
                    </w:rPr>
                  </w:pPr>
                  <w:r>
                    <w:rPr>
                      <w:rFonts w:hint="eastAsia"/>
                      <w:color w:val="auto"/>
                    </w:rPr>
                    <w:t>成品区</w:t>
                  </w:r>
                </w:p>
              </w:tc>
              <w:tc>
                <w:tcPr>
                  <w:tcW w:w="4318" w:type="dxa"/>
                  <w:vAlign w:val="center"/>
                </w:tcPr>
                <w:p w14:paraId="295436A8">
                  <w:pPr>
                    <w:pStyle w:val="3"/>
                    <w:outlineLvl w:val="0"/>
                    <w:rPr>
                      <w:color w:val="auto"/>
                    </w:rPr>
                  </w:pPr>
                  <w:r>
                    <w:rPr>
                      <w:rFonts w:hint="eastAsia"/>
                      <w:color w:val="auto"/>
                    </w:rPr>
                    <w:t>1F，H=</w:t>
                  </w:r>
                  <w:r>
                    <w:rPr>
                      <w:rFonts w:hint="eastAsia"/>
                      <w:color w:val="auto"/>
                      <w:lang w:val="en-US" w:eastAsia="zh-CN"/>
                    </w:rPr>
                    <w:t>9</w:t>
                  </w:r>
                  <w:r>
                    <w:rPr>
                      <w:rFonts w:hint="eastAsia"/>
                      <w:color w:val="auto"/>
                    </w:rPr>
                    <w:t>m、建筑面积</w:t>
                  </w:r>
                  <w:r>
                    <w:rPr>
                      <w:rFonts w:hint="eastAsia"/>
                      <w:color w:val="auto"/>
                      <w:lang w:val="en-US" w:eastAsia="zh-CN"/>
                    </w:rPr>
                    <w:t>200</w:t>
                  </w:r>
                  <w:r>
                    <w:rPr>
                      <w:rFonts w:hint="eastAsia"/>
                      <w:color w:val="auto"/>
                    </w:rPr>
                    <w:t>m</w:t>
                  </w:r>
                  <w:r>
                    <w:rPr>
                      <w:rFonts w:hint="eastAsia"/>
                      <w:color w:val="auto"/>
                      <w:vertAlign w:val="superscript"/>
                    </w:rPr>
                    <w:t>2</w:t>
                  </w:r>
                  <w:r>
                    <w:rPr>
                      <w:rFonts w:hint="eastAsia"/>
                      <w:color w:val="auto"/>
                    </w:rPr>
                    <w:t>，位于</w:t>
                  </w:r>
                  <w:r>
                    <w:rPr>
                      <w:rFonts w:hint="eastAsia"/>
                      <w:color w:val="auto"/>
                      <w:lang w:val="en-US" w:eastAsia="zh-CN"/>
                    </w:rPr>
                    <w:t>原料区北侧</w:t>
                  </w:r>
                  <w:r>
                    <w:rPr>
                      <w:rFonts w:hint="eastAsia"/>
                      <w:color w:val="auto"/>
                    </w:rPr>
                    <w:t>，用于堆放成品</w:t>
                  </w:r>
                </w:p>
              </w:tc>
              <w:tc>
                <w:tcPr>
                  <w:tcW w:w="3840" w:type="dxa"/>
                  <w:vAlign w:val="center"/>
                </w:tcPr>
                <w:p w14:paraId="53C39AF3">
                  <w:pPr>
                    <w:pStyle w:val="3"/>
                    <w:outlineLvl w:val="0"/>
                    <w:rPr>
                      <w:color w:val="auto"/>
                    </w:rPr>
                  </w:pPr>
                  <w:r>
                    <w:rPr>
                      <w:rFonts w:hint="eastAsia"/>
                      <w:color w:val="auto"/>
                    </w:rPr>
                    <w:t>/</w:t>
                  </w:r>
                </w:p>
              </w:tc>
              <w:tc>
                <w:tcPr>
                  <w:tcW w:w="1412" w:type="dxa"/>
                  <w:vAlign w:val="center"/>
                </w:tcPr>
                <w:p w14:paraId="08C0C00D">
                  <w:pPr>
                    <w:pStyle w:val="3"/>
                    <w:outlineLvl w:val="0"/>
                    <w:rPr>
                      <w:color w:val="auto"/>
                    </w:rPr>
                  </w:pPr>
                  <w:r>
                    <w:rPr>
                      <w:rFonts w:hint="eastAsia" w:eastAsiaTheme="minorEastAsia"/>
                      <w:color w:val="auto"/>
                      <w:szCs w:val="21"/>
                    </w:rPr>
                    <w:t>已建、已验</w:t>
                  </w:r>
                </w:p>
              </w:tc>
            </w:tr>
            <w:tr w14:paraId="7701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6D4E58FD">
                  <w:pPr>
                    <w:pStyle w:val="3"/>
                    <w:outlineLvl w:val="0"/>
                    <w:rPr>
                      <w:color w:val="auto"/>
                    </w:rPr>
                  </w:pPr>
                </w:p>
              </w:tc>
              <w:tc>
                <w:tcPr>
                  <w:tcW w:w="669" w:type="dxa"/>
                  <w:vMerge w:val="restart"/>
                  <w:vAlign w:val="center"/>
                </w:tcPr>
                <w:p w14:paraId="3EA36EE3">
                  <w:pPr>
                    <w:pStyle w:val="3"/>
                    <w:outlineLvl w:val="0"/>
                    <w:rPr>
                      <w:color w:val="auto"/>
                    </w:rPr>
                  </w:pPr>
                  <w:r>
                    <w:rPr>
                      <w:rFonts w:hint="eastAsia"/>
                      <w:color w:val="auto"/>
                    </w:rPr>
                    <w:t>水稳生产线</w:t>
                  </w:r>
                </w:p>
              </w:tc>
              <w:tc>
                <w:tcPr>
                  <w:tcW w:w="1847" w:type="dxa"/>
                  <w:gridSpan w:val="3"/>
                  <w:vAlign w:val="center"/>
                </w:tcPr>
                <w:p w14:paraId="4DA4FF5B">
                  <w:pPr>
                    <w:pStyle w:val="3"/>
                    <w:outlineLvl w:val="0"/>
                    <w:rPr>
                      <w:color w:val="auto"/>
                    </w:rPr>
                  </w:pPr>
                  <w:r>
                    <w:rPr>
                      <w:rFonts w:hint="eastAsia"/>
                      <w:color w:val="auto"/>
                    </w:rPr>
                    <w:t>原料区</w:t>
                  </w:r>
                </w:p>
              </w:tc>
              <w:tc>
                <w:tcPr>
                  <w:tcW w:w="4318" w:type="dxa"/>
                  <w:vAlign w:val="center"/>
                </w:tcPr>
                <w:p w14:paraId="7DF1B8F6">
                  <w:pPr>
                    <w:ind w:firstLine="0" w:firstLineChars="0"/>
                    <w:jc w:val="center"/>
                    <w:rPr>
                      <w:color w:val="auto"/>
                      <w:kern w:val="44"/>
                      <w:sz w:val="21"/>
                    </w:rPr>
                  </w:pPr>
                  <w:r>
                    <w:rPr>
                      <w:rFonts w:hint="eastAsia" w:eastAsiaTheme="minorEastAsia"/>
                      <w:color w:val="auto"/>
                      <w:sz w:val="21"/>
                      <w:szCs w:val="21"/>
                    </w:rPr>
                    <w:t>/</w:t>
                  </w:r>
                </w:p>
              </w:tc>
              <w:tc>
                <w:tcPr>
                  <w:tcW w:w="3840" w:type="dxa"/>
                  <w:vAlign w:val="center"/>
                </w:tcPr>
                <w:p w14:paraId="1C77CBDD">
                  <w:pPr>
                    <w:pStyle w:val="3"/>
                    <w:outlineLvl w:val="0"/>
                    <w:rPr>
                      <w:color w:val="auto"/>
                    </w:rPr>
                  </w:pPr>
                  <w:r>
                    <w:rPr>
                      <w:rFonts w:hint="eastAsia"/>
                      <w:color w:val="auto"/>
                    </w:rPr>
                    <w:t>H=8m，建设面积为</w:t>
                  </w:r>
                  <w:r>
                    <w:rPr>
                      <w:rFonts w:hint="eastAsia"/>
                      <w:color w:val="auto"/>
                      <w:lang w:val="en-US" w:eastAsia="zh-CN"/>
                    </w:rPr>
                    <w:t>400</w:t>
                  </w:r>
                  <w:r>
                    <w:rPr>
                      <w:rFonts w:hint="eastAsia"/>
                      <w:color w:val="auto"/>
                    </w:rPr>
                    <w:t>m</w:t>
                  </w:r>
                  <w:r>
                    <w:rPr>
                      <w:rFonts w:hint="eastAsia"/>
                      <w:color w:val="auto"/>
                      <w:vertAlign w:val="superscript"/>
                    </w:rPr>
                    <w:t>2</w:t>
                  </w:r>
                  <w:r>
                    <w:rPr>
                      <w:rFonts w:hint="eastAsia"/>
                      <w:color w:val="auto"/>
                    </w:rPr>
                    <w:t>，位于封闭式生产车间内</w:t>
                  </w:r>
                  <w:r>
                    <w:rPr>
                      <w:rFonts w:hint="eastAsia"/>
                      <w:color w:val="auto"/>
                      <w:lang w:val="en-US" w:eastAsia="zh-CN"/>
                    </w:rPr>
                    <w:t>水稳生产线西侧</w:t>
                  </w:r>
                  <w:r>
                    <w:rPr>
                      <w:rFonts w:hint="eastAsia"/>
                      <w:color w:val="auto"/>
                    </w:rPr>
                    <w:t>，用于存放石子等原材料</w:t>
                  </w:r>
                </w:p>
              </w:tc>
              <w:tc>
                <w:tcPr>
                  <w:tcW w:w="1412" w:type="dxa"/>
                  <w:vAlign w:val="center"/>
                </w:tcPr>
                <w:p w14:paraId="05229A5B">
                  <w:pPr>
                    <w:pStyle w:val="3"/>
                    <w:outlineLvl w:val="0"/>
                    <w:rPr>
                      <w:rFonts w:hint="eastAsia" w:eastAsia="宋体"/>
                      <w:color w:val="auto"/>
                      <w:lang w:eastAsia="zh-CN"/>
                    </w:rPr>
                  </w:pPr>
                  <w:r>
                    <w:rPr>
                      <w:rFonts w:hint="eastAsia"/>
                      <w:color w:val="auto"/>
                      <w:lang w:val="en-US" w:eastAsia="zh-CN"/>
                    </w:rPr>
                    <w:t>新建</w:t>
                  </w:r>
                </w:p>
              </w:tc>
            </w:tr>
            <w:tr w14:paraId="379B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4D6380BE">
                  <w:pPr>
                    <w:pStyle w:val="3"/>
                    <w:outlineLvl w:val="0"/>
                    <w:rPr>
                      <w:color w:val="auto"/>
                    </w:rPr>
                  </w:pPr>
                </w:p>
              </w:tc>
              <w:tc>
                <w:tcPr>
                  <w:tcW w:w="669" w:type="dxa"/>
                  <w:vMerge w:val="continue"/>
                  <w:vAlign w:val="center"/>
                </w:tcPr>
                <w:p w14:paraId="4469F5B2">
                  <w:pPr>
                    <w:pStyle w:val="3"/>
                    <w:outlineLvl w:val="0"/>
                    <w:rPr>
                      <w:color w:val="auto"/>
                    </w:rPr>
                  </w:pPr>
                </w:p>
              </w:tc>
              <w:tc>
                <w:tcPr>
                  <w:tcW w:w="1847" w:type="dxa"/>
                  <w:gridSpan w:val="3"/>
                  <w:vAlign w:val="center"/>
                </w:tcPr>
                <w:p w14:paraId="245E83E1">
                  <w:pPr>
                    <w:pStyle w:val="3"/>
                    <w:outlineLvl w:val="0"/>
                    <w:rPr>
                      <w:color w:val="auto"/>
                    </w:rPr>
                  </w:pPr>
                  <w:r>
                    <w:rPr>
                      <w:rFonts w:hint="eastAsia"/>
                      <w:color w:val="auto"/>
                    </w:rPr>
                    <w:t>筒仓</w:t>
                  </w:r>
                </w:p>
              </w:tc>
              <w:tc>
                <w:tcPr>
                  <w:tcW w:w="4318" w:type="dxa"/>
                  <w:vAlign w:val="center"/>
                </w:tcPr>
                <w:p w14:paraId="474F506E">
                  <w:pPr>
                    <w:ind w:firstLine="0" w:firstLineChars="0"/>
                    <w:jc w:val="center"/>
                    <w:rPr>
                      <w:color w:val="auto"/>
                      <w:kern w:val="44"/>
                      <w:sz w:val="21"/>
                    </w:rPr>
                  </w:pPr>
                  <w:r>
                    <w:rPr>
                      <w:rFonts w:hint="eastAsia" w:eastAsiaTheme="minorEastAsia"/>
                      <w:color w:val="auto"/>
                      <w:sz w:val="21"/>
                      <w:szCs w:val="21"/>
                    </w:rPr>
                    <w:t>/</w:t>
                  </w:r>
                </w:p>
              </w:tc>
              <w:tc>
                <w:tcPr>
                  <w:tcW w:w="3840" w:type="dxa"/>
                  <w:vAlign w:val="center"/>
                </w:tcPr>
                <w:p w14:paraId="24ED52F8">
                  <w:pPr>
                    <w:pStyle w:val="3"/>
                    <w:outlineLvl w:val="0"/>
                    <w:rPr>
                      <w:color w:val="auto"/>
                    </w:rPr>
                  </w:pPr>
                  <w:r>
                    <w:rPr>
                      <w:rFonts w:hint="eastAsia"/>
                      <w:color w:val="auto"/>
                    </w:rPr>
                    <w:t>H=</w:t>
                  </w:r>
                  <w:r>
                    <w:rPr>
                      <w:rFonts w:hint="eastAsia"/>
                      <w:color w:val="auto"/>
                      <w:lang w:val="en-US" w:eastAsia="zh-CN"/>
                    </w:rPr>
                    <w:t>7.2</w:t>
                  </w:r>
                  <w:r>
                    <w:rPr>
                      <w:rFonts w:hint="eastAsia"/>
                      <w:color w:val="auto"/>
                    </w:rPr>
                    <w:t>m，位于封闭式生产车间内北侧，水泥由罐车运至水泥仓储存，设置</w:t>
                  </w:r>
                  <w:r>
                    <w:rPr>
                      <w:rFonts w:hint="eastAsia"/>
                      <w:color w:val="auto"/>
                      <w:lang w:val="en-US" w:eastAsia="zh-CN"/>
                    </w:rPr>
                    <w:t>3</w:t>
                  </w:r>
                  <w:r>
                    <w:rPr>
                      <w:rFonts w:hint="eastAsia"/>
                      <w:color w:val="auto"/>
                    </w:rPr>
                    <w:t>个水泥仓，单个</w:t>
                  </w:r>
                  <w:r>
                    <w:rPr>
                      <w:rFonts w:hint="eastAsia"/>
                      <w:color w:val="auto"/>
                      <w:lang w:val="en-US" w:eastAsia="zh-CN"/>
                    </w:rPr>
                    <w:t>有效</w:t>
                  </w:r>
                  <w:r>
                    <w:rPr>
                      <w:rFonts w:hint="eastAsia"/>
                      <w:color w:val="auto"/>
                    </w:rPr>
                    <w:t>容积</w:t>
                  </w:r>
                  <w:r>
                    <w:rPr>
                      <w:rFonts w:hint="eastAsia"/>
                      <w:color w:val="auto"/>
                      <w:lang w:val="en-US" w:eastAsia="zh-CN"/>
                    </w:rPr>
                    <w:t>120</w:t>
                  </w:r>
                  <w:r>
                    <w:rPr>
                      <w:rFonts w:hint="eastAsia"/>
                      <w:color w:val="auto"/>
                    </w:rPr>
                    <w:t>t</w:t>
                  </w:r>
                </w:p>
              </w:tc>
              <w:tc>
                <w:tcPr>
                  <w:tcW w:w="1412" w:type="dxa"/>
                  <w:vAlign w:val="center"/>
                </w:tcPr>
                <w:p w14:paraId="6980C1B0">
                  <w:pPr>
                    <w:pStyle w:val="3"/>
                    <w:outlineLvl w:val="0"/>
                    <w:rPr>
                      <w:rFonts w:hint="default" w:eastAsia="宋体"/>
                      <w:color w:val="auto"/>
                      <w:lang w:val="en-US" w:eastAsia="zh-CN"/>
                    </w:rPr>
                  </w:pPr>
                  <w:r>
                    <w:rPr>
                      <w:rFonts w:hint="eastAsia"/>
                      <w:color w:val="auto"/>
                      <w:lang w:val="en-US" w:eastAsia="zh-CN"/>
                    </w:rPr>
                    <w:t>新建</w:t>
                  </w:r>
                </w:p>
              </w:tc>
            </w:tr>
            <w:tr w14:paraId="08FB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restart"/>
                  <w:vAlign w:val="center"/>
                </w:tcPr>
                <w:p w14:paraId="30E78B4E">
                  <w:pPr>
                    <w:pStyle w:val="3"/>
                    <w:outlineLvl w:val="0"/>
                    <w:rPr>
                      <w:color w:val="auto"/>
                    </w:rPr>
                  </w:pPr>
                  <w:r>
                    <w:rPr>
                      <w:rFonts w:hint="eastAsia"/>
                      <w:color w:val="auto"/>
                    </w:rPr>
                    <w:t>公用工程</w:t>
                  </w:r>
                </w:p>
              </w:tc>
              <w:tc>
                <w:tcPr>
                  <w:tcW w:w="2516" w:type="dxa"/>
                  <w:gridSpan w:val="4"/>
                  <w:vAlign w:val="center"/>
                </w:tcPr>
                <w:p w14:paraId="46FD7051">
                  <w:pPr>
                    <w:widowControl/>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给水</w:t>
                  </w:r>
                </w:p>
              </w:tc>
              <w:tc>
                <w:tcPr>
                  <w:tcW w:w="4318" w:type="dxa"/>
                  <w:vAlign w:val="center"/>
                </w:tcPr>
                <w:p w14:paraId="439E4D33">
                  <w:pPr>
                    <w:pStyle w:val="3"/>
                    <w:spacing w:line="240" w:lineRule="auto"/>
                    <w:outlineLvl w:val="0"/>
                    <w:rPr>
                      <w:color w:val="auto"/>
                    </w:rPr>
                  </w:pPr>
                  <w:r>
                    <w:rPr>
                      <w:rFonts w:hint="eastAsia"/>
                      <w:b w:val="0"/>
                      <w:bCs w:val="0"/>
                      <w:color w:val="auto"/>
                      <w:lang w:val="en-US" w:eastAsia="zh-CN"/>
                    </w:rPr>
                    <w:t>机制砂生产线、</w:t>
                  </w:r>
                  <w:r>
                    <w:rPr>
                      <w:rFonts w:hint="eastAsia"/>
                      <w:color w:val="auto"/>
                      <w:lang w:val="en-US" w:eastAsia="zh-CN"/>
                    </w:rPr>
                    <w:t>干混砂浆生产线</w:t>
                  </w:r>
                  <w:r>
                    <w:rPr>
                      <w:rFonts w:hint="eastAsia" w:eastAsiaTheme="minorEastAsia"/>
                      <w:color w:val="auto"/>
                      <w:szCs w:val="21"/>
                    </w:rPr>
                    <w:t>：乡镇供水管网，</w:t>
                  </w:r>
                  <w:r>
                    <w:rPr>
                      <w:rFonts w:hint="eastAsia"/>
                      <w:color w:val="auto"/>
                    </w:rPr>
                    <w:t>用水量约为</w:t>
                  </w:r>
                  <w:r>
                    <w:rPr>
                      <w:rFonts w:hint="eastAsia"/>
                      <w:color w:val="auto"/>
                      <w:lang w:val="en-US" w:eastAsia="zh-CN"/>
                    </w:rPr>
                    <w:t>564</w:t>
                  </w:r>
                  <w:r>
                    <w:rPr>
                      <w:rFonts w:hint="eastAsia"/>
                      <w:color w:val="auto"/>
                    </w:rPr>
                    <w:t>m</w:t>
                  </w:r>
                  <w:r>
                    <w:rPr>
                      <w:rFonts w:hint="eastAsia"/>
                      <w:color w:val="auto"/>
                      <w:vertAlign w:val="superscript"/>
                    </w:rPr>
                    <w:t>3</w:t>
                  </w:r>
                  <w:r>
                    <w:rPr>
                      <w:rFonts w:hint="eastAsia"/>
                      <w:color w:val="auto"/>
                    </w:rPr>
                    <w:t>/a</w:t>
                  </w:r>
                </w:p>
              </w:tc>
              <w:tc>
                <w:tcPr>
                  <w:tcW w:w="3840" w:type="dxa"/>
                  <w:vAlign w:val="center"/>
                </w:tcPr>
                <w:p w14:paraId="78E9A4DD">
                  <w:pPr>
                    <w:pStyle w:val="3"/>
                    <w:spacing w:line="240" w:lineRule="auto"/>
                    <w:outlineLvl w:val="0"/>
                    <w:rPr>
                      <w:rFonts w:eastAsiaTheme="minorEastAsia"/>
                      <w:color w:val="auto"/>
                      <w:szCs w:val="21"/>
                    </w:rPr>
                  </w:pPr>
                  <w:r>
                    <w:rPr>
                      <w:rFonts w:hint="eastAsia" w:eastAsiaTheme="minorEastAsia"/>
                      <w:color w:val="auto"/>
                      <w:szCs w:val="21"/>
                    </w:rPr>
                    <w:t>依托现有乡镇供水管网，本项目新增</w:t>
                  </w:r>
                  <w:r>
                    <w:rPr>
                      <w:rFonts w:hint="eastAsia"/>
                      <w:color w:val="auto"/>
                    </w:rPr>
                    <w:t>用水量为</w:t>
                  </w:r>
                  <w:r>
                    <w:rPr>
                      <w:rFonts w:hint="eastAsia"/>
                      <w:color w:val="auto"/>
                      <w:lang w:val="en-US" w:eastAsia="zh-CN"/>
                    </w:rPr>
                    <w:t>41517.9</w:t>
                  </w:r>
                  <w:r>
                    <w:rPr>
                      <w:rFonts w:hint="eastAsia"/>
                      <w:color w:val="auto"/>
                    </w:rPr>
                    <w:t>m</w:t>
                  </w:r>
                  <w:r>
                    <w:rPr>
                      <w:rFonts w:hint="eastAsia"/>
                      <w:color w:val="auto"/>
                      <w:vertAlign w:val="superscript"/>
                    </w:rPr>
                    <w:t>3</w:t>
                  </w:r>
                  <w:r>
                    <w:rPr>
                      <w:rFonts w:hint="eastAsia"/>
                      <w:color w:val="auto"/>
                    </w:rPr>
                    <w:t>/a</w:t>
                  </w:r>
                </w:p>
              </w:tc>
              <w:tc>
                <w:tcPr>
                  <w:tcW w:w="1412" w:type="dxa"/>
                  <w:vAlign w:val="center"/>
                </w:tcPr>
                <w:p w14:paraId="655080BD">
                  <w:pPr>
                    <w:pStyle w:val="3"/>
                    <w:spacing w:line="240" w:lineRule="auto"/>
                    <w:outlineLvl w:val="0"/>
                    <w:rPr>
                      <w:rFonts w:eastAsiaTheme="minorEastAsia"/>
                      <w:color w:val="auto"/>
                      <w:szCs w:val="21"/>
                    </w:rPr>
                  </w:pPr>
                  <w:r>
                    <w:rPr>
                      <w:rFonts w:hint="eastAsia" w:eastAsiaTheme="minorEastAsia"/>
                      <w:color w:val="auto"/>
                      <w:szCs w:val="21"/>
                    </w:rPr>
                    <w:t>依托现有</w:t>
                  </w:r>
                </w:p>
              </w:tc>
            </w:tr>
            <w:tr w14:paraId="42F2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18F53920">
                  <w:pPr>
                    <w:pStyle w:val="3"/>
                    <w:outlineLvl w:val="0"/>
                    <w:rPr>
                      <w:color w:val="auto"/>
                    </w:rPr>
                  </w:pPr>
                </w:p>
              </w:tc>
              <w:tc>
                <w:tcPr>
                  <w:tcW w:w="2516" w:type="dxa"/>
                  <w:gridSpan w:val="4"/>
                  <w:vAlign w:val="center"/>
                </w:tcPr>
                <w:p w14:paraId="0DEC26A1">
                  <w:pPr>
                    <w:widowControl/>
                    <w:adjustRightInd w:val="0"/>
                    <w:snapToGrid w:val="0"/>
                    <w:spacing w:line="240" w:lineRule="auto"/>
                    <w:ind w:firstLine="0" w:firstLineChars="0"/>
                    <w:jc w:val="center"/>
                    <w:rPr>
                      <w:color w:val="auto"/>
                    </w:rPr>
                  </w:pPr>
                  <w:r>
                    <w:rPr>
                      <w:rFonts w:eastAsiaTheme="minorEastAsia"/>
                      <w:color w:val="auto"/>
                      <w:sz w:val="21"/>
                      <w:szCs w:val="21"/>
                    </w:rPr>
                    <w:t>供电</w:t>
                  </w:r>
                </w:p>
              </w:tc>
              <w:tc>
                <w:tcPr>
                  <w:tcW w:w="4318" w:type="dxa"/>
                  <w:vAlign w:val="center"/>
                </w:tcPr>
                <w:p w14:paraId="106BEDD5">
                  <w:pPr>
                    <w:pStyle w:val="3"/>
                    <w:spacing w:line="240" w:lineRule="auto"/>
                    <w:outlineLvl w:val="0"/>
                    <w:rPr>
                      <w:color w:val="auto"/>
                    </w:rPr>
                  </w:pPr>
                  <w:r>
                    <w:rPr>
                      <w:rFonts w:hint="eastAsia"/>
                      <w:color w:val="auto"/>
                    </w:rPr>
                    <w:t>水稳生产线：乡镇电网供电，</w:t>
                  </w:r>
                  <w:r>
                    <w:rPr>
                      <w:color w:val="auto"/>
                    </w:rPr>
                    <w:t>用电量</w:t>
                  </w:r>
                  <w:r>
                    <w:rPr>
                      <w:rFonts w:hint="eastAsia"/>
                      <w:color w:val="auto"/>
                      <w:lang w:val="en-US" w:eastAsia="zh-CN"/>
                    </w:rPr>
                    <w:t>120</w:t>
                  </w:r>
                  <w:r>
                    <w:rPr>
                      <w:color w:val="auto"/>
                    </w:rPr>
                    <w:t>万kWh/a</w:t>
                  </w:r>
                </w:p>
              </w:tc>
              <w:tc>
                <w:tcPr>
                  <w:tcW w:w="3840" w:type="dxa"/>
                  <w:vAlign w:val="center"/>
                </w:tcPr>
                <w:p w14:paraId="5F19EE62">
                  <w:pPr>
                    <w:pStyle w:val="3"/>
                    <w:spacing w:line="240" w:lineRule="auto"/>
                    <w:outlineLvl w:val="0"/>
                    <w:rPr>
                      <w:rFonts w:eastAsiaTheme="minorEastAsia"/>
                      <w:color w:val="auto"/>
                      <w:szCs w:val="21"/>
                    </w:rPr>
                  </w:pPr>
                  <w:r>
                    <w:rPr>
                      <w:rFonts w:hint="eastAsia" w:eastAsiaTheme="minorEastAsia"/>
                      <w:color w:val="auto"/>
                      <w:szCs w:val="21"/>
                    </w:rPr>
                    <w:t>依托现有供电管网，</w:t>
                  </w:r>
                  <w:r>
                    <w:rPr>
                      <w:rFonts w:hint="eastAsia"/>
                      <w:color w:val="auto"/>
                    </w:rPr>
                    <w:t>本项目新增</w:t>
                  </w:r>
                  <w:r>
                    <w:rPr>
                      <w:color w:val="auto"/>
                    </w:rPr>
                    <w:t>用电量</w:t>
                  </w:r>
                  <w:r>
                    <w:rPr>
                      <w:rFonts w:hint="eastAsia"/>
                      <w:color w:val="auto"/>
                      <w:lang w:val="en-US" w:eastAsia="zh-CN"/>
                    </w:rPr>
                    <w:t>100</w:t>
                  </w:r>
                  <w:r>
                    <w:rPr>
                      <w:color w:val="auto"/>
                    </w:rPr>
                    <w:t>万kWh/a</w:t>
                  </w:r>
                </w:p>
              </w:tc>
              <w:tc>
                <w:tcPr>
                  <w:tcW w:w="1412" w:type="dxa"/>
                  <w:vAlign w:val="center"/>
                </w:tcPr>
                <w:p w14:paraId="5BBDBD66">
                  <w:pPr>
                    <w:pStyle w:val="3"/>
                    <w:spacing w:line="240" w:lineRule="auto"/>
                    <w:outlineLvl w:val="0"/>
                    <w:rPr>
                      <w:color w:val="auto"/>
                    </w:rPr>
                  </w:pPr>
                  <w:r>
                    <w:rPr>
                      <w:rFonts w:hint="eastAsia" w:eastAsiaTheme="minorEastAsia"/>
                      <w:color w:val="auto"/>
                      <w:szCs w:val="21"/>
                    </w:rPr>
                    <w:t>依托现有</w:t>
                  </w:r>
                </w:p>
              </w:tc>
            </w:tr>
            <w:tr w14:paraId="174D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12D3B89C">
                  <w:pPr>
                    <w:pStyle w:val="3"/>
                    <w:outlineLvl w:val="0"/>
                    <w:rPr>
                      <w:color w:val="auto"/>
                    </w:rPr>
                  </w:pPr>
                </w:p>
              </w:tc>
              <w:tc>
                <w:tcPr>
                  <w:tcW w:w="2516" w:type="dxa"/>
                  <w:gridSpan w:val="4"/>
                  <w:vAlign w:val="center"/>
                </w:tcPr>
                <w:p w14:paraId="168148B3">
                  <w:pPr>
                    <w:widowControl/>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排水</w:t>
                  </w:r>
                </w:p>
              </w:tc>
              <w:tc>
                <w:tcPr>
                  <w:tcW w:w="4318" w:type="dxa"/>
                  <w:vAlign w:val="center"/>
                </w:tcPr>
                <w:p w14:paraId="06DE5A6B">
                  <w:pPr>
                    <w:pStyle w:val="3"/>
                    <w:spacing w:line="240" w:lineRule="auto"/>
                    <w:outlineLvl w:val="0"/>
                    <w:rPr>
                      <w:rFonts w:eastAsiaTheme="minorEastAsia"/>
                      <w:color w:val="auto"/>
                      <w:szCs w:val="21"/>
                    </w:rPr>
                  </w:pPr>
                  <w:r>
                    <w:rPr>
                      <w:rFonts w:hint="eastAsia"/>
                      <w:color w:val="auto"/>
                    </w:rPr>
                    <w:t>全厂</w:t>
                  </w:r>
                  <w:r>
                    <w:rPr>
                      <w:rFonts w:hint="eastAsia"/>
                      <w:color w:val="auto"/>
                      <w:lang w:val="en-US" w:eastAsia="zh-CN"/>
                    </w:rPr>
                    <w:t>雨污</w:t>
                  </w:r>
                  <w:r>
                    <w:rPr>
                      <w:rFonts w:hint="eastAsia"/>
                      <w:color w:val="auto"/>
                    </w:rPr>
                    <w:t xml:space="preserve">分流；经隔油池处理的食堂废水汇同生活污水经化粪池处理后，吸粪车定期抽运；车辆冲洗废水经二级沉淀池处理后循环使用，不外排 </w:t>
                  </w:r>
                </w:p>
              </w:tc>
              <w:tc>
                <w:tcPr>
                  <w:tcW w:w="3840" w:type="dxa"/>
                  <w:vAlign w:val="center"/>
                </w:tcPr>
                <w:p w14:paraId="7C8D743F">
                  <w:pPr>
                    <w:pStyle w:val="3"/>
                    <w:spacing w:line="240" w:lineRule="auto"/>
                    <w:outlineLvl w:val="0"/>
                    <w:rPr>
                      <w:rFonts w:eastAsiaTheme="minorEastAsia"/>
                      <w:color w:val="auto"/>
                      <w:szCs w:val="21"/>
                    </w:rPr>
                  </w:pPr>
                  <w:r>
                    <w:rPr>
                      <w:rFonts w:hint="eastAsia"/>
                      <w:color w:val="auto"/>
                    </w:rPr>
                    <w:t>经隔油池处理的食堂废水汇同生活污水经化粪池处理后，吸粪车定期抽运；</w:t>
                  </w:r>
                  <w:r>
                    <w:rPr>
                      <w:rFonts w:hint="eastAsia"/>
                      <w:color w:val="auto"/>
                      <w:lang w:val="en-US" w:eastAsia="zh-CN"/>
                    </w:rPr>
                    <w:t>设备清洗废水、道路冲洗废水、</w:t>
                  </w:r>
                  <w:r>
                    <w:rPr>
                      <w:rFonts w:hint="eastAsia"/>
                      <w:color w:val="auto"/>
                    </w:rPr>
                    <w:t xml:space="preserve">车辆冲洗废水经二级沉淀池处理后循环使用，不外排 </w:t>
                  </w:r>
                </w:p>
              </w:tc>
              <w:tc>
                <w:tcPr>
                  <w:tcW w:w="1412" w:type="dxa"/>
                  <w:vAlign w:val="center"/>
                </w:tcPr>
                <w:p w14:paraId="09D936E9">
                  <w:pPr>
                    <w:pStyle w:val="3"/>
                    <w:spacing w:line="240" w:lineRule="auto"/>
                    <w:outlineLvl w:val="0"/>
                    <w:rPr>
                      <w:rFonts w:hint="default" w:eastAsiaTheme="minorEastAsia"/>
                      <w:color w:val="auto"/>
                      <w:szCs w:val="21"/>
                      <w:lang w:val="en-US" w:eastAsia="zh-CN"/>
                    </w:rPr>
                  </w:pPr>
                  <w:r>
                    <w:rPr>
                      <w:rFonts w:hint="eastAsia" w:eastAsiaTheme="minorEastAsia"/>
                      <w:color w:val="auto"/>
                      <w:szCs w:val="21"/>
                      <w:lang w:val="en-US" w:eastAsia="zh-CN"/>
                    </w:rPr>
                    <w:t>依托现有</w:t>
                  </w:r>
                </w:p>
              </w:tc>
            </w:tr>
            <w:tr w14:paraId="2444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8" w:type="dxa"/>
                  <w:vMerge w:val="restart"/>
                  <w:vAlign w:val="center"/>
                </w:tcPr>
                <w:p w14:paraId="42B79A02">
                  <w:pPr>
                    <w:pStyle w:val="3"/>
                    <w:outlineLvl w:val="0"/>
                    <w:rPr>
                      <w:color w:val="auto"/>
                    </w:rPr>
                  </w:pPr>
                  <w:r>
                    <w:rPr>
                      <w:rFonts w:hint="eastAsia"/>
                      <w:color w:val="auto"/>
                    </w:rPr>
                    <w:t>环保</w:t>
                  </w:r>
                </w:p>
                <w:p w14:paraId="0B376672">
                  <w:pPr>
                    <w:pStyle w:val="3"/>
                    <w:outlineLvl w:val="0"/>
                    <w:rPr>
                      <w:color w:val="auto"/>
                    </w:rPr>
                  </w:pPr>
                  <w:r>
                    <w:rPr>
                      <w:rFonts w:hint="eastAsia"/>
                      <w:color w:val="auto"/>
                    </w:rPr>
                    <w:t>工程</w:t>
                  </w:r>
                </w:p>
              </w:tc>
              <w:tc>
                <w:tcPr>
                  <w:tcW w:w="669" w:type="dxa"/>
                  <w:vMerge w:val="restart"/>
                  <w:vAlign w:val="center"/>
                </w:tcPr>
                <w:p w14:paraId="27063762">
                  <w:pPr>
                    <w:pStyle w:val="3"/>
                    <w:outlineLvl w:val="0"/>
                    <w:rPr>
                      <w:color w:val="auto"/>
                    </w:rPr>
                  </w:pPr>
                  <w:r>
                    <w:rPr>
                      <w:rFonts w:hint="eastAsia"/>
                      <w:b w:val="0"/>
                      <w:bCs w:val="0"/>
                      <w:color w:val="auto"/>
                      <w:lang w:val="en-US" w:eastAsia="zh-CN"/>
                    </w:rPr>
                    <w:t>机制砂生产线、</w:t>
                  </w:r>
                  <w:r>
                    <w:rPr>
                      <w:rFonts w:hint="eastAsia"/>
                      <w:color w:val="auto"/>
                      <w:lang w:val="en-US" w:eastAsia="zh-CN"/>
                    </w:rPr>
                    <w:t>干混砂浆生产线</w:t>
                  </w:r>
                </w:p>
              </w:tc>
              <w:tc>
                <w:tcPr>
                  <w:tcW w:w="405" w:type="dxa"/>
                  <w:vMerge w:val="restart"/>
                  <w:vAlign w:val="center"/>
                </w:tcPr>
                <w:p w14:paraId="70F6B7FB">
                  <w:pPr>
                    <w:pStyle w:val="3"/>
                    <w:outlineLvl w:val="0"/>
                    <w:rPr>
                      <w:color w:val="auto"/>
                    </w:rPr>
                  </w:pPr>
                  <w:r>
                    <w:rPr>
                      <w:rFonts w:hint="eastAsia"/>
                      <w:color w:val="auto"/>
                    </w:rPr>
                    <w:t>废气治理</w:t>
                  </w:r>
                </w:p>
              </w:tc>
              <w:tc>
                <w:tcPr>
                  <w:tcW w:w="1442" w:type="dxa"/>
                  <w:gridSpan w:val="2"/>
                  <w:vAlign w:val="center"/>
                </w:tcPr>
                <w:p w14:paraId="574B10A1">
                  <w:pPr>
                    <w:pStyle w:val="3"/>
                    <w:outlineLvl w:val="0"/>
                    <w:rPr>
                      <w:rFonts w:hint="default" w:eastAsia="宋体"/>
                      <w:color w:val="auto"/>
                      <w:lang w:val="en-US" w:eastAsia="zh-CN"/>
                    </w:rPr>
                  </w:pPr>
                  <w:r>
                    <w:rPr>
                      <w:rFonts w:hint="eastAsia"/>
                      <w:color w:val="auto"/>
                      <w:lang w:val="en-US" w:eastAsia="zh-CN"/>
                    </w:rPr>
                    <w:t>原料破碎筛分粉尘</w:t>
                  </w:r>
                </w:p>
              </w:tc>
              <w:tc>
                <w:tcPr>
                  <w:tcW w:w="4318" w:type="dxa"/>
                  <w:vAlign w:val="center"/>
                </w:tcPr>
                <w:p w14:paraId="48AE7A87">
                  <w:pPr>
                    <w:pStyle w:val="3"/>
                    <w:bidi w:val="0"/>
                    <w:jc w:val="left"/>
                    <w:rPr>
                      <w:rFonts w:hint="eastAsia"/>
                      <w:color w:val="auto"/>
                      <w:lang w:val="en-US" w:eastAsia="zh-CN"/>
                    </w:rPr>
                  </w:pPr>
                  <w:r>
                    <w:rPr>
                      <w:rFonts w:hint="eastAsia"/>
                      <w:color w:val="auto"/>
                      <w:lang w:val="en-US" w:eastAsia="zh-CN"/>
                    </w:rPr>
                    <w:t>破碎粉尘采取“密闭房间、集气罩收集+脉冲除尘器”处理后通过DA001排气筒15m排放；</w:t>
                  </w:r>
                </w:p>
                <w:p w14:paraId="77875666">
                  <w:pPr>
                    <w:pStyle w:val="3"/>
                    <w:bidi w:val="0"/>
                    <w:jc w:val="left"/>
                    <w:rPr>
                      <w:rFonts w:hint="default"/>
                      <w:color w:val="auto"/>
                      <w:lang w:val="en-US" w:eastAsia="zh-CN"/>
                    </w:rPr>
                  </w:pPr>
                  <w:r>
                    <w:rPr>
                      <w:rFonts w:hint="eastAsia"/>
                      <w:color w:val="auto"/>
                      <w:lang w:val="en-US" w:eastAsia="zh-CN"/>
                    </w:rPr>
                    <w:t>筛分粉尘采取“密闭房间、集气罩收集+脉冲除尘器”处理后通过DA002排气筒15m排放</w:t>
                  </w:r>
                </w:p>
              </w:tc>
              <w:tc>
                <w:tcPr>
                  <w:tcW w:w="3840" w:type="dxa"/>
                  <w:vMerge w:val="restart"/>
                  <w:vAlign w:val="center"/>
                </w:tcPr>
                <w:p w14:paraId="20824612">
                  <w:pPr>
                    <w:pStyle w:val="3"/>
                    <w:outlineLvl w:val="0"/>
                    <w:rPr>
                      <w:rFonts w:eastAsiaTheme="minorEastAsia"/>
                      <w:color w:val="auto"/>
                      <w:szCs w:val="21"/>
                    </w:rPr>
                  </w:pPr>
                  <w:r>
                    <w:rPr>
                      <w:rFonts w:hint="eastAsia" w:eastAsiaTheme="minorEastAsia"/>
                      <w:color w:val="auto"/>
                      <w:szCs w:val="21"/>
                    </w:rPr>
                    <w:t>/</w:t>
                  </w:r>
                </w:p>
              </w:tc>
              <w:tc>
                <w:tcPr>
                  <w:tcW w:w="1412" w:type="dxa"/>
                  <w:vMerge w:val="restart"/>
                  <w:vAlign w:val="center"/>
                </w:tcPr>
                <w:p w14:paraId="1CF3A9D7">
                  <w:pPr>
                    <w:pStyle w:val="3"/>
                    <w:outlineLvl w:val="0"/>
                    <w:rPr>
                      <w:color w:val="auto"/>
                    </w:rPr>
                  </w:pPr>
                  <w:r>
                    <w:rPr>
                      <w:rFonts w:hint="eastAsia" w:eastAsiaTheme="minorEastAsia"/>
                      <w:color w:val="auto"/>
                      <w:szCs w:val="21"/>
                    </w:rPr>
                    <w:t>已建、已验</w:t>
                  </w:r>
                </w:p>
              </w:tc>
            </w:tr>
            <w:tr w14:paraId="7A1A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58" w:type="dxa"/>
                  <w:vMerge w:val="continue"/>
                  <w:vAlign w:val="center"/>
                </w:tcPr>
                <w:p w14:paraId="5760FD24">
                  <w:pPr>
                    <w:pStyle w:val="3"/>
                    <w:outlineLvl w:val="0"/>
                    <w:rPr>
                      <w:color w:val="auto"/>
                    </w:rPr>
                  </w:pPr>
                </w:p>
              </w:tc>
              <w:tc>
                <w:tcPr>
                  <w:tcW w:w="669" w:type="dxa"/>
                  <w:vMerge w:val="continue"/>
                  <w:vAlign w:val="center"/>
                </w:tcPr>
                <w:p w14:paraId="675225DA">
                  <w:pPr>
                    <w:pStyle w:val="3"/>
                    <w:outlineLvl w:val="0"/>
                    <w:rPr>
                      <w:color w:val="auto"/>
                    </w:rPr>
                  </w:pPr>
                </w:p>
              </w:tc>
              <w:tc>
                <w:tcPr>
                  <w:tcW w:w="405" w:type="dxa"/>
                  <w:vMerge w:val="continue"/>
                  <w:vAlign w:val="center"/>
                </w:tcPr>
                <w:p w14:paraId="5592D8DB">
                  <w:pPr>
                    <w:pStyle w:val="3"/>
                    <w:outlineLvl w:val="0"/>
                    <w:rPr>
                      <w:color w:val="auto"/>
                    </w:rPr>
                  </w:pPr>
                </w:p>
              </w:tc>
              <w:tc>
                <w:tcPr>
                  <w:tcW w:w="1442" w:type="dxa"/>
                  <w:gridSpan w:val="2"/>
                  <w:vAlign w:val="center"/>
                </w:tcPr>
                <w:p w14:paraId="49EC879D">
                  <w:pPr>
                    <w:pStyle w:val="3"/>
                    <w:outlineLvl w:val="0"/>
                    <w:rPr>
                      <w:rFonts w:hint="default" w:eastAsia="宋体"/>
                      <w:color w:val="auto"/>
                      <w:lang w:val="en-US" w:eastAsia="zh-CN"/>
                    </w:rPr>
                  </w:pPr>
                  <w:r>
                    <w:rPr>
                      <w:rFonts w:hint="eastAsia"/>
                      <w:color w:val="auto"/>
                      <w:lang w:val="en-US" w:eastAsia="zh-CN"/>
                    </w:rPr>
                    <w:t>制砂破碎筛分粉尘、砂石粉分离粉尘</w:t>
                  </w:r>
                </w:p>
              </w:tc>
              <w:tc>
                <w:tcPr>
                  <w:tcW w:w="4318" w:type="dxa"/>
                  <w:vAlign w:val="center"/>
                </w:tcPr>
                <w:p w14:paraId="54129013">
                  <w:pPr>
                    <w:pStyle w:val="3"/>
                    <w:outlineLvl w:val="0"/>
                    <w:rPr>
                      <w:rFonts w:hint="default" w:eastAsia="宋体"/>
                      <w:color w:val="auto"/>
                      <w:lang w:val="en-US" w:eastAsia="zh-CN"/>
                    </w:rPr>
                  </w:pPr>
                  <w:r>
                    <w:rPr>
                      <w:rFonts w:hint="eastAsia"/>
                      <w:color w:val="auto"/>
                      <w:lang w:val="en-US" w:eastAsia="zh-CN"/>
                    </w:rPr>
                    <w:t>制砂破碎筛分粉尘、砂石粉分离粉尘分别采取“管道收集+脉冲除尘器”处理后汇同DA003排气筒15m排放</w:t>
                  </w:r>
                </w:p>
              </w:tc>
              <w:tc>
                <w:tcPr>
                  <w:tcW w:w="3840" w:type="dxa"/>
                  <w:vMerge w:val="continue"/>
                  <w:vAlign w:val="center"/>
                </w:tcPr>
                <w:p w14:paraId="0F6D8F30">
                  <w:pPr>
                    <w:pStyle w:val="3"/>
                    <w:outlineLvl w:val="0"/>
                    <w:rPr>
                      <w:rFonts w:hint="eastAsia"/>
                      <w:color w:val="auto"/>
                    </w:rPr>
                  </w:pPr>
                </w:p>
              </w:tc>
              <w:tc>
                <w:tcPr>
                  <w:tcW w:w="1412" w:type="dxa"/>
                  <w:vMerge w:val="continue"/>
                  <w:vAlign w:val="center"/>
                </w:tcPr>
                <w:p w14:paraId="468E932D">
                  <w:pPr>
                    <w:pStyle w:val="3"/>
                    <w:outlineLvl w:val="0"/>
                    <w:rPr>
                      <w:rFonts w:hint="eastAsia"/>
                      <w:color w:val="auto"/>
                    </w:rPr>
                  </w:pPr>
                </w:p>
              </w:tc>
            </w:tr>
            <w:tr w14:paraId="0677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8" w:type="dxa"/>
                  <w:vMerge w:val="continue"/>
                  <w:vAlign w:val="center"/>
                </w:tcPr>
                <w:p w14:paraId="584E6331">
                  <w:pPr>
                    <w:pStyle w:val="3"/>
                    <w:outlineLvl w:val="0"/>
                    <w:rPr>
                      <w:rFonts w:hint="eastAsia"/>
                      <w:color w:val="auto"/>
                    </w:rPr>
                  </w:pPr>
                </w:p>
              </w:tc>
              <w:tc>
                <w:tcPr>
                  <w:tcW w:w="669" w:type="dxa"/>
                  <w:vMerge w:val="continue"/>
                  <w:vAlign w:val="center"/>
                </w:tcPr>
                <w:p w14:paraId="6F3ED7F6">
                  <w:pPr>
                    <w:pStyle w:val="3"/>
                    <w:outlineLvl w:val="0"/>
                    <w:rPr>
                      <w:rFonts w:hint="eastAsia"/>
                      <w:color w:val="auto"/>
                    </w:rPr>
                  </w:pPr>
                </w:p>
              </w:tc>
              <w:tc>
                <w:tcPr>
                  <w:tcW w:w="405" w:type="dxa"/>
                  <w:vMerge w:val="continue"/>
                  <w:vAlign w:val="center"/>
                </w:tcPr>
                <w:p w14:paraId="51C19D92">
                  <w:pPr>
                    <w:pStyle w:val="3"/>
                    <w:outlineLvl w:val="0"/>
                    <w:rPr>
                      <w:rFonts w:hint="eastAsia"/>
                      <w:color w:val="auto"/>
                    </w:rPr>
                  </w:pPr>
                </w:p>
              </w:tc>
              <w:tc>
                <w:tcPr>
                  <w:tcW w:w="1442" w:type="dxa"/>
                  <w:gridSpan w:val="2"/>
                  <w:vAlign w:val="center"/>
                </w:tcPr>
                <w:p w14:paraId="009E6838">
                  <w:pPr>
                    <w:pStyle w:val="3"/>
                    <w:outlineLvl w:val="0"/>
                    <w:rPr>
                      <w:rFonts w:hint="default" w:eastAsia="宋体"/>
                      <w:color w:val="auto"/>
                      <w:lang w:val="en-US" w:eastAsia="zh-CN"/>
                    </w:rPr>
                  </w:pPr>
                  <w:r>
                    <w:rPr>
                      <w:rFonts w:hint="eastAsia"/>
                      <w:color w:val="auto"/>
                      <w:lang w:val="en-US" w:eastAsia="zh-CN"/>
                    </w:rPr>
                    <w:t>筒仓呼吸粉尘</w:t>
                  </w:r>
                </w:p>
              </w:tc>
              <w:tc>
                <w:tcPr>
                  <w:tcW w:w="4318" w:type="dxa"/>
                  <w:vAlign w:val="center"/>
                </w:tcPr>
                <w:p w14:paraId="69E08400">
                  <w:pPr>
                    <w:pStyle w:val="3"/>
                    <w:outlineLvl w:val="0"/>
                    <w:rPr>
                      <w:rFonts w:hint="default" w:eastAsia="宋体"/>
                      <w:color w:val="auto"/>
                      <w:lang w:val="en-US" w:eastAsia="zh-CN"/>
                    </w:rPr>
                  </w:pPr>
                  <w:r>
                    <w:rPr>
                      <w:rFonts w:hint="eastAsia"/>
                      <w:color w:val="auto"/>
                      <w:lang w:val="en-US" w:eastAsia="zh-CN"/>
                    </w:rPr>
                    <w:t>仓顶配脉冲除尘器，仓顶排放</w:t>
                  </w:r>
                </w:p>
              </w:tc>
              <w:tc>
                <w:tcPr>
                  <w:tcW w:w="3840" w:type="dxa"/>
                  <w:vMerge w:val="continue"/>
                  <w:vAlign w:val="center"/>
                </w:tcPr>
                <w:p w14:paraId="6C86CE91">
                  <w:pPr>
                    <w:pStyle w:val="3"/>
                    <w:outlineLvl w:val="0"/>
                    <w:rPr>
                      <w:rFonts w:hint="eastAsia"/>
                      <w:color w:val="auto"/>
                    </w:rPr>
                  </w:pPr>
                </w:p>
              </w:tc>
              <w:tc>
                <w:tcPr>
                  <w:tcW w:w="1412" w:type="dxa"/>
                  <w:vMerge w:val="continue"/>
                  <w:vAlign w:val="center"/>
                </w:tcPr>
                <w:p w14:paraId="22D2CB85">
                  <w:pPr>
                    <w:pStyle w:val="3"/>
                    <w:outlineLvl w:val="0"/>
                    <w:rPr>
                      <w:rFonts w:hint="eastAsia"/>
                      <w:color w:val="auto"/>
                    </w:rPr>
                  </w:pPr>
                </w:p>
              </w:tc>
            </w:tr>
            <w:tr w14:paraId="4003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8" w:type="dxa"/>
                  <w:vMerge w:val="continue"/>
                  <w:vAlign w:val="center"/>
                </w:tcPr>
                <w:p w14:paraId="3652C316">
                  <w:pPr>
                    <w:pStyle w:val="3"/>
                    <w:outlineLvl w:val="0"/>
                    <w:rPr>
                      <w:rFonts w:hint="eastAsia"/>
                      <w:color w:val="auto"/>
                    </w:rPr>
                  </w:pPr>
                </w:p>
              </w:tc>
              <w:tc>
                <w:tcPr>
                  <w:tcW w:w="669" w:type="dxa"/>
                  <w:vMerge w:val="continue"/>
                  <w:vAlign w:val="center"/>
                </w:tcPr>
                <w:p w14:paraId="5A2A18E6">
                  <w:pPr>
                    <w:pStyle w:val="3"/>
                    <w:outlineLvl w:val="0"/>
                    <w:rPr>
                      <w:rFonts w:hint="eastAsia"/>
                      <w:color w:val="auto"/>
                    </w:rPr>
                  </w:pPr>
                </w:p>
              </w:tc>
              <w:tc>
                <w:tcPr>
                  <w:tcW w:w="405" w:type="dxa"/>
                  <w:vMerge w:val="continue"/>
                  <w:vAlign w:val="center"/>
                </w:tcPr>
                <w:p w14:paraId="661C49FE">
                  <w:pPr>
                    <w:pStyle w:val="3"/>
                    <w:outlineLvl w:val="0"/>
                    <w:rPr>
                      <w:rFonts w:hint="eastAsia"/>
                      <w:color w:val="auto"/>
                    </w:rPr>
                  </w:pPr>
                </w:p>
              </w:tc>
              <w:tc>
                <w:tcPr>
                  <w:tcW w:w="1442" w:type="dxa"/>
                  <w:gridSpan w:val="2"/>
                  <w:vAlign w:val="center"/>
                </w:tcPr>
                <w:p w14:paraId="67695FF3">
                  <w:pPr>
                    <w:pStyle w:val="3"/>
                    <w:outlineLvl w:val="0"/>
                    <w:rPr>
                      <w:rFonts w:hint="default"/>
                      <w:color w:val="auto"/>
                      <w:lang w:val="en-US" w:eastAsia="zh-CN"/>
                    </w:rPr>
                  </w:pPr>
                  <w:r>
                    <w:rPr>
                      <w:rFonts w:hint="eastAsia"/>
                      <w:color w:val="auto"/>
                      <w:lang w:val="en-US" w:eastAsia="zh-CN"/>
                    </w:rPr>
                    <w:t>搅拌粉尘</w:t>
                  </w:r>
                </w:p>
              </w:tc>
              <w:tc>
                <w:tcPr>
                  <w:tcW w:w="4318" w:type="dxa"/>
                  <w:vAlign w:val="center"/>
                </w:tcPr>
                <w:p w14:paraId="171FCAF4">
                  <w:pPr>
                    <w:pStyle w:val="3"/>
                    <w:outlineLvl w:val="0"/>
                    <w:rPr>
                      <w:rFonts w:hint="default" w:eastAsia="宋体"/>
                      <w:color w:val="auto"/>
                      <w:lang w:val="en-US" w:eastAsia="zh-CN"/>
                    </w:rPr>
                  </w:pPr>
                  <w:r>
                    <w:rPr>
                      <w:rFonts w:hint="eastAsia"/>
                      <w:color w:val="auto"/>
                      <w:lang w:val="en-US" w:eastAsia="zh-CN"/>
                    </w:rPr>
                    <w:t>经密闭管道收集后经1台脉冲除尘器除尘后经密闭管道输送至原料仓回用于生产</w:t>
                  </w:r>
                </w:p>
              </w:tc>
              <w:tc>
                <w:tcPr>
                  <w:tcW w:w="3840" w:type="dxa"/>
                  <w:vAlign w:val="center"/>
                </w:tcPr>
                <w:p w14:paraId="28E53ED9">
                  <w:pPr>
                    <w:pStyle w:val="3"/>
                    <w:outlineLvl w:val="0"/>
                    <w:rPr>
                      <w:rFonts w:hint="eastAsia"/>
                      <w:color w:val="auto"/>
                    </w:rPr>
                  </w:pPr>
                  <w:r>
                    <w:rPr>
                      <w:rFonts w:hint="eastAsia" w:eastAsiaTheme="minorEastAsia"/>
                      <w:color w:val="auto"/>
                      <w:szCs w:val="21"/>
                    </w:rPr>
                    <w:t>/</w:t>
                  </w:r>
                </w:p>
              </w:tc>
              <w:tc>
                <w:tcPr>
                  <w:tcW w:w="1412" w:type="dxa"/>
                  <w:vMerge w:val="continue"/>
                  <w:vAlign w:val="center"/>
                </w:tcPr>
                <w:p w14:paraId="2162582F">
                  <w:pPr>
                    <w:pStyle w:val="3"/>
                    <w:outlineLvl w:val="0"/>
                    <w:rPr>
                      <w:rFonts w:hint="eastAsia"/>
                      <w:color w:val="auto"/>
                    </w:rPr>
                  </w:pPr>
                </w:p>
              </w:tc>
            </w:tr>
            <w:tr w14:paraId="1448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8" w:type="dxa"/>
                  <w:vMerge w:val="continue"/>
                  <w:vAlign w:val="center"/>
                </w:tcPr>
                <w:p w14:paraId="78FA8593">
                  <w:pPr>
                    <w:pStyle w:val="3"/>
                    <w:outlineLvl w:val="0"/>
                    <w:rPr>
                      <w:rFonts w:hint="eastAsia"/>
                      <w:color w:val="auto"/>
                    </w:rPr>
                  </w:pPr>
                </w:p>
              </w:tc>
              <w:tc>
                <w:tcPr>
                  <w:tcW w:w="669" w:type="dxa"/>
                  <w:vMerge w:val="continue"/>
                  <w:vAlign w:val="center"/>
                </w:tcPr>
                <w:p w14:paraId="40D35DBB">
                  <w:pPr>
                    <w:pStyle w:val="3"/>
                    <w:outlineLvl w:val="0"/>
                    <w:rPr>
                      <w:rFonts w:hint="eastAsia"/>
                      <w:color w:val="auto"/>
                    </w:rPr>
                  </w:pPr>
                </w:p>
              </w:tc>
              <w:tc>
                <w:tcPr>
                  <w:tcW w:w="405" w:type="dxa"/>
                  <w:vMerge w:val="continue"/>
                  <w:vAlign w:val="center"/>
                </w:tcPr>
                <w:p w14:paraId="7FF603EB">
                  <w:pPr>
                    <w:pStyle w:val="3"/>
                    <w:outlineLvl w:val="0"/>
                    <w:rPr>
                      <w:rFonts w:hint="eastAsia"/>
                      <w:color w:val="auto"/>
                    </w:rPr>
                  </w:pPr>
                </w:p>
              </w:tc>
              <w:tc>
                <w:tcPr>
                  <w:tcW w:w="1442" w:type="dxa"/>
                  <w:gridSpan w:val="2"/>
                  <w:vAlign w:val="center"/>
                </w:tcPr>
                <w:p w14:paraId="0FE3AB89">
                  <w:pPr>
                    <w:pStyle w:val="3"/>
                    <w:outlineLvl w:val="0"/>
                    <w:rPr>
                      <w:rFonts w:hint="default"/>
                      <w:color w:val="auto"/>
                      <w:lang w:val="en-US" w:eastAsia="zh-CN"/>
                    </w:rPr>
                  </w:pPr>
                  <w:r>
                    <w:rPr>
                      <w:rFonts w:hint="eastAsia"/>
                      <w:color w:val="auto"/>
                      <w:lang w:val="en-US" w:eastAsia="zh-CN"/>
                    </w:rPr>
                    <w:t>包装/散装粉尘</w:t>
                  </w:r>
                </w:p>
              </w:tc>
              <w:tc>
                <w:tcPr>
                  <w:tcW w:w="4318" w:type="dxa"/>
                  <w:vAlign w:val="center"/>
                </w:tcPr>
                <w:p w14:paraId="662D9404">
                  <w:pPr>
                    <w:pStyle w:val="3"/>
                    <w:outlineLvl w:val="0"/>
                    <w:rPr>
                      <w:rFonts w:hint="default" w:eastAsia="宋体"/>
                      <w:color w:val="auto"/>
                      <w:lang w:val="en-US" w:eastAsia="zh-CN"/>
                    </w:rPr>
                  </w:pPr>
                  <w:r>
                    <w:rPr>
                      <w:rFonts w:hint="eastAsia"/>
                      <w:color w:val="auto"/>
                      <w:lang w:val="en-US" w:eastAsia="zh-CN"/>
                    </w:rPr>
                    <w:t>设可伸缩管道散装口，包装/散装过程全密闭</w:t>
                  </w:r>
                </w:p>
              </w:tc>
              <w:tc>
                <w:tcPr>
                  <w:tcW w:w="3840" w:type="dxa"/>
                  <w:vAlign w:val="center"/>
                </w:tcPr>
                <w:p w14:paraId="092C3331">
                  <w:pPr>
                    <w:pStyle w:val="3"/>
                    <w:outlineLvl w:val="0"/>
                    <w:rPr>
                      <w:rFonts w:hint="eastAsia"/>
                      <w:color w:val="auto"/>
                    </w:rPr>
                  </w:pPr>
                  <w:r>
                    <w:rPr>
                      <w:rFonts w:hint="eastAsia" w:eastAsiaTheme="minorEastAsia"/>
                      <w:color w:val="auto"/>
                      <w:szCs w:val="21"/>
                    </w:rPr>
                    <w:t>/</w:t>
                  </w:r>
                </w:p>
              </w:tc>
              <w:tc>
                <w:tcPr>
                  <w:tcW w:w="1412" w:type="dxa"/>
                  <w:vMerge w:val="continue"/>
                  <w:vAlign w:val="center"/>
                </w:tcPr>
                <w:p w14:paraId="74316620">
                  <w:pPr>
                    <w:pStyle w:val="3"/>
                    <w:outlineLvl w:val="0"/>
                    <w:rPr>
                      <w:rFonts w:hint="eastAsia"/>
                      <w:color w:val="auto"/>
                    </w:rPr>
                  </w:pPr>
                </w:p>
              </w:tc>
            </w:tr>
            <w:tr w14:paraId="1550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58" w:type="dxa"/>
                  <w:vMerge w:val="continue"/>
                  <w:vAlign w:val="center"/>
                </w:tcPr>
                <w:p w14:paraId="55DAE85E">
                  <w:pPr>
                    <w:pStyle w:val="3"/>
                    <w:outlineLvl w:val="0"/>
                    <w:rPr>
                      <w:rFonts w:hint="eastAsia"/>
                      <w:color w:val="auto"/>
                    </w:rPr>
                  </w:pPr>
                </w:p>
              </w:tc>
              <w:tc>
                <w:tcPr>
                  <w:tcW w:w="669" w:type="dxa"/>
                  <w:vMerge w:val="continue"/>
                  <w:vAlign w:val="center"/>
                </w:tcPr>
                <w:p w14:paraId="2F25F5A7">
                  <w:pPr>
                    <w:pStyle w:val="3"/>
                    <w:outlineLvl w:val="0"/>
                    <w:rPr>
                      <w:rFonts w:hint="eastAsia"/>
                      <w:color w:val="auto"/>
                    </w:rPr>
                  </w:pPr>
                </w:p>
              </w:tc>
              <w:tc>
                <w:tcPr>
                  <w:tcW w:w="405" w:type="dxa"/>
                  <w:vMerge w:val="continue"/>
                  <w:vAlign w:val="center"/>
                </w:tcPr>
                <w:p w14:paraId="5B7BC3A6">
                  <w:pPr>
                    <w:pStyle w:val="3"/>
                    <w:outlineLvl w:val="0"/>
                    <w:rPr>
                      <w:rFonts w:hint="eastAsia"/>
                      <w:color w:val="auto"/>
                    </w:rPr>
                  </w:pPr>
                </w:p>
              </w:tc>
              <w:tc>
                <w:tcPr>
                  <w:tcW w:w="1442" w:type="dxa"/>
                  <w:gridSpan w:val="2"/>
                  <w:vAlign w:val="center"/>
                </w:tcPr>
                <w:p w14:paraId="4D9738BF">
                  <w:pPr>
                    <w:pStyle w:val="3"/>
                    <w:outlineLvl w:val="0"/>
                    <w:rPr>
                      <w:rFonts w:hint="default"/>
                      <w:color w:val="auto"/>
                      <w:lang w:val="en-US" w:eastAsia="zh-CN"/>
                    </w:rPr>
                  </w:pPr>
                  <w:r>
                    <w:rPr>
                      <w:rFonts w:hint="eastAsia"/>
                      <w:color w:val="auto"/>
                      <w:lang w:val="en-US" w:eastAsia="zh-CN"/>
                    </w:rPr>
                    <w:t>卸料粉尘</w:t>
                  </w:r>
                </w:p>
              </w:tc>
              <w:tc>
                <w:tcPr>
                  <w:tcW w:w="4318" w:type="dxa"/>
                  <w:vAlign w:val="center"/>
                </w:tcPr>
                <w:p w14:paraId="4B0B9C77">
                  <w:pPr>
                    <w:pStyle w:val="3"/>
                    <w:outlineLvl w:val="0"/>
                    <w:rPr>
                      <w:rFonts w:hint="default" w:eastAsia="宋体"/>
                      <w:color w:val="auto"/>
                      <w:lang w:val="en-US" w:eastAsia="zh-CN"/>
                    </w:rPr>
                  </w:pPr>
                  <w:r>
                    <w:rPr>
                      <w:rFonts w:hint="eastAsia"/>
                      <w:color w:val="auto"/>
                      <w:lang w:val="en-US" w:eastAsia="zh-CN"/>
                    </w:rPr>
                    <w:t>封闭卸料方式，定期清扫地面</w:t>
                  </w:r>
                </w:p>
              </w:tc>
              <w:tc>
                <w:tcPr>
                  <w:tcW w:w="3840" w:type="dxa"/>
                  <w:vAlign w:val="center"/>
                </w:tcPr>
                <w:p w14:paraId="7A5DB893">
                  <w:pPr>
                    <w:pStyle w:val="3"/>
                    <w:outlineLvl w:val="0"/>
                    <w:rPr>
                      <w:rFonts w:hint="eastAsia"/>
                      <w:color w:val="auto"/>
                    </w:rPr>
                  </w:pPr>
                  <w:r>
                    <w:rPr>
                      <w:rFonts w:hint="eastAsia" w:eastAsiaTheme="minorEastAsia"/>
                      <w:color w:val="auto"/>
                      <w:szCs w:val="21"/>
                    </w:rPr>
                    <w:t>/</w:t>
                  </w:r>
                </w:p>
              </w:tc>
              <w:tc>
                <w:tcPr>
                  <w:tcW w:w="1412" w:type="dxa"/>
                  <w:vAlign w:val="center"/>
                </w:tcPr>
                <w:p w14:paraId="66CE59C3">
                  <w:pPr>
                    <w:pStyle w:val="3"/>
                    <w:bidi w:val="0"/>
                    <w:rPr>
                      <w:rFonts w:hint="default"/>
                      <w:color w:val="auto"/>
                      <w:lang w:val="en-US"/>
                    </w:rPr>
                  </w:pPr>
                  <w:r>
                    <w:rPr>
                      <w:rFonts w:hint="eastAsia"/>
                      <w:color w:val="auto"/>
                    </w:rPr>
                    <w:t>已建、已验</w:t>
                  </w:r>
                </w:p>
              </w:tc>
            </w:tr>
            <w:tr w14:paraId="7280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8" w:type="dxa"/>
                  <w:vMerge w:val="continue"/>
                  <w:vAlign w:val="center"/>
                </w:tcPr>
                <w:p w14:paraId="6706113B">
                  <w:pPr>
                    <w:pStyle w:val="3"/>
                    <w:outlineLvl w:val="0"/>
                    <w:rPr>
                      <w:rFonts w:hint="eastAsia"/>
                      <w:color w:val="auto"/>
                    </w:rPr>
                  </w:pPr>
                </w:p>
              </w:tc>
              <w:tc>
                <w:tcPr>
                  <w:tcW w:w="669" w:type="dxa"/>
                  <w:vMerge w:val="continue"/>
                  <w:vAlign w:val="center"/>
                </w:tcPr>
                <w:p w14:paraId="7F95D98B">
                  <w:pPr>
                    <w:pStyle w:val="3"/>
                    <w:outlineLvl w:val="0"/>
                    <w:rPr>
                      <w:rFonts w:hint="eastAsia"/>
                      <w:color w:val="auto"/>
                    </w:rPr>
                  </w:pPr>
                </w:p>
              </w:tc>
              <w:tc>
                <w:tcPr>
                  <w:tcW w:w="405" w:type="dxa"/>
                  <w:vMerge w:val="continue"/>
                  <w:vAlign w:val="center"/>
                </w:tcPr>
                <w:p w14:paraId="26B3B0A9">
                  <w:pPr>
                    <w:pStyle w:val="3"/>
                    <w:outlineLvl w:val="0"/>
                    <w:rPr>
                      <w:rFonts w:hint="eastAsia"/>
                      <w:color w:val="auto"/>
                    </w:rPr>
                  </w:pPr>
                </w:p>
              </w:tc>
              <w:tc>
                <w:tcPr>
                  <w:tcW w:w="1442" w:type="dxa"/>
                  <w:gridSpan w:val="2"/>
                  <w:vAlign w:val="center"/>
                </w:tcPr>
                <w:p w14:paraId="02B32DB2">
                  <w:pPr>
                    <w:pStyle w:val="3"/>
                    <w:outlineLvl w:val="0"/>
                    <w:rPr>
                      <w:rFonts w:hint="default"/>
                      <w:color w:val="auto"/>
                      <w:lang w:val="en-US" w:eastAsia="zh-CN"/>
                    </w:rPr>
                  </w:pPr>
                  <w:r>
                    <w:rPr>
                      <w:rFonts w:hint="eastAsia"/>
                      <w:color w:val="auto"/>
                      <w:lang w:val="en-US" w:eastAsia="zh-CN"/>
                    </w:rPr>
                    <w:t>道路输送粉尘</w:t>
                  </w:r>
                </w:p>
              </w:tc>
              <w:tc>
                <w:tcPr>
                  <w:tcW w:w="4318" w:type="dxa"/>
                  <w:vAlign w:val="center"/>
                </w:tcPr>
                <w:p w14:paraId="07C97C4B">
                  <w:pPr>
                    <w:pStyle w:val="3"/>
                    <w:outlineLvl w:val="0"/>
                    <w:rPr>
                      <w:rFonts w:hint="default" w:eastAsia="宋体"/>
                      <w:color w:val="auto"/>
                      <w:lang w:val="en-US" w:eastAsia="zh-CN"/>
                    </w:rPr>
                  </w:pPr>
                  <w:r>
                    <w:rPr>
                      <w:rFonts w:hint="eastAsia"/>
                      <w:color w:val="auto"/>
                      <w:lang w:val="en-US" w:eastAsia="zh-CN"/>
                    </w:rPr>
                    <w:t>定期对厂区出入口、车辆行驶路线进行洒水抑尘，以及定期清扫，对进出厂区车辆进行清洗洗</w:t>
                  </w:r>
                </w:p>
              </w:tc>
              <w:tc>
                <w:tcPr>
                  <w:tcW w:w="3840" w:type="dxa"/>
                  <w:vAlign w:val="center"/>
                </w:tcPr>
                <w:p w14:paraId="469F6A86">
                  <w:pPr>
                    <w:pStyle w:val="3"/>
                    <w:outlineLvl w:val="0"/>
                    <w:rPr>
                      <w:rFonts w:hint="eastAsia"/>
                      <w:color w:val="auto"/>
                    </w:rPr>
                  </w:pPr>
                  <w:r>
                    <w:rPr>
                      <w:rFonts w:hint="eastAsia" w:eastAsiaTheme="minorEastAsia"/>
                      <w:color w:val="auto"/>
                      <w:szCs w:val="21"/>
                    </w:rPr>
                    <w:t>/</w:t>
                  </w:r>
                </w:p>
              </w:tc>
              <w:tc>
                <w:tcPr>
                  <w:tcW w:w="1412" w:type="dxa"/>
                  <w:vAlign w:val="center"/>
                </w:tcPr>
                <w:p w14:paraId="781272C8">
                  <w:pPr>
                    <w:pStyle w:val="3"/>
                    <w:bidi w:val="0"/>
                    <w:rPr>
                      <w:rFonts w:hint="eastAsia"/>
                      <w:color w:val="auto"/>
                    </w:rPr>
                  </w:pPr>
                  <w:r>
                    <w:rPr>
                      <w:rFonts w:hint="eastAsia"/>
                      <w:color w:val="auto"/>
                    </w:rPr>
                    <w:t>已建、已验</w:t>
                  </w:r>
                </w:p>
              </w:tc>
            </w:tr>
            <w:tr w14:paraId="4AB5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8" w:type="dxa"/>
                  <w:vMerge w:val="continue"/>
                  <w:vAlign w:val="center"/>
                </w:tcPr>
                <w:p w14:paraId="730C41A1">
                  <w:pPr>
                    <w:pStyle w:val="3"/>
                    <w:outlineLvl w:val="0"/>
                    <w:rPr>
                      <w:rFonts w:hint="eastAsia"/>
                      <w:color w:val="auto"/>
                    </w:rPr>
                  </w:pPr>
                </w:p>
              </w:tc>
              <w:tc>
                <w:tcPr>
                  <w:tcW w:w="669" w:type="dxa"/>
                  <w:vMerge w:val="continue"/>
                  <w:vAlign w:val="center"/>
                </w:tcPr>
                <w:p w14:paraId="0D7D4425">
                  <w:pPr>
                    <w:pStyle w:val="3"/>
                    <w:outlineLvl w:val="0"/>
                    <w:rPr>
                      <w:rFonts w:hint="eastAsia"/>
                      <w:color w:val="auto"/>
                    </w:rPr>
                  </w:pPr>
                </w:p>
              </w:tc>
              <w:tc>
                <w:tcPr>
                  <w:tcW w:w="405" w:type="dxa"/>
                  <w:vMerge w:val="continue"/>
                  <w:vAlign w:val="center"/>
                </w:tcPr>
                <w:p w14:paraId="3BFF10A1">
                  <w:pPr>
                    <w:pStyle w:val="3"/>
                    <w:outlineLvl w:val="0"/>
                    <w:rPr>
                      <w:rFonts w:hint="eastAsia"/>
                      <w:color w:val="auto"/>
                    </w:rPr>
                  </w:pPr>
                </w:p>
              </w:tc>
              <w:tc>
                <w:tcPr>
                  <w:tcW w:w="1442" w:type="dxa"/>
                  <w:gridSpan w:val="2"/>
                  <w:vAlign w:val="center"/>
                </w:tcPr>
                <w:p w14:paraId="00D8C903">
                  <w:pPr>
                    <w:pStyle w:val="3"/>
                    <w:outlineLvl w:val="0"/>
                    <w:rPr>
                      <w:rFonts w:hint="default"/>
                      <w:color w:val="auto"/>
                      <w:lang w:val="en-US" w:eastAsia="zh-CN"/>
                    </w:rPr>
                  </w:pPr>
                  <w:r>
                    <w:rPr>
                      <w:rFonts w:hint="eastAsia"/>
                      <w:color w:val="auto"/>
                      <w:lang w:val="en-US" w:eastAsia="zh-CN"/>
                    </w:rPr>
                    <w:t>投料粉尘</w:t>
                  </w:r>
                </w:p>
              </w:tc>
              <w:tc>
                <w:tcPr>
                  <w:tcW w:w="4318" w:type="dxa"/>
                  <w:vAlign w:val="center"/>
                </w:tcPr>
                <w:p w14:paraId="546B0188">
                  <w:pPr>
                    <w:pStyle w:val="3"/>
                    <w:outlineLvl w:val="0"/>
                    <w:rPr>
                      <w:rFonts w:hint="default" w:eastAsia="宋体"/>
                      <w:color w:val="auto"/>
                      <w:lang w:val="en-US" w:eastAsia="zh-CN"/>
                    </w:rPr>
                  </w:pPr>
                  <w:r>
                    <w:rPr>
                      <w:rFonts w:hint="eastAsia"/>
                      <w:color w:val="auto"/>
                      <w:lang w:val="en-US" w:eastAsia="zh-CN"/>
                    </w:rPr>
                    <w:t>上料投料口采用三面一顶，车间封闭</w:t>
                  </w:r>
                </w:p>
              </w:tc>
              <w:tc>
                <w:tcPr>
                  <w:tcW w:w="3840" w:type="dxa"/>
                  <w:vAlign w:val="center"/>
                </w:tcPr>
                <w:p w14:paraId="30BDBAB6">
                  <w:pPr>
                    <w:pStyle w:val="3"/>
                    <w:outlineLvl w:val="0"/>
                    <w:rPr>
                      <w:rFonts w:hint="eastAsia"/>
                      <w:color w:val="auto"/>
                    </w:rPr>
                  </w:pPr>
                  <w:r>
                    <w:rPr>
                      <w:rFonts w:hint="eastAsia" w:eastAsiaTheme="minorEastAsia"/>
                      <w:color w:val="auto"/>
                      <w:szCs w:val="21"/>
                    </w:rPr>
                    <w:t>/</w:t>
                  </w:r>
                </w:p>
              </w:tc>
              <w:tc>
                <w:tcPr>
                  <w:tcW w:w="1412" w:type="dxa"/>
                  <w:vAlign w:val="center"/>
                </w:tcPr>
                <w:p w14:paraId="55E45212">
                  <w:pPr>
                    <w:pStyle w:val="3"/>
                    <w:bidi w:val="0"/>
                    <w:rPr>
                      <w:rFonts w:hint="default"/>
                      <w:color w:val="auto"/>
                      <w:lang w:val="en-US" w:eastAsia="zh-CN"/>
                    </w:rPr>
                  </w:pPr>
                  <w:r>
                    <w:rPr>
                      <w:rFonts w:hint="eastAsia"/>
                      <w:color w:val="auto"/>
                    </w:rPr>
                    <w:t>已建、已验</w:t>
                  </w:r>
                </w:p>
              </w:tc>
            </w:tr>
            <w:tr w14:paraId="4081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8" w:type="dxa"/>
                  <w:vMerge w:val="continue"/>
                  <w:vAlign w:val="center"/>
                </w:tcPr>
                <w:p w14:paraId="08F2D671">
                  <w:pPr>
                    <w:pStyle w:val="3"/>
                    <w:outlineLvl w:val="0"/>
                    <w:rPr>
                      <w:rFonts w:hint="eastAsia"/>
                      <w:color w:val="auto"/>
                    </w:rPr>
                  </w:pPr>
                </w:p>
              </w:tc>
              <w:tc>
                <w:tcPr>
                  <w:tcW w:w="669" w:type="dxa"/>
                  <w:vMerge w:val="continue"/>
                  <w:vAlign w:val="center"/>
                </w:tcPr>
                <w:p w14:paraId="087552BA">
                  <w:pPr>
                    <w:pStyle w:val="3"/>
                    <w:outlineLvl w:val="0"/>
                    <w:rPr>
                      <w:rFonts w:hint="eastAsia"/>
                      <w:color w:val="auto"/>
                    </w:rPr>
                  </w:pPr>
                </w:p>
              </w:tc>
              <w:tc>
                <w:tcPr>
                  <w:tcW w:w="405" w:type="dxa"/>
                  <w:vMerge w:val="continue"/>
                  <w:vAlign w:val="center"/>
                </w:tcPr>
                <w:p w14:paraId="45AEAD57">
                  <w:pPr>
                    <w:pStyle w:val="3"/>
                    <w:outlineLvl w:val="0"/>
                    <w:rPr>
                      <w:rFonts w:hint="eastAsia"/>
                      <w:color w:val="auto"/>
                    </w:rPr>
                  </w:pPr>
                </w:p>
              </w:tc>
              <w:tc>
                <w:tcPr>
                  <w:tcW w:w="1442" w:type="dxa"/>
                  <w:gridSpan w:val="2"/>
                  <w:vAlign w:val="center"/>
                </w:tcPr>
                <w:p w14:paraId="1E666A10">
                  <w:pPr>
                    <w:pStyle w:val="3"/>
                    <w:outlineLvl w:val="0"/>
                    <w:rPr>
                      <w:rFonts w:hint="default"/>
                      <w:color w:val="auto"/>
                      <w:lang w:val="en-US" w:eastAsia="zh-CN"/>
                    </w:rPr>
                  </w:pPr>
                  <w:r>
                    <w:rPr>
                      <w:rFonts w:hint="eastAsia"/>
                      <w:color w:val="auto"/>
                      <w:lang w:val="en-US" w:eastAsia="zh-CN"/>
                    </w:rPr>
                    <w:t>食堂油烟</w:t>
                  </w:r>
                </w:p>
              </w:tc>
              <w:tc>
                <w:tcPr>
                  <w:tcW w:w="4318" w:type="dxa"/>
                  <w:vAlign w:val="center"/>
                </w:tcPr>
                <w:p w14:paraId="02E66156">
                  <w:pPr>
                    <w:pStyle w:val="3"/>
                    <w:outlineLvl w:val="0"/>
                    <w:rPr>
                      <w:rFonts w:hint="default" w:eastAsia="宋体"/>
                      <w:color w:val="auto"/>
                      <w:lang w:val="en-US" w:eastAsia="zh-CN"/>
                    </w:rPr>
                  </w:pPr>
                  <w:r>
                    <w:rPr>
                      <w:rFonts w:hint="eastAsia"/>
                      <w:color w:val="auto"/>
                      <w:lang w:val="en-US" w:eastAsia="zh-CN"/>
                    </w:rPr>
                    <w:t>油烟净化装置+1根8米高烟道（高于房顶）</w:t>
                  </w:r>
                </w:p>
              </w:tc>
              <w:tc>
                <w:tcPr>
                  <w:tcW w:w="3840" w:type="dxa"/>
                  <w:vAlign w:val="center"/>
                </w:tcPr>
                <w:p w14:paraId="3983FFC7">
                  <w:pPr>
                    <w:pStyle w:val="3"/>
                    <w:outlineLvl w:val="0"/>
                    <w:rPr>
                      <w:rFonts w:hint="eastAsia"/>
                      <w:color w:val="auto"/>
                    </w:rPr>
                  </w:pPr>
                  <w:r>
                    <w:rPr>
                      <w:rFonts w:hint="eastAsia" w:eastAsiaTheme="minorEastAsia"/>
                      <w:color w:val="auto"/>
                      <w:szCs w:val="21"/>
                    </w:rPr>
                    <w:t>/</w:t>
                  </w:r>
                </w:p>
              </w:tc>
              <w:tc>
                <w:tcPr>
                  <w:tcW w:w="1412" w:type="dxa"/>
                  <w:vAlign w:val="center"/>
                </w:tcPr>
                <w:p w14:paraId="2389F096">
                  <w:pPr>
                    <w:pStyle w:val="3"/>
                    <w:outlineLvl w:val="0"/>
                    <w:rPr>
                      <w:rFonts w:hint="eastAsia"/>
                      <w:color w:val="auto"/>
                    </w:rPr>
                  </w:pPr>
                  <w:r>
                    <w:rPr>
                      <w:rFonts w:hint="eastAsia" w:eastAsiaTheme="minorEastAsia"/>
                      <w:color w:val="auto"/>
                      <w:szCs w:val="21"/>
                    </w:rPr>
                    <w:t>已建、已验</w:t>
                  </w:r>
                </w:p>
              </w:tc>
            </w:tr>
            <w:tr w14:paraId="06B0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338BB5C4">
                  <w:pPr>
                    <w:pStyle w:val="3"/>
                    <w:outlineLvl w:val="0"/>
                    <w:rPr>
                      <w:color w:val="auto"/>
                    </w:rPr>
                  </w:pPr>
                </w:p>
              </w:tc>
              <w:tc>
                <w:tcPr>
                  <w:tcW w:w="669" w:type="dxa"/>
                  <w:vMerge w:val="continue"/>
                  <w:vAlign w:val="center"/>
                </w:tcPr>
                <w:p w14:paraId="130DA971">
                  <w:pPr>
                    <w:pStyle w:val="3"/>
                    <w:outlineLvl w:val="0"/>
                    <w:rPr>
                      <w:color w:val="auto"/>
                    </w:rPr>
                  </w:pPr>
                </w:p>
              </w:tc>
              <w:tc>
                <w:tcPr>
                  <w:tcW w:w="1847" w:type="dxa"/>
                  <w:gridSpan w:val="3"/>
                  <w:vAlign w:val="center"/>
                </w:tcPr>
                <w:p w14:paraId="3897EE5C">
                  <w:pPr>
                    <w:pStyle w:val="3"/>
                    <w:outlineLvl w:val="0"/>
                    <w:rPr>
                      <w:color w:val="auto"/>
                    </w:rPr>
                  </w:pPr>
                  <w:r>
                    <w:rPr>
                      <w:rFonts w:hint="eastAsia"/>
                      <w:color w:val="auto"/>
                    </w:rPr>
                    <w:t>废水治理</w:t>
                  </w:r>
                </w:p>
              </w:tc>
              <w:tc>
                <w:tcPr>
                  <w:tcW w:w="4318" w:type="dxa"/>
                  <w:vAlign w:val="center"/>
                </w:tcPr>
                <w:p w14:paraId="6A90193A">
                  <w:pPr>
                    <w:pStyle w:val="3"/>
                    <w:outlineLvl w:val="0"/>
                    <w:rPr>
                      <w:rFonts w:hint="default" w:eastAsia="宋体"/>
                      <w:color w:val="auto"/>
                      <w:lang w:val="en-US" w:eastAsia="zh-CN"/>
                    </w:rPr>
                  </w:pPr>
                  <w:r>
                    <w:rPr>
                      <w:rFonts w:hint="eastAsia"/>
                      <w:color w:val="auto"/>
                      <w:lang w:val="en-US" w:eastAsia="zh-CN"/>
                    </w:rPr>
                    <w:t>全厂雨污分流；食堂废水经隔油池处理后与生活污水一同经化粪池预处理后定期清掏，用于农田施肥，不外排；车辆冲洗废水经三级沉淀池沉淀后，循环使用，不外排</w:t>
                  </w:r>
                </w:p>
              </w:tc>
              <w:tc>
                <w:tcPr>
                  <w:tcW w:w="3840" w:type="dxa"/>
                  <w:vAlign w:val="center"/>
                </w:tcPr>
                <w:p w14:paraId="0F6A6F6C">
                  <w:pPr>
                    <w:pStyle w:val="3"/>
                    <w:outlineLvl w:val="0"/>
                    <w:rPr>
                      <w:rFonts w:eastAsiaTheme="minorEastAsia"/>
                      <w:color w:val="auto"/>
                      <w:szCs w:val="21"/>
                    </w:rPr>
                  </w:pPr>
                  <w:r>
                    <w:rPr>
                      <w:rFonts w:hint="eastAsia" w:eastAsiaTheme="minorEastAsia"/>
                      <w:color w:val="auto"/>
                      <w:szCs w:val="21"/>
                    </w:rPr>
                    <w:t>/</w:t>
                  </w:r>
                </w:p>
              </w:tc>
              <w:tc>
                <w:tcPr>
                  <w:tcW w:w="1412" w:type="dxa"/>
                  <w:vAlign w:val="center"/>
                </w:tcPr>
                <w:p w14:paraId="0400464C">
                  <w:pPr>
                    <w:pStyle w:val="3"/>
                    <w:outlineLvl w:val="0"/>
                    <w:rPr>
                      <w:color w:val="auto"/>
                    </w:rPr>
                  </w:pPr>
                  <w:r>
                    <w:rPr>
                      <w:rFonts w:hint="eastAsia"/>
                      <w:color w:val="auto"/>
                      <w:lang w:val="en-US" w:eastAsia="zh-CN"/>
                    </w:rPr>
                    <w:t>不符合现行环保要求，要求整改</w:t>
                  </w:r>
                </w:p>
              </w:tc>
            </w:tr>
            <w:tr w14:paraId="738D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61B77D35">
                  <w:pPr>
                    <w:pStyle w:val="3"/>
                    <w:outlineLvl w:val="0"/>
                    <w:rPr>
                      <w:color w:val="auto"/>
                    </w:rPr>
                  </w:pPr>
                </w:p>
              </w:tc>
              <w:tc>
                <w:tcPr>
                  <w:tcW w:w="669" w:type="dxa"/>
                  <w:vMerge w:val="continue"/>
                  <w:vAlign w:val="center"/>
                </w:tcPr>
                <w:p w14:paraId="1B2E241D">
                  <w:pPr>
                    <w:pStyle w:val="3"/>
                    <w:outlineLvl w:val="0"/>
                    <w:rPr>
                      <w:color w:val="auto"/>
                    </w:rPr>
                  </w:pPr>
                </w:p>
              </w:tc>
              <w:tc>
                <w:tcPr>
                  <w:tcW w:w="1847" w:type="dxa"/>
                  <w:gridSpan w:val="3"/>
                  <w:vAlign w:val="center"/>
                </w:tcPr>
                <w:p w14:paraId="4D57C56E">
                  <w:pPr>
                    <w:pStyle w:val="3"/>
                    <w:outlineLvl w:val="0"/>
                    <w:rPr>
                      <w:color w:val="auto"/>
                    </w:rPr>
                  </w:pPr>
                  <w:r>
                    <w:rPr>
                      <w:rFonts w:hint="eastAsia"/>
                      <w:color w:val="auto"/>
                    </w:rPr>
                    <w:t>噪声治理</w:t>
                  </w:r>
                </w:p>
              </w:tc>
              <w:tc>
                <w:tcPr>
                  <w:tcW w:w="4318" w:type="dxa"/>
                  <w:vAlign w:val="center"/>
                </w:tcPr>
                <w:p w14:paraId="540B5B79">
                  <w:pPr>
                    <w:pStyle w:val="3"/>
                    <w:outlineLvl w:val="0"/>
                    <w:rPr>
                      <w:rFonts w:eastAsiaTheme="minorEastAsia"/>
                      <w:color w:val="auto"/>
                      <w:szCs w:val="21"/>
                    </w:rPr>
                  </w:pPr>
                  <w:r>
                    <w:rPr>
                      <w:color w:val="auto"/>
                    </w:rPr>
                    <w:t>选用低噪声设备、</w:t>
                  </w:r>
                  <w:r>
                    <w:rPr>
                      <w:rFonts w:hint="eastAsia"/>
                      <w:color w:val="auto"/>
                    </w:rPr>
                    <w:t>距离衰减、隔声减振、</w:t>
                  </w:r>
                  <w:r>
                    <w:rPr>
                      <w:color w:val="auto"/>
                    </w:rPr>
                    <w:t>合理布置等措施</w:t>
                  </w:r>
                </w:p>
              </w:tc>
              <w:tc>
                <w:tcPr>
                  <w:tcW w:w="3840" w:type="dxa"/>
                  <w:vAlign w:val="center"/>
                </w:tcPr>
                <w:p w14:paraId="59914AEA">
                  <w:pPr>
                    <w:pStyle w:val="3"/>
                    <w:outlineLvl w:val="0"/>
                    <w:rPr>
                      <w:rFonts w:eastAsiaTheme="minorEastAsia"/>
                      <w:color w:val="auto"/>
                      <w:szCs w:val="21"/>
                    </w:rPr>
                  </w:pPr>
                  <w:r>
                    <w:rPr>
                      <w:rFonts w:hint="eastAsia" w:eastAsiaTheme="minorEastAsia"/>
                      <w:color w:val="auto"/>
                      <w:szCs w:val="21"/>
                    </w:rPr>
                    <w:t>/</w:t>
                  </w:r>
                </w:p>
              </w:tc>
              <w:tc>
                <w:tcPr>
                  <w:tcW w:w="1412" w:type="dxa"/>
                  <w:vAlign w:val="center"/>
                </w:tcPr>
                <w:p w14:paraId="6BCF7A12">
                  <w:pPr>
                    <w:pStyle w:val="3"/>
                    <w:outlineLvl w:val="0"/>
                    <w:rPr>
                      <w:color w:val="auto"/>
                    </w:rPr>
                  </w:pPr>
                  <w:r>
                    <w:rPr>
                      <w:rFonts w:hint="eastAsia" w:eastAsiaTheme="minorEastAsia"/>
                      <w:color w:val="auto"/>
                      <w:szCs w:val="21"/>
                    </w:rPr>
                    <w:t>已建、已验</w:t>
                  </w:r>
                </w:p>
              </w:tc>
            </w:tr>
            <w:tr w14:paraId="4617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682A1EE4">
                  <w:pPr>
                    <w:pStyle w:val="3"/>
                    <w:outlineLvl w:val="0"/>
                    <w:rPr>
                      <w:color w:val="auto"/>
                    </w:rPr>
                  </w:pPr>
                </w:p>
              </w:tc>
              <w:tc>
                <w:tcPr>
                  <w:tcW w:w="669" w:type="dxa"/>
                  <w:vMerge w:val="continue"/>
                  <w:vAlign w:val="center"/>
                </w:tcPr>
                <w:p w14:paraId="7A7B634C">
                  <w:pPr>
                    <w:pStyle w:val="3"/>
                    <w:outlineLvl w:val="0"/>
                    <w:rPr>
                      <w:color w:val="auto"/>
                    </w:rPr>
                  </w:pPr>
                </w:p>
              </w:tc>
              <w:tc>
                <w:tcPr>
                  <w:tcW w:w="1847" w:type="dxa"/>
                  <w:gridSpan w:val="3"/>
                  <w:vAlign w:val="center"/>
                </w:tcPr>
                <w:p w14:paraId="65F1BE75">
                  <w:pPr>
                    <w:pStyle w:val="3"/>
                    <w:outlineLvl w:val="0"/>
                    <w:rPr>
                      <w:color w:val="auto"/>
                    </w:rPr>
                  </w:pPr>
                  <w:r>
                    <w:rPr>
                      <w:rFonts w:hint="eastAsia"/>
                      <w:color w:val="auto"/>
                    </w:rPr>
                    <w:t>固废治理</w:t>
                  </w:r>
                </w:p>
                <w:p w14:paraId="6A0116EA">
                  <w:pPr>
                    <w:pStyle w:val="3"/>
                    <w:tabs>
                      <w:tab w:val="left" w:pos="450"/>
                    </w:tabs>
                    <w:jc w:val="left"/>
                    <w:outlineLvl w:val="0"/>
                    <w:rPr>
                      <w:color w:val="auto"/>
                    </w:rPr>
                  </w:pPr>
                </w:p>
              </w:tc>
              <w:tc>
                <w:tcPr>
                  <w:tcW w:w="4318" w:type="dxa"/>
                  <w:vAlign w:val="center"/>
                </w:tcPr>
                <w:p w14:paraId="0C5F91F3">
                  <w:pPr>
                    <w:pStyle w:val="3"/>
                    <w:outlineLvl w:val="0"/>
                    <w:rPr>
                      <w:rFonts w:hint="default" w:eastAsiaTheme="minorEastAsia"/>
                      <w:color w:val="auto"/>
                      <w:lang w:val="en-US" w:eastAsia="zh-CN"/>
                    </w:rPr>
                  </w:pPr>
                  <w:r>
                    <w:rPr>
                      <w:rFonts w:hint="eastAsia" w:eastAsiaTheme="minorEastAsia"/>
                      <w:color w:val="auto"/>
                      <w:szCs w:val="21"/>
                    </w:rPr>
                    <w:t>生活垃圾收集桶定点收集，环卫部门清运；</w:t>
                  </w:r>
                  <w:r>
                    <w:rPr>
                      <w:rFonts w:hint="eastAsia" w:eastAsiaTheme="minorEastAsia"/>
                      <w:color w:val="auto"/>
                      <w:szCs w:val="21"/>
                      <w:lang w:val="en-US" w:eastAsia="zh-CN"/>
                    </w:rPr>
                    <w:t>除尘器收集粉尘、自然沉降粉尘、剔除的金属物、去除的轻物质、沉淀池沉渣暂存于一般工业固体废物暂存场所；废机油、废含油抹布、废劳保用品暂存于危废暂存库，定期交由有资质单位处置</w:t>
                  </w:r>
                </w:p>
              </w:tc>
              <w:tc>
                <w:tcPr>
                  <w:tcW w:w="3840" w:type="dxa"/>
                  <w:vAlign w:val="center"/>
                </w:tcPr>
                <w:p w14:paraId="79DA3A69">
                  <w:pPr>
                    <w:pStyle w:val="3"/>
                    <w:outlineLvl w:val="0"/>
                    <w:rPr>
                      <w:color w:val="auto"/>
                    </w:rPr>
                  </w:pPr>
                  <w:r>
                    <w:rPr>
                      <w:rFonts w:hint="eastAsia"/>
                      <w:color w:val="auto"/>
                    </w:rPr>
                    <w:t>/</w:t>
                  </w:r>
                </w:p>
              </w:tc>
              <w:tc>
                <w:tcPr>
                  <w:tcW w:w="1412" w:type="dxa"/>
                  <w:vAlign w:val="center"/>
                </w:tcPr>
                <w:p w14:paraId="568E667D">
                  <w:pPr>
                    <w:pStyle w:val="3"/>
                    <w:outlineLvl w:val="0"/>
                    <w:rPr>
                      <w:color w:val="auto"/>
                    </w:rPr>
                  </w:pPr>
                  <w:r>
                    <w:rPr>
                      <w:rFonts w:hint="eastAsia" w:eastAsiaTheme="minorEastAsia"/>
                      <w:color w:val="auto"/>
                      <w:szCs w:val="21"/>
                    </w:rPr>
                    <w:t>已建、已验</w:t>
                  </w:r>
                </w:p>
              </w:tc>
            </w:tr>
            <w:tr w14:paraId="723C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00266E35">
                  <w:pPr>
                    <w:pStyle w:val="3"/>
                    <w:tabs>
                      <w:tab w:val="left" w:pos="450"/>
                    </w:tabs>
                    <w:jc w:val="left"/>
                    <w:outlineLvl w:val="0"/>
                    <w:rPr>
                      <w:color w:val="auto"/>
                    </w:rPr>
                  </w:pPr>
                </w:p>
              </w:tc>
              <w:tc>
                <w:tcPr>
                  <w:tcW w:w="669" w:type="dxa"/>
                  <w:vMerge w:val="restart"/>
                  <w:vAlign w:val="center"/>
                </w:tcPr>
                <w:p w14:paraId="47115075">
                  <w:pPr>
                    <w:pStyle w:val="3"/>
                    <w:tabs>
                      <w:tab w:val="left" w:pos="450"/>
                    </w:tabs>
                    <w:outlineLvl w:val="0"/>
                    <w:rPr>
                      <w:color w:val="auto"/>
                    </w:rPr>
                  </w:pPr>
                  <w:r>
                    <w:rPr>
                      <w:rFonts w:hint="eastAsia"/>
                      <w:color w:val="auto"/>
                    </w:rPr>
                    <w:t>水稳生产线</w:t>
                  </w:r>
                </w:p>
              </w:tc>
              <w:tc>
                <w:tcPr>
                  <w:tcW w:w="658" w:type="dxa"/>
                  <w:gridSpan w:val="2"/>
                  <w:vMerge w:val="restart"/>
                  <w:vAlign w:val="center"/>
                </w:tcPr>
                <w:p w14:paraId="2AB6311F">
                  <w:pPr>
                    <w:pStyle w:val="3"/>
                    <w:tabs>
                      <w:tab w:val="left" w:pos="450"/>
                    </w:tabs>
                    <w:jc w:val="left"/>
                    <w:outlineLvl w:val="0"/>
                    <w:rPr>
                      <w:color w:val="auto"/>
                    </w:rPr>
                  </w:pPr>
                  <w:r>
                    <w:rPr>
                      <w:rFonts w:hint="eastAsia"/>
                      <w:color w:val="auto"/>
                    </w:rPr>
                    <w:t>废气治理</w:t>
                  </w:r>
                </w:p>
              </w:tc>
              <w:tc>
                <w:tcPr>
                  <w:tcW w:w="1189" w:type="dxa"/>
                  <w:vAlign w:val="center"/>
                </w:tcPr>
                <w:p w14:paraId="742D1669">
                  <w:pPr>
                    <w:pStyle w:val="3"/>
                    <w:outlineLvl w:val="0"/>
                    <w:rPr>
                      <w:color w:val="auto"/>
                    </w:rPr>
                  </w:pPr>
                  <w:r>
                    <w:rPr>
                      <w:rFonts w:hint="eastAsia"/>
                      <w:color w:val="auto"/>
                    </w:rPr>
                    <w:t>卸料粉尘</w:t>
                  </w:r>
                </w:p>
              </w:tc>
              <w:tc>
                <w:tcPr>
                  <w:tcW w:w="4318" w:type="dxa"/>
                  <w:vAlign w:val="center"/>
                </w:tcPr>
                <w:p w14:paraId="41AFE994">
                  <w:pPr>
                    <w:pStyle w:val="3"/>
                    <w:outlineLvl w:val="0"/>
                    <w:rPr>
                      <w:color w:val="auto"/>
                    </w:rPr>
                  </w:pPr>
                  <w:r>
                    <w:rPr>
                      <w:rFonts w:hint="eastAsia"/>
                      <w:color w:val="auto"/>
                    </w:rPr>
                    <w:t>/</w:t>
                  </w:r>
                </w:p>
              </w:tc>
              <w:tc>
                <w:tcPr>
                  <w:tcW w:w="3840" w:type="dxa"/>
                  <w:vAlign w:val="center"/>
                </w:tcPr>
                <w:p w14:paraId="42837128">
                  <w:pPr>
                    <w:pStyle w:val="3"/>
                    <w:outlineLvl w:val="0"/>
                    <w:rPr>
                      <w:color w:val="auto"/>
                      <w:highlight w:val="none"/>
                    </w:rPr>
                  </w:pPr>
                  <w:r>
                    <w:rPr>
                      <w:rFonts w:hint="eastAsia"/>
                      <w:color w:val="auto"/>
                      <w:highlight w:val="none"/>
                    </w:rPr>
                    <w:t>采取生产车间封闭（控尘效率90%）、安装喷淋装置（控尘效率50%）、减小卸料落差、地面硬化、定期清扫地面的措施</w:t>
                  </w:r>
                </w:p>
              </w:tc>
              <w:tc>
                <w:tcPr>
                  <w:tcW w:w="1412" w:type="dxa"/>
                  <w:vAlign w:val="center"/>
                </w:tcPr>
                <w:p w14:paraId="7E7DFEF6">
                  <w:pPr>
                    <w:pStyle w:val="3"/>
                    <w:tabs>
                      <w:tab w:val="left" w:pos="450"/>
                    </w:tabs>
                    <w:jc w:val="center"/>
                    <w:outlineLvl w:val="0"/>
                    <w:rPr>
                      <w:color w:val="auto"/>
                      <w:highlight w:val="none"/>
                    </w:rPr>
                  </w:pPr>
                  <w:r>
                    <w:rPr>
                      <w:rFonts w:hint="eastAsia"/>
                      <w:color w:val="auto"/>
                      <w:highlight w:val="none"/>
                    </w:rPr>
                    <w:t>新建</w:t>
                  </w:r>
                </w:p>
              </w:tc>
            </w:tr>
            <w:tr w14:paraId="46A9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28444FC6">
                  <w:pPr>
                    <w:pStyle w:val="3"/>
                    <w:tabs>
                      <w:tab w:val="left" w:pos="450"/>
                    </w:tabs>
                    <w:jc w:val="left"/>
                    <w:outlineLvl w:val="0"/>
                    <w:rPr>
                      <w:color w:val="auto"/>
                    </w:rPr>
                  </w:pPr>
                </w:p>
              </w:tc>
              <w:tc>
                <w:tcPr>
                  <w:tcW w:w="669" w:type="dxa"/>
                  <w:vMerge w:val="continue"/>
                  <w:vAlign w:val="center"/>
                </w:tcPr>
                <w:p w14:paraId="20C0CE8B">
                  <w:pPr>
                    <w:pStyle w:val="3"/>
                    <w:tabs>
                      <w:tab w:val="left" w:pos="450"/>
                    </w:tabs>
                    <w:jc w:val="left"/>
                    <w:outlineLvl w:val="0"/>
                    <w:rPr>
                      <w:color w:val="auto"/>
                    </w:rPr>
                  </w:pPr>
                </w:p>
              </w:tc>
              <w:tc>
                <w:tcPr>
                  <w:tcW w:w="658" w:type="dxa"/>
                  <w:gridSpan w:val="2"/>
                  <w:vMerge w:val="continue"/>
                  <w:vAlign w:val="center"/>
                </w:tcPr>
                <w:p w14:paraId="559C672D">
                  <w:pPr>
                    <w:pStyle w:val="3"/>
                    <w:tabs>
                      <w:tab w:val="left" w:pos="450"/>
                    </w:tabs>
                    <w:jc w:val="left"/>
                    <w:outlineLvl w:val="0"/>
                    <w:rPr>
                      <w:color w:val="auto"/>
                    </w:rPr>
                  </w:pPr>
                </w:p>
              </w:tc>
              <w:tc>
                <w:tcPr>
                  <w:tcW w:w="1189" w:type="dxa"/>
                  <w:vAlign w:val="center"/>
                </w:tcPr>
                <w:p w14:paraId="37BF78DC">
                  <w:pPr>
                    <w:pStyle w:val="3"/>
                    <w:outlineLvl w:val="0"/>
                    <w:rPr>
                      <w:color w:val="auto"/>
                    </w:rPr>
                  </w:pPr>
                  <w:r>
                    <w:rPr>
                      <w:rFonts w:hint="eastAsia"/>
                      <w:color w:val="auto"/>
                    </w:rPr>
                    <w:t>筒仓呼吸粉尘</w:t>
                  </w:r>
                </w:p>
              </w:tc>
              <w:tc>
                <w:tcPr>
                  <w:tcW w:w="4318" w:type="dxa"/>
                  <w:vAlign w:val="center"/>
                </w:tcPr>
                <w:p w14:paraId="73328C2B">
                  <w:pPr>
                    <w:pStyle w:val="3"/>
                    <w:outlineLvl w:val="0"/>
                    <w:rPr>
                      <w:color w:val="auto"/>
                    </w:rPr>
                  </w:pPr>
                  <w:r>
                    <w:rPr>
                      <w:rFonts w:hint="eastAsia"/>
                      <w:color w:val="auto"/>
                    </w:rPr>
                    <w:t>/</w:t>
                  </w:r>
                </w:p>
              </w:tc>
              <w:tc>
                <w:tcPr>
                  <w:tcW w:w="3840" w:type="dxa"/>
                  <w:vAlign w:val="center"/>
                </w:tcPr>
                <w:p w14:paraId="5B3BCE72">
                  <w:pPr>
                    <w:pStyle w:val="3"/>
                    <w:outlineLvl w:val="0"/>
                    <w:rPr>
                      <w:color w:val="auto"/>
                      <w:highlight w:val="none"/>
                    </w:rPr>
                  </w:pPr>
                  <w:r>
                    <w:rPr>
                      <w:rFonts w:hint="eastAsia"/>
                      <w:color w:val="auto"/>
                      <w:highlight w:val="none"/>
                    </w:rPr>
                    <w:t>筒仓呼吸粉尘经仓顶自带布袋除尘器处理后，车间内无组织排放</w:t>
                  </w:r>
                </w:p>
              </w:tc>
              <w:tc>
                <w:tcPr>
                  <w:tcW w:w="1412" w:type="dxa"/>
                  <w:vAlign w:val="center"/>
                </w:tcPr>
                <w:p w14:paraId="63BC36B9">
                  <w:pPr>
                    <w:pStyle w:val="3"/>
                    <w:tabs>
                      <w:tab w:val="left" w:pos="450"/>
                    </w:tabs>
                    <w:jc w:val="center"/>
                    <w:outlineLvl w:val="0"/>
                    <w:rPr>
                      <w:color w:val="auto"/>
                      <w:highlight w:val="none"/>
                    </w:rPr>
                  </w:pPr>
                  <w:r>
                    <w:rPr>
                      <w:rFonts w:hint="eastAsia"/>
                      <w:color w:val="auto"/>
                      <w:highlight w:val="none"/>
                    </w:rPr>
                    <w:t>新建</w:t>
                  </w:r>
                </w:p>
              </w:tc>
            </w:tr>
            <w:tr w14:paraId="2089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620F95DB">
                  <w:pPr>
                    <w:pStyle w:val="3"/>
                    <w:tabs>
                      <w:tab w:val="left" w:pos="450"/>
                    </w:tabs>
                    <w:jc w:val="left"/>
                    <w:outlineLvl w:val="0"/>
                    <w:rPr>
                      <w:color w:val="auto"/>
                    </w:rPr>
                  </w:pPr>
                </w:p>
              </w:tc>
              <w:tc>
                <w:tcPr>
                  <w:tcW w:w="669" w:type="dxa"/>
                  <w:vMerge w:val="continue"/>
                  <w:vAlign w:val="center"/>
                </w:tcPr>
                <w:p w14:paraId="44B8B9F2">
                  <w:pPr>
                    <w:pStyle w:val="3"/>
                    <w:tabs>
                      <w:tab w:val="left" w:pos="450"/>
                    </w:tabs>
                    <w:jc w:val="left"/>
                    <w:outlineLvl w:val="0"/>
                    <w:rPr>
                      <w:color w:val="auto"/>
                    </w:rPr>
                  </w:pPr>
                </w:p>
              </w:tc>
              <w:tc>
                <w:tcPr>
                  <w:tcW w:w="658" w:type="dxa"/>
                  <w:gridSpan w:val="2"/>
                  <w:vMerge w:val="continue"/>
                  <w:vAlign w:val="center"/>
                </w:tcPr>
                <w:p w14:paraId="542C6567">
                  <w:pPr>
                    <w:pStyle w:val="3"/>
                    <w:tabs>
                      <w:tab w:val="left" w:pos="450"/>
                    </w:tabs>
                    <w:jc w:val="left"/>
                    <w:outlineLvl w:val="0"/>
                    <w:rPr>
                      <w:color w:val="auto"/>
                    </w:rPr>
                  </w:pPr>
                </w:p>
              </w:tc>
              <w:tc>
                <w:tcPr>
                  <w:tcW w:w="1189" w:type="dxa"/>
                  <w:vAlign w:val="center"/>
                </w:tcPr>
                <w:p w14:paraId="0542759C">
                  <w:pPr>
                    <w:pStyle w:val="3"/>
                    <w:outlineLvl w:val="0"/>
                    <w:rPr>
                      <w:color w:val="auto"/>
                    </w:rPr>
                  </w:pPr>
                  <w:r>
                    <w:rPr>
                      <w:rFonts w:hint="eastAsia"/>
                      <w:color w:val="auto"/>
                    </w:rPr>
                    <w:t>车辆运输扬尘</w:t>
                  </w:r>
                </w:p>
              </w:tc>
              <w:tc>
                <w:tcPr>
                  <w:tcW w:w="4318" w:type="dxa"/>
                  <w:vAlign w:val="center"/>
                </w:tcPr>
                <w:p w14:paraId="43232801">
                  <w:pPr>
                    <w:pStyle w:val="3"/>
                    <w:outlineLvl w:val="0"/>
                    <w:rPr>
                      <w:color w:val="auto"/>
                    </w:rPr>
                  </w:pPr>
                  <w:r>
                    <w:rPr>
                      <w:rFonts w:hint="eastAsia"/>
                      <w:color w:val="auto"/>
                    </w:rPr>
                    <w:t>/</w:t>
                  </w:r>
                </w:p>
              </w:tc>
              <w:tc>
                <w:tcPr>
                  <w:tcW w:w="3840" w:type="dxa"/>
                  <w:vAlign w:val="center"/>
                </w:tcPr>
                <w:p w14:paraId="1FD692E0">
                  <w:pPr>
                    <w:pStyle w:val="3"/>
                    <w:outlineLvl w:val="0"/>
                    <w:rPr>
                      <w:color w:val="auto"/>
                      <w:highlight w:val="none"/>
                    </w:rPr>
                  </w:pPr>
                  <w:r>
                    <w:rPr>
                      <w:rFonts w:hint="eastAsia"/>
                      <w:color w:val="auto"/>
                      <w:highlight w:val="none"/>
                    </w:rPr>
                    <w:t>设置洗车平台，厂区内道路硬化、洒水抑尘、定期清扫地面的措施</w:t>
                  </w:r>
                </w:p>
              </w:tc>
              <w:tc>
                <w:tcPr>
                  <w:tcW w:w="1412" w:type="dxa"/>
                  <w:vAlign w:val="center"/>
                </w:tcPr>
                <w:p w14:paraId="68644035">
                  <w:pPr>
                    <w:pStyle w:val="3"/>
                    <w:tabs>
                      <w:tab w:val="left" w:pos="450"/>
                    </w:tabs>
                    <w:jc w:val="center"/>
                    <w:outlineLvl w:val="0"/>
                    <w:rPr>
                      <w:color w:val="auto"/>
                      <w:highlight w:val="none"/>
                    </w:rPr>
                  </w:pPr>
                  <w:r>
                    <w:rPr>
                      <w:rFonts w:hint="eastAsia"/>
                      <w:color w:val="auto"/>
                      <w:highlight w:val="none"/>
                    </w:rPr>
                    <w:t>新建</w:t>
                  </w:r>
                </w:p>
              </w:tc>
            </w:tr>
            <w:tr w14:paraId="7E9F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6053CA14">
                  <w:pPr>
                    <w:pStyle w:val="3"/>
                    <w:tabs>
                      <w:tab w:val="left" w:pos="450"/>
                    </w:tabs>
                    <w:jc w:val="left"/>
                    <w:outlineLvl w:val="0"/>
                    <w:rPr>
                      <w:color w:val="auto"/>
                    </w:rPr>
                  </w:pPr>
                </w:p>
              </w:tc>
              <w:tc>
                <w:tcPr>
                  <w:tcW w:w="669" w:type="dxa"/>
                  <w:vMerge w:val="continue"/>
                  <w:vAlign w:val="center"/>
                </w:tcPr>
                <w:p w14:paraId="1DED3CD9">
                  <w:pPr>
                    <w:pStyle w:val="3"/>
                    <w:tabs>
                      <w:tab w:val="left" w:pos="450"/>
                    </w:tabs>
                    <w:jc w:val="left"/>
                    <w:outlineLvl w:val="0"/>
                    <w:rPr>
                      <w:color w:val="auto"/>
                    </w:rPr>
                  </w:pPr>
                </w:p>
              </w:tc>
              <w:tc>
                <w:tcPr>
                  <w:tcW w:w="658" w:type="dxa"/>
                  <w:gridSpan w:val="2"/>
                  <w:vMerge w:val="continue"/>
                  <w:vAlign w:val="center"/>
                </w:tcPr>
                <w:p w14:paraId="5EC7484F">
                  <w:pPr>
                    <w:pStyle w:val="3"/>
                    <w:tabs>
                      <w:tab w:val="left" w:pos="450"/>
                    </w:tabs>
                    <w:jc w:val="left"/>
                    <w:outlineLvl w:val="0"/>
                    <w:rPr>
                      <w:color w:val="auto"/>
                    </w:rPr>
                  </w:pPr>
                </w:p>
              </w:tc>
              <w:tc>
                <w:tcPr>
                  <w:tcW w:w="1189" w:type="dxa"/>
                  <w:vAlign w:val="center"/>
                </w:tcPr>
                <w:p w14:paraId="4F2E8C47">
                  <w:pPr>
                    <w:pStyle w:val="3"/>
                    <w:outlineLvl w:val="0"/>
                    <w:rPr>
                      <w:color w:val="auto"/>
                    </w:rPr>
                  </w:pPr>
                  <w:r>
                    <w:rPr>
                      <w:rFonts w:hint="eastAsia"/>
                      <w:color w:val="auto"/>
                    </w:rPr>
                    <w:t>输送</w:t>
                  </w:r>
                  <w:r>
                    <w:rPr>
                      <w:rFonts w:hint="eastAsia"/>
                      <w:color w:val="auto"/>
                      <w:lang w:eastAsia="zh-CN"/>
                    </w:rPr>
                    <w:t>、</w:t>
                  </w:r>
                  <w:r>
                    <w:rPr>
                      <w:rFonts w:hint="eastAsia"/>
                      <w:color w:val="auto"/>
                    </w:rPr>
                    <w:t>投料粉尘</w:t>
                  </w:r>
                </w:p>
              </w:tc>
              <w:tc>
                <w:tcPr>
                  <w:tcW w:w="4318" w:type="dxa"/>
                  <w:vAlign w:val="center"/>
                </w:tcPr>
                <w:p w14:paraId="2569309A">
                  <w:pPr>
                    <w:pStyle w:val="3"/>
                    <w:outlineLvl w:val="0"/>
                    <w:rPr>
                      <w:color w:val="auto"/>
                    </w:rPr>
                  </w:pPr>
                  <w:r>
                    <w:rPr>
                      <w:rFonts w:hint="eastAsia"/>
                      <w:color w:val="auto"/>
                    </w:rPr>
                    <w:t>/</w:t>
                  </w:r>
                </w:p>
              </w:tc>
              <w:tc>
                <w:tcPr>
                  <w:tcW w:w="3840" w:type="dxa"/>
                  <w:vAlign w:val="center"/>
                </w:tcPr>
                <w:p w14:paraId="3F2E43AF">
                  <w:pPr>
                    <w:pStyle w:val="3"/>
                    <w:outlineLvl w:val="0"/>
                    <w:rPr>
                      <w:color w:val="auto"/>
                      <w:highlight w:val="none"/>
                    </w:rPr>
                  </w:pPr>
                  <w:r>
                    <w:rPr>
                      <w:rFonts w:hint="eastAsia"/>
                      <w:color w:val="auto"/>
                      <w:highlight w:val="none"/>
                    </w:rPr>
                    <w:t>采取</w:t>
                  </w:r>
                  <w:r>
                    <w:rPr>
                      <w:rFonts w:hint="eastAsia"/>
                      <w:color w:val="auto"/>
                      <w:highlight w:val="none"/>
                      <w:lang w:val="en-US" w:eastAsia="zh-CN"/>
                    </w:rPr>
                    <w:t>输送带封闭、安装喷淋装置（降尘50%），</w:t>
                  </w:r>
                  <w:r>
                    <w:rPr>
                      <w:rFonts w:hint="eastAsia"/>
                      <w:color w:val="auto"/>
                      <w:highlight w:val="none"/>
                      <w:lang w:eastAsia="zh-CN"/>
                    </w:rPr>
                    <w:t>“</w:t>
                  </w:r>
                  <w:r>
                    <w:rPr>
                      <w:rFonts w:hint="eastAsia"/>
                      <w:color w:val="auto"/>
                      <w:highlight w:val="none"/>
                      <w:lang w:val="en-US" w:eastAsia="zh-CN"/>
                    </w:rPr>
                    <w:t>集气罩收集（收集效率为90%）+布袋除尘器（处理效率99%）</w:t>
                  </w:r>
                  <w:r>
                    <w:rPr>
                      <w:rFonts w:hint="eastAsia"/>
                      <w:color w:val="auto"/>
                      <w:highlight w:val="none"/>
                      <w:lang w:eastAsia="zh-CN"/>
                    </w:rPr>
                    <w:t>”</w:t>
                  </w:r>
                  <w:r>
                    <w:rPr>
                      <w:rFonts w:hint="eastAsia"/>
                      <w:color w:val="auto"/>
                      <w:highlight w:val="none"/>
                      <w:lang w:val="en-US" w:eastAsia="zh-CN"/>
                    </w:rPr>
                    <w:t>处理后，经15m（DA004）排气筒排放</w:t>
                  </w:r>
                </w:p>
              </w:tc>
              <w:tc>
                <w:tcPr>
                  <w:tcW w:w="1412" w:type="dxa"/>
                  <w:vAlign w:val="center"/>
                </w:tcPr>
                <w:p w14:paraId="3DDF479D">
                  <w:pPr>
                    <w:pStyle w:val="3"/>
                    <w:tabs>
                      <w:tab w:val="left" w:pos="450"/>
                    </w:tabs>
                    <w:jc w:val="center"/>
                    <w:outlineLvl w:val="0"/>
                    <w:rPr>
                      <w:color w:val="auto"/>
                      <w:highlight w:val="none"/>
                    </w:rPr>
                  </w:pPr>
                  <w:r>
                    <w:rPr>
                      <w:rFonts w:hint="eastAsia"/>
                      <w:color w:val="auto"/>
                      <w:highlight w:val="none"/>
                    </w:rPr>
                    <w:t>新建</w:t>
                  </w:r>
                </w:p>
              </w:tc>
            </w:tr>
            <w:tr w14:paraId="6026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3674335A">
                  <w:pPr>
                    <w:pStyle w:val="3"/>
                    <w:tabs>
                      <w:tab w:val="left" w:pos="450"/>
                    </w:tabs>
                    <w:jc w:val="left"/>
                    <w:outlineLvl w:val="0"/>
                    <w:rPr>
                      <w:color w:val="auto"/>
                    </w:rPr>
                  </w:pPr>
                </w:p>
              </w:tc>
              <w:tc>
                <w:tcPr>
                  <w:tcW w:w="669" w:type="dxa"/>
                  <w:vMerge w:val="continue"/>
                  <w:vAlign w:val="center"/>
                </w:tcPr>
                <w:p w14:paraId="3DB9A484">
                  <w:pPr>
                    <w:pStyle w:val="3"/>
                    <w:tabs>
                      <w:tab w:val="left" w:pos="450"/>
                    </w:tabs>
                    <w:jc w:val="left"/>
                    <w:outlineLvl w:val="0"/>
                    <w:rPr>
                      <w:color w:val="auto"/>
                    </w:rPr>
                  </w:pPr>
                </w:p>
              </w:tc>
              <w:tc>
                <w:tcPr>
                  <w:tcW w:w="658" w:type="dxa"/>
                  <w:gridSpan w:val="2"/>
                  <w:vMerge w:val="continue"/>
                  <w:vAlign w:val="center"/>
                </w:tcPr>
                <w:p w14:paraId="6BC49301">
                  <w:pPr>
                    <w:pStyle w:val="3"/>
                    <w:tabs>
                      <w:tab w:val="left" w:pos="450"/>
                    </w:tabs>
                    <w:jc w:val="left"/>
                    <w:outlineLvl w:val="0"/>
                    <w:rPr>
                      <w:color w:val="auto"/>
                    </w:rPr>
                  </w:pPr>
                </w:p>
              </w:tc>
              <w:tc>
                <w:tcPr>
                  <w:tcW w:w="1189" w:type="dxa"/>
                  <w:vAlign w:val="center"/>
                </w:tcPr>
                <w:p w14:paraId="28848F12">
                  <w:pPr>
                    <w:pStyle w:val="3"/>
                    <w:outlineLvl w:val="0"/>
                    <w:rPr>
                      <w:color w:val="auto"/>
                    </w:rPr>
                  </w:pPr>
                  <w:r>
                    <w:rPr>
                      <w:rFonts w:hint="eastAsia"/>
                      <w:color w:val="auto"/>
                    </w:rPr>
                    <w:t>食堂油烟</w:t>
                  </w:r>
                </w:p>
              </w:tc>
              <w:tc>
                <w:tcPr>
                  <w:tcW w:w="4318" w:type="dxa"/>
                  <w:vAlign w:val="center"/>
                </w:tcPr>
                <w:p w14:paraId="04F94038">
                  <w:pPr>
                    <w:pStyle w:val="3"/>
                    <w:outlineLvl w:val="0"/>
                    <w:rPr>
                      <w:color w:val="auto"/>
                    </w:rPr>
                  </w:pPr>
                  <w:r>
                    <w:rPr>
                      <w:rFonts w:hint="eastAsia"/>
                      <w:color w:val="auto"/>
                    </w:rPr>
                    <w:t>/</w:t>
                  </w:r>
                </w:p>
              </w:tc>
              <w:tc>
                <w:tcPr>
                  <w:tcW w:w="3840" w:type="dxa"/>
                  <w:vAlign w:val="center"/>
                </w:tcPr>
                <w:p w14:paraId="1945B33B">
                  <w:pPr>
                    <w:pStyle w:val="3"/>
                    <w:outlineLvl w:val="0"/>
                    <w:rPr>
                      <w:color w:val="auto"/>
                      <w:highlight w:val="none"/>
                    </w:rPr>
                  </w:pPr>
                  <w:r>
                    <w:rPr>
                      <w:color w:val="auto"/>
                      <w:highlight w:val="none"/>
                    </w:rPr>
                    <w:t>油烟净化</w:t>
                  </w:r>
                  <w:r>
                    <w:rPr>
                      <w:rFonts w:hint="eastAsia"/>
                      <w:color w:val="auto"/>
                      <w:highlight w:val="none"/>
                    </w:rPr>
                    <w:t>处理、专用烟道屋顶排放</w:t>
                  </w:r>
                </w:p>
              </w:tc>
              <w:tc>
                <w:tcPr>
                  <w:tcW w:w="1412" w:type="dxa"/>
                  <w:vAlign w:val="center"/>
                </w:tcPr>
                <w:p w14:paraId="13E598F5">
                  <w:pPr>
                    <w:pStyle w:val="3"/>
                    <w:tabs>
                      <w:tab w:val="left" w:pos="450"/>
                    </w:tabs>
                    <w:jc w:val="center"/>
                    <w:outlineLvl w:val="0"/>
                    <w:rPr>
                      <w:color w:val="auto"/>
                      <w:highlight w:val="none"/>
                    </w:rPr>
                  </w:pPr>
                  <w:r>
                    <w:rPr>
                      <w:rFonts w:hint="eastAsia"/>
                      <w:color w:val="auto"/>
                      <w:highlight w:val="none"/>
                    </w:rPr>
                    <w:t>依托现有</w:t>
                  </w:r>
                </w:p>
              </w:tc>
            </w:tr>
            <w:tr w14:paraId="130D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50CDB00C">
                  <w:pPr>
                    <w:pStyle w:val="3"/>
                    <w:tabs>
                      <w:tab w:val="left" w:pos="450"/>
                    </w:tabs>
                    <w:jc w:val="left"/>
                    <w:outlineLvl w:val="0"/>
                    <w:rPr>
                      <w:color w:val="auto"/>
                    </w:rPr>
                  </w:pPr>
                </w:p>
              </w:tc>
              <w:tc>
                <w:tcPr>
                  <w:tcW w:w="669" w:type="dxa"/>
                  <w:vMerge w:val="continue"/>
                  <w:vAlign w:val="center"/>
                </w:tcPr>
                <w:p w14:paraId="04EC388D">
                  <w:pPr>
                    <w:pStyle w:val="3"/>
                    <w:tabs>
                      <w:tab w:val="left" w:pos="450"/>
                    </w:tabs>
                    <w:jc w:val="left"/>
                    <w:outlineLvl w:val="0"/>
                    <w:rPr>
                      <w:color w:val="auto"/>
                    </w:rPr>
                  </w:pPr>
                </w:p>
              </w:tc>
              <w:tc>
                <w:tcPr>
                  <w:tcW w:w="1847" w:type="dxa"/>
                  <w:gridSpan w:val="3"/>
                  <w:vAlign w:val="center"/>
                </w:tcPr>
                <w:p w14:paraId="2AF81557">
                  <w:pPr>
                    <w:pStyle w:val="3"/>
                    <w:outlineLvl w:val="0"/>
                    <w:rPr>
                      <w:color w:val="auto"/>
                    </w:rPr>
                  </w:pPr>
                  <w:r>
                    <w:rPr>
                      <w:color w:val="auto"/>
                    </w:rPr>
                    <w:t>废水</w:t>
                  </w:r>
                  <w:r>
                    <w:rPr>
                      <w:rFonts w:hint="eastAsia"/>
                      <w:color w:val="auto"/>
                    </w:rPr>
                    <w:t>治理</w:t>
                  </w:r>
                </w:p>
              </w:tc>
              <w:tc>
                <w:tcPr>
                  <w:tcW w:w="4318" w:type="dxa"/>
                  <w:vAlign w:val="center"/>
                </w:tcPr>
                <w:p w14:paraId="055E2DE2">
                  <w:pPr>
                    <w:pStyle w:val="3"/>
                    <w:outlineLvl w:val="0"/>
                    <w:rPr>
                      <w:color w:val="auto"/>
                    </w:rPr>
                  </w:pPr>
                  <w:r>
                    <w:rPr>
                      <w:rFonts w:hint="eastAsia"/>
                      <w:color w:val="auto"/>
                    </w:rPr>
                    <w:t>/</w:t>
                  </w:r>
                </w:p>
              </w:tc>
              <w:tc>
                <w:tcPr>
                  <w:tcW w:w="3840" w:type="dxa"/>
                  <w:vAlign w:val="center"/>
                </w:tcPr>
                <w:p w14:paraId="738FA97A">
                  <w:pPr>
                    <w:pStyle w:val="3"/>
                    <w:outlineLvl w:val="0"/>
                    <w:rPr>
                      <w:color w:val="auto"/>
                      <w:highlight w:val="none"/>
                    </w:rPr>
                  </w:pPr>
                  <w:r>
                    <w:rPr>
                      <w:rFonts w:hint="eastAsia"/>
                      <w:color w:val="auto"/>
                      <w:highlight w:val="none"/>
                    </w:rPr>
                    <w:t>厂区雨污分流制，经隔油池处理的食堂废水汇同生活污水经化粪池处理后，吸粪车定期抽运；车辆冲洗废水、道路冲洗废水</w:t>
                  </w:r>
                  <w:r>
                    <w:rPr>
                      <w:rFonts w:hint="eastAsia"/>
                      <w:color w:val="auto"/>
                      <w:highlight w:val="none"/>
                      <w:lang w:eastAsia="zh-CN"/>
                    </w:rPr>
                    <w:t>、</w:t>
                  </w:r>
                  <w:r>
                    <w:rPr>
                      <w:rFonts w:hint="eastAsia"/>
                      <w:color w:val="auto"/>
                      <w:highlight w:val="none"/>
                      <w:lang w:val="en-US" w:eastAsia="zh-CN"/>
                    </w:rPr>
                    <w:t>设备冲洗废水</w:t>
                  </w:r>
                  <w:r>
                    <w:rPr>
                      <w:rFonts w:hint="eastAsia"/>
                      <w:color w:val="auto"/>
                      <w:highlight w:val="none"/>
                    </w:rPr>
                    <w:t>经二级沉淀池处理后循环使用，不外排</w:t>
                  </w:r>
                </w:p>
              </w:tc>
              <w:tc>
                <w:tcPr>
                  <w:tcW w:w="1412" w:type="dxa"/>
                  <w:vAlign w:val="center"/>
                </w:tcPr>
                <w:p w14:paraId="430804EF">
                  <w:pPr>
                    <w:pStyle w:val="3"/>
                    <w:tabs>
                      <w:tab w:val="left" w:pos="450"/>
                    </w:tabs>
                    <w:jc w:val="center"/>
                    <w:outlineLvl w:val="0"/>
                    <w:rPr>
                      <w:color w:val="auto"/>
                      <w:highlight w:val="none"/>
                    </w:rPr>
                  </w:pPr>
                  <w:r>
                    <w:rPr>
                      <w:rFonts w:hint="eastAsia"/>
                      <w:color w:val="auto"/>
                      <w:highlight w:val="none"/>
                    </w:rPr>
                    <w:t>新建</w:t>
                  </w:r>
                </w:p>
              </w:tc>
            </w:tr>
            <w:tr w14:paraId="482B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35B09DF1">
                  <w:pPr>
                    <w:pStyle w:val="3"/>
                    <w:tabs>
                      <w:tab w:val="left" w:pos="450"/>
                    </w:tabs>
                    <w:jc w:val="left"/>
                    <w:outlineLvl w:val="0"/>
                    <w:rPr>
                      <w:color w:val="auto"/>
                    </w:rPr>
                  </w:pPr>
                </w:p>
              </w:tc>
              <w:tc>
                <w:tcPr>
                  <w:tcW w:w="669" w:type="dxa"/>
                  <w:vMerge w:val="continue"/>
                  <w:vAlign w:val="center"/>
                </w:tcPr>
                <w:p w14:paraId="78A87E2C">
                  <w:pPr>
                    <w:pStyle w:val="3"/>
                    <w:tabs>
                      <w:tab w:val="left" w:pos="450"/>
                    </w:tabs>
                    <w:jc w:val="left"/>
                    <w:outlineLvl w:val="0"/>
                    <w:rPr>
                      <w:color w:val="auto"/>
                    </w:rPr>
                  </w:pPr>
                </w:p>
              </w:tc>
              <w:tc>
                <w:tcPr>
                  <w:tcW w:w="1847" w:type="dxa"/>
                  <w:gridSpan w:val="3"/>
                  <w:vAlign w:val="center"/>
                </w:tcPr>
                <w:p w14:paraId="702DAAB8">
                  <w:pPr>
                    <w:pStyle w:val="3"/>
                    <w:outlineLvl w:val="0"/>
                    <w:rPr>
                      <w:color w:val="auto"/>
                    </w:rPr>
                  </w:pPr>
                  <w:r>
                    <w:rPr>
                      <w:color w:val="auto"/>
                    </w:rPr>
                    <w:t>噪声</w:t>
                  </w:r>
                  <w:r>
                    <w:rPr>
                      <w:rFonts w:hint="eastAsia"/>
                      <w:color w:val="auto"/>
                    </w:rPr>
                    <w:t>治理</w:t>
                  </w:r>
                </w:p>
              </w:tc>
              <w:tc>
                <w:tcPr>
                  <w:tcW w:w="4318" w:type="dxa"/>
                  <w:vAlign w:val="center"/>
                </w:tcPr>
                <w:p w14:paraId="175FD0C1">
                  <w:pPr>
                    <w:pStyle w:val="3"/>
                    <w:outlineLvl w:val="0"/>
                    <w:rPr>
                      <w:color w:val="auto"/>
                    </w:rPr>
                  </w:pPr>
                  <w:r>
                    <w:rPr>
                      <w:rFonts w:hint="eastAsia"/>
                      <w:color w:val="auto"/>
                    </w:rPr>
                    <w:t>/</w:t>
                  </w:r>
                </w:p>
              </w:tc>
              <w:tc>
                <w:tcPr>
                  <w:tcW w:w="3840" w:type="dxa"/>
                  <w:vAlign w:val="center"/>
                </w:tcPr>
                <w:p w14:paraId="09F16DBE">
                  <w:pPr>
                    <w:pStyle w:val="3"/>
                    <w:outlineLvl w:val="0"/>
                    <w:rPr>
                      <w:color w:val="auto"/>
                      <w:highlight w:val="none"/>
                    </w:rPr>
                  </w:pPr>
                  <w:r>
                    <w:rPr>
                      <w:color w:val="auto"/>
                      <w:highlight w:val="none"/>
                    </w:rPr>
                    <w:t>选用低噪声设备、</w:t>
                  </w:r>
                  <w:r>
                    <w:rPr>
                      <w:rFonts w:hint="eastAsia"/>
                      <w:color w:val="auto"/>
                      <w:highlight w:val="none"/>
                    </w:rPr>
                    <w:t>距离衰减、隔声减振、</w:t>
                  </w:r>
                  <w:r>
                    <w:rPr>
                      <w:color w:val="auto"/>
                      <w:highlight w:val="none"/>
                    </w:rPr>
                    <w:t>合理布置等措施</w:t>
                  </w:r>
                </w:p>
              </w:tc>
              <w:tc>
                <w:tcPr>
                  <w:tcW w:w="1412" w:type="dxa"/>
                  <w:vAlign w:val="center"/>
                </w:tcPr>
                <w:p w14:paraId="3D2E3C98">
                  <w:pPr>
                    <w:pStyle w:val="3"/>
                    <w:tabs>
                      <w:tab w:val="left" w:pos="450"/>
                    </w:tabs>
                    <w:jc w:val="center"/>
                    <w:outlineLvl w:val="0"/>
                    <w:rPr>
                      <w:color w:val="auto"/>
                      <w:highlight w:val="none"/>
                    </w:rPr>
                  </w:pPr>
                  <w:r>
                    <w:rPr>
                      <w:rFonts w:hint="eastAsia"/>
                      <w:color w:val="auto"/>
                      <w:highlight w:val="none"/>
                    </w:rPr>
                    <w:t>新建</w:t>
                  </w:r>
                </w:p>
              </w:tc>
            </w:tr>
            <w:tr w14:paraId="46D4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5DE06828">
                  <w:pPr>
                    <w:pStyle w:val="3"/>
                    <w:tabs>
                      <w:tab w:val="left" w:pos="450"/>
                    </w:tabs>
                    <w:jc w:val="left"/>
                    <w:outlineLvl w:val="0"/>
                    <w:rPr>
                      <w:color w:val="auto"/>
                    </w:rPr>
                  </w:pPr>
                </w:p>
              </w:tc>
              <w:tc>
                <w:tcPr>
                  <w:tcW w:w="669" w:type="dxa"/>
                  <w:vMerge w:val="continue"/>
                  <w:vAlign w:val="center"/>
                </w:tcPr>
                <w:p w14:paraId="69B608F6">
                  <w:pPr>
                    <w:pStyle w:val="3"/>
                    <w:tabs>
                      <w:tab w:val="left" w:pos="450"/>
                    </w:tabs>
                    <w:jc w:val="left"/>
                    <w:outlineLvl w:val="0"/>
                    <w:rPr>
                      <w:color w:val="auto"/>
                    </w:rPr>
                  </w:pPr>
                </w:p>
              </w:tc>
              <w:tc>
                <w:tcPr>
                  <w:tcW w:w="1847" w:type="dxa"/>
                  <w:gridSpan w:val="3"/>
                  <w:vAlign w:val="center"/>
                </w:tcPr>
                <w:p w14:paraId="74DFB015">
                  <w:pPr>
                    <w:pStyle w:val="3"/>
                    <w:outlineLvl w:val="0"/>
                    <w:rPr>
                      <w:color w:val="auto"/>
                    </w:rPr>
                  </w:pPr>
                  <w:r>
                    <w:rPr>
                      <w:rFonts w:hint="eastAsia"/>
                      <w:color w:val="auto"/>
                    </w:rPr>
                    <w:t>固废治理</w:t>
                  </w:r>
                </w:p>
              </w:tc>
              <w:tc>
                <w:tcPr>
                  <w:tcW w:w="4318" w:type="dxa"/>
                  <w:vAlign w:val="center"/>
                </w:tcPr>
                <w:p w14:paraId="642285F4">
                  <w:pPr>
                    <w:pStyle w:val="3"/>
                    <w:outlineLvl w:val="0"/>
                    <w:rPr>
                      <w:color w:val="auto"/>
                    </w:rPr>
                  </w:pPr>
                  <w:r>
                    <w:rPr>
                      <w:rFonts w:hint="eastAsia"/>
                      <w:color w:val="auto"/>
                    </w:rPr>
                    <w:t>/</w:t>
                  </w:r>
                </w:p>
              </w:tc>
              <w:tc>
                <w:tcPr>
                  <w:tcW w:w="3840" w:type="dxa"/>
                  <w:vAlign w:val="center"/>
                </w:tcPr>
                <w:p w14:paraId="053BFF27">
                  <w:pPr>
                    <w:pStyle w:val="3"/>
                    <w:outlineLvl w:val="0"/>
                    <w:rPr>
                      <w:rFonts w:hint="default" w:eastAsia="宋体"/>
                      <w:color w:val="auto"/>
                      <w:highlight w:val="none"/>
                      <w:lang w:val="en-US" w:eastAsia="zh-CN"/>
                    </w:rPr>
                  </w:pPr>
                  <w:r>
                    <w:rPr>
                      <w:rFonts w:hint="eastAsia"/>
                      <w:color w:val="auto"/>
                      <w:highlight w:val="none"/>
                    </w:rPr>
                    <w:t>生活垃圾设置垃圾收集桶定点收集，</w:t>
                  </w:r>
                  <w:r>
                    <w:rPr>
                      <w:color w:val="auto"/>
                      <w:highlight w:val="none"/>
                    </w:rPr>
                    <w:t>环卫部门</w:t>
                  </w:r>
                  <w:r>
                    <w:rPr>
                      <w:rFonts w:hint="eastAsia"/>
                      <w:color w:val="auto"/>
                      <w:highlight w:val="none"/>
                    </w:rPr>
                    <w:t>清运；地面清扫粉尘、沉淀池沉渣</w:t>
                  </w:r>
                  <w:r>
                    <w:rPr>
                      <w:rFonts w:hint="eastAsia"/>
                      <w:color w:val="auto"/>
                      <w:highlight w:val="none"/>
                      <w:lang w:eastAsia="zh-CN"/>
                    </w:rPr>
                    <w:t>、</w:t>
                  </w:r>
                  <w:r>
                    <w:rPr>
                      <w:rFonts w:hint="eastAsia"/>
                      <w:color w:val="auto"/>
                      <w:highlight w:val="none"/>
                      <w:lang w:val="en-US" w:eastAsia="zh-CN"/>
                    </w:rPr>
                    <w:t>除尘器收集粉尘</w:t>
                  </w:r>
                  <w:r>
                    <w:rPr>
                      <w:rFonts w:hint="eastAsia"/>
                      <w:color w:val="auto"/>
                      <w:highlight w:val="none"/>
                    </w:rPr>
                    <w:t>暂存于</w:t>
                  </w:r>
                  <w:r>
                    <w:rPr>
                      <w:rFonts w:hint="eastAsia"/>
                      <w:color w:val="auto"/>
                      <w:highlight w:val="none"/>
                      <w:lang w:eastAsia="zh-CN"/>
                    </w:rPr>
                    <w:t>一般工业固体废物暂存场所</w:t>
                  </w:r>
                  <w:r>
                    <w:rPr>
                      <w:rFonts w:hint="eastAsia"/>
                      <w:color w:val="auto"/>
                      <w:highlight w:val="none"/>
                    </w:rPr>
                    <w:t>，统一收集后回用于生产线</w:t>
                  </w:r>
                  <w:r>
                    <w:rPr>
                      <w:rFonts w:hint="eastAsia"/>
                      <w:color w:val="auto"/>
                      <w:highlight w:val="none"/>
                      <w:lang w:val="en-US" w:eastAsia="zh-CN"/>
                    </w:rPr>
                    <w:t>；</w:t>
                  </w:r>
                  <w:r>
                    <w:rPr>
                      <w:rFonts w:hint="eastAsia"/>
                      <w:color w:val="auto"/>
                      <w:lang w:val="en-US" w:eastAsia="zh-CN"/>
                    </w:rPr>
                    <w:t>废机油、废机油桶暂存于危险废物贮存库，定期交由有资质单位处置</w:t>
                  </w:r>
                </w:p>
              </w:tc>
              <w:tc>
                <w:tcPr>
                  <w:tcW w:w="1412" w:type="dxa"/>
                  <w:vAlign w:val="center"/>
                </w:tcPr>
                <w:p w14:paraId="20CB67E4">
                  <w:pPr>
                    <w:pStyle w:val="3"/>
                    <w:tabs>
                      <w:tab w:val="left" w:pos="450"/>
                    </w:tabs>
                    <w:jc w:val="center"/>
                    <w:outlineLvl w:val="0"/>
                    <w:rPr>
                      <w:color w:val="auto"/>
                      <w:highlight w:val="none"/>
                    </w:rPr>
                  </w:pPr>
                  <w:r>
                    <w:rPr>
                      <w:rFonts w:hint="eastAsia"/>
                      <w:color w:val="auto"/>
                      <w:lang w:val="en-US" w:eastAsia="zh-CN"/>
                    </w:rPr>
                    <w:t>依托现有</w:t>
                  </w:r>
                </w:p>
              </w:tc>
            </w:tr>
            <w:tr w14:paraId="5CEE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659B08D5">
                  <w:pPr>
                    <w:pStyle w:val="3"/>
                    <w:outlineLvl w:val="0"/>
                    <w:rPr>
                      <w:color w:val="auto"/>
                    </w:rPr>
                  </w:pPr>
                </w:p>
              </w:tc>
              <w:tc>
                <w:tcPr>
                  <w:tcW w:w="2516" w:type="dxa"/>
                  <w:gridSpan w:val="4"/>
                  <w:vAlign w:val="center"/>
                </w:tcPr>
                <w:p w14:paraId="019BF003">
                  <w:pPr>
                    <w:pStyle w:val="3"/>
                    <w:outlineLvl w:val="0"/>
                    <w:rPr>
                      <w:color w:val="auto"/>
                    </w:rPr>
                  </w:pPr>
                  <w:r>
                    <w:rPr>
                      <w:rFonts w:hint="eastAsia"/>
                      <w:color w:val="auto"/>
                    </w:rPr>
                    <w:t>地下水、土壤防渗</w:t>
                  </w:r>
                </w:p>
              </w:tc>
              <w:tc>
                <w:tcPr>
                  <w:tcW w:w="4318" w:type="dxa"/>
                  <w:vAlign w:val="center"/>
                </w:tcPr>
                <w:p w14:paraId="336087EE">
                  <w:pPr>
                    <w:pStyle w:val="3"/>
                    <w:outlineLvl w:val="0"/>
                    <w:rPr>
                      <w:color w:val="auto"/>
                    </w:rPr>
                  </w:pPr>
                  <w:r>
                    <w:rPr>
                      <w:color w:val="auto"/>
                    </w:rPr>
                    <w:t>隔油池、化粪池</w:t>
                  </w:r>
                  <w:r>
                    <w:rPr>
                      <w:rFonts w:hint="eastAsia"/>
                      <w:color w:val="auto"/>
                    </w:rPr>
                    <w:t>、</w:t>
                  </w:r>
                  <w:r>
                    <w:rPr>
                      <w:color w:val="auto"/>
                    </w:rPr>
                    <w:t>洗车平台</w:t>
                  </w:r>
                  <w:r>
                    <w:rPr>
                      <w:rFonts w:hint="eastAsia"/>
                      <w:color w:val="auto"/>
                    </w:rPr>
                    <w:t>、沉淀池</w:t>
                  </w:r>
                  <w:r>
                    <w:rPr>
                      <w:color w:val="auto"/>
                    </w:rPr>
                    <w:t>等设重点防渗；</w:t>
                  </w:r>
                  <w:r>
                    <w:rPr>
                      <w:rFonts w:hint="eastAsia"/>
                      <w:color w:val="auto"/>
                      <w:lang w:eastAsia="zh-CN"/>
                    </w:rPr>
                    <w:t>一般工业固体废物暂存场所</w:t>
                  </w:r>
                  <w:r>
                    <w:rPr>
                      <w:color w:val="auto"/>
                    </w:rPr>
                    <w:t>、原料</w:t>
                  </w:r>
                  <w:r>
                    <w:rPr>
                      <w:rFonts w:hint="eastAsia"/>
                      <w:color w:val="auto"/>
                    </w:rPr>
                    <w:t>区</w:t>
                  </w:r>
                  <w:r>
                    <w:rPr>
                      <w:color w:val="auto"/>
                    </w:rPr>
                    <w:t>等一般防渗；除重点、一般和绿化外的其他区域</w:t>
                  </w:r>
                </w:p>
              </w:tc>
              <w:tc>
                <w:tcPr>
                  <w:tcW w:w="3840" w:type="dxa"/>
                  <w:vAlign w:val="center"/>
                </w:tcPr>
                <w:p w14:paraId="7C4B0901">
                  <w:pPr>
                    <w:pStyle w:val="3"/>
                    <w:outlineLvl w:val="0"/>
                    <w:rPr>
                      <w:color w:val="auto"/>
                    </w:rPr>
                  </w:pPr>
                  <w:r>
                    <w:rPr>
                      <w:color w:val="auto"/>
                    </w:rPr>
                    <w:t>隔油池</w:t>
                  </w:r>
                  <w:r>
                    <w:rPr>
                      <w:rFonts w:hint="eastAsia"/>
                      <w:color w:val="auto"/>
                    </w:rPr>
                    <w:t>（依托现有）</w:t>
                  </w:r>
                  <w:r>
                    <w:rPr>
                      <w:rFonts w:hint="eastAsia"/>
                      <w:color w:val="auto"/>
                      <w:lang w:val="en-US" w:eastAsia="zh-CN"/>
                    </w:rPr>
                    <w:t>、</w:t>
                  </w:r>
                  <w:r>
                    <w:rPr>
                      <w:color w:val="auto"/>
                    </w:rPr>
                    <w:t>化粪池</w:t>
                  </w:r>
                  <w:r>
                    <w:rPr>
                      <w:rFonts w:hint="eastAsia"/>
                      <w:color w:val="auto"/>
                    </w:rPr>
                    <w:t>（依托现有）</w:t>
                  </w:r>
                  <w:r>
                    <w:rPr>
                      <w:color w:val="auto"/>
                    </w:rPr>
                    <w:t>、洗车平台</w:t>
                  </w:r>
                  <w:r>
                    <w:rPr>
                      <w:rFonts w:hint="eastAsia"/>
                      <w:color w:val="auto"/>
                    </w:rPr>
                    <w:t>（依托现有）、沉淀池（依托现有）</w:t>
                  </w:r>
                  <w:r>
                    <w:rPr>
                      <w:color w:val="auto"/>
                    </w:rPr>
                    <w:t>等设重点防渗；</w:t>
                  </w:r>
                  <w:r>
                    <w:rPr>
                      <w:rFonts w:hint="eastAsia"/>
                      <w:color w:val="auto"/>
                      <w:lang w:eastAsia="zh-CN"/>
                    </w:rPr>
                    <w:t>一般工业固体废物暂存场所（</w:t>
                  </w:r>
                  <w:r>
                    <w:rPr>
                      <w:rFonts w:hint="eastAsia"/>
                      <w:color w:val="auto"/>
                    </w:rPr>
                    <w:t>依托现有</w:t>
                  </w:r>
                  <w:r>
                    <w:rPr>
                      <w:rFonts w:hint="eastAsia"/>
                      <w:color w:val="auto"/>
                      <w:lang w:eastAsia="zh-CN"/>
                    </w:rPr>
                    <w:t>）</w:t>
                  </w:r>
                  <w:r>
                    <w:rPr>
                      <w:color w:val="auto"/>
                    </w:rPr>
                    <w:t>、原料</w:t>
                  </w:r>
                  <w:r>
                    <w:rPr>
                      <w:rFonts w:hint="eastAsia"/>
                      <w:color w:val="auto"/>
                    </w:rPr>
                    <w:t>区</w:t>
                  </w:r>
                  <w:r>
                    <w:rPr>
                      <w:color w:val="auto"/>
                    </w:rPr>
                    <w:t>等</w:t>
                  </w:r>
                  <w:r>
                    <w:rPr>
                      <w:rFonts w:hint="eastAsia"/>
                      <w:color w:val="auto"/>
                      <w:lang w:val="en-US" w:eastAsia="zh-CN"/>
                    </w:rPr>
                    <w:t>简单</w:t>
                  </w:r>
                  <w:r>
                    <w:rPr>
                      <w:color w:val="auto"/>
                    </w:rPr>
                    <w:t>防渗；</w:t>
                  </w:r>
                </w:p>
              </w:tc>
              <w:tc>
                <w:tcPr>
                  <w:tcW w:w="1412" w:type="dxa"/>
                  <w:vAlign w:val="center"/>
                </w:tcPr>
                <w:p w14:paraId="1277575C">
                  <w:pPr>
                    <w:pStyle w:val="3"/>
                    <w:outlineLvl w:val="0"/>
                    <w:rPr>
                      <w:rFonts w:hint="default" w:eastAsia="宋体"/>
                      <w:color w:val="auto"/>
                      <w:lang w:val="en-US" w:eastAsia="zh-CN"/>
                    </w:rPr>
                  </w:pPr>
                  <w:r>
                    <w:rPr>
                      <w:rFonts w:hint="eastAsia"/>
                      <w:color w:val="auto"/>
                      <w:lang w:val="en-US" w:eastAsia="zh-CN"/>
                    </w:rPr>
                    <w:t>依托现有</w:t>
                  </w:r>
                </w:p>
              </w:tc>
            </w:tr>
            <w:tr w14:paraId="5CE7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0229D415">
                  <w:pPr>
                    <w:pStyle w:val="3"/>
                    <w:outlineLvl w:val="0"/>
                    <w:rPr>
                      <w:color w:val="auto"/>
                    </w:rPr>
                  </w:pPr>
                </w:p>
              </w:tc>
              <w:tc>
                <w:tcPr>
                  <w:tcW w:w="2516" w:type="dxa"/>
                  <w:gridSpan w:val="4"/>
                  <w:vAlign w:val="center"/>
                </w:tcPr>
                <w:p w14:paraId="1ED7E21A">
                  <w:pPr>
                    <w:pStyle w:val="3"/>
                    <w:outlineLvl w:val="0"/>
                    <w:rPr>
                      <w:color w:val="auto"/>
                    </w:rPr>
                  </w:pPr>
                  <w:r>
                    <w:rPr>
                      <w:rFonts w:hint="eastAsia"/>
                      <w:color w:val="auto"/>
                    </w:rPr>
                    <w:t>风险</w:t>
                  </w:r>
                </w:p>
              </w:tc>
              <w:tc>
                <w:tcPr>
                  <w:tcW w:w="4318" w:type="dxa"/>
                  <w:vAlign w:val="center"/>
                </w:tcPr>
                <w:p w14:paraId="57C69BBF">
                  <w:pPr>
                    <w:pStyle w:val="3"/>
                    <w:outlineLvl w:val="0"/>
                    <w:rPr>
                      <w:color w:val="auto"/>
                    </w:rPr>
                  </w:pPr>
                  <w:r>
                    <w:rPr>
                      <w:rFonts w:hint="eastAsia"/>
                      <w:color w:val="auto"/>
                    </w:rPr>
                    <w:t>应急预案、消防器材</w:t>
                  </w:r>
                </w:p>
              </w:tc>
              <w:tc>
                <w:tcPr>
                  <w:tcW w:w="3840" w:type="dxa"/>
                  <w:vAlign w:val="center"/>
                </w:tcPr>
                <w:p w14:paraId="7962CA7B">
                  <w:pPr>
                    <w:pStyle w:val="3"/>
                    <w:outlineLvl w:val="0"/>
                    <w:rPr>
                      <w:color w:val="auto"/>
                    </w:rPr>
                  </w:pPr>
                  <w:r>
                    <w:rPr>
                      <w:rFonts w:hint="eastAsia"/>
                      <w:color w:val="auto"/>
                    </w:rPr>
                    <w:t>应急预案、消防器材</w:t>
                  </w:r>
                </w:p>
              </w:tc>
              <w:tc>
                <w:tcPr>
                  <w:tcW w:w="1412" w:type="dxa"/>
                  <w:vAlign w:val="center"/>
                </w:tcPr>
                <w:p w14:paraId="1A701B8E">
                  <w:pPr>
                    <w:pStyle w:val="3"/>
                    <w:outlineLvl w:val="0"/>
                    <w:rPr>
                      <w:color w:val="auto"/>
                    </w:rPr>
                  </w:pPr>
                  <w:r>
                    <w:rPr>
                      <w:rFonts w:hint="eastAsia"/>
                      <w:color w:val="auto"/>
                    </w:rPr>
                    <w:t>新建</w:t>
                  </w:r>
                </w:p>
              </w:tc>
            </w:tr>
            <w:tr w14:paraId="5656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vAlign w:val="center"/>
                </w:tcPr>
                <w:p w14:paraId="56621CD0">
                  <w:pPr>
                    <w:pStyle w:val="3"/>
                    <w:outlineLvl w:val="0"/>
                    <w:rPr>
                      <w:color w:val="auto"/>
                    </w:rPr>
                  </w:pPr>
                </w:p>
              </w:tc>
              <w:tc>
                <w:tcPr>
                  <w:tcW w:w="2516" w:type="dxa"/>
                  <w:gridSpan w:val="4"/>
                  <w:vAlign w:val="center"/>
                </w:tcPr>
                <w:p w14:paraId="0720ABAD">
                  <w:pPr>
                    <w:pStyle w:val="3"/>
                    <w:outlineLvl w:val="0"/>
                    <w:rPr>
                      <w:color w:val="auto"/>
                    </w:rPr>
                  </w:pPr>
                  <w:r>
                    <w:rPr>
                      <w:rFonts w:hint="eastAsia"/>
                      <w:color w:val="auto"/>
                    </w:rPr>
                    <w:t>绿化</w:t>
                  </w:r>
                </w:p>
              </w:tc>
              <w:tc>
                <w:tcPr>
                  <w:tcW w:w="4318" w:type="dxa"/>
                  <w:vAlign w:val="center"/>
                </w:tcPr>
                <w:p w14:paraId="6A85445E">
                  <w:pPr>
                    <w:pStyle w:val="3"/>
                    <w:outlineLvl w:val="0"/>
                    <w:rPr>
                      <w:color w:val="auto"/>
                    </w:rPr>
                  </w:pPr>
                  <w:r>
                    <w:rPr>
                      <w:rFonts w:hint="eastAsia"/>
                      <w:color w:val="auto"/>
                    </w:rPr>
                    <w:t>加强厂区、厂界绿化</w:t>
                  </w:r>
                </w:p>
              </w:tc>
              <w:tc>
                <w:tcPr>
                  <w:tcW w:w="3840" w:type="dxa"/>
                  <w:vAlign w:val="center"/>
                </w:tcPr>
                <w:p w14:paraId="79A893FC">
                  <w:pPr>
                    <w:pStyle w:val="3"/>
                    <w:outlineLvl w:val="0"/>
                    <w:rPr>
                      <w:color w:val="auto"/>
                    </w:rPr>
                  </w:pPr>
                  <w:r>
                    <w:rPr>
                      <w:rFonts w:hint="eastAsia"/>
                      <w:color w:val="auto"/>
                    </w:rPr>
                    <w:t>/</w:t>
                  </w:r>
                </w:p>
              </w:tc>
              <w:tc>
                <w:tcPr>
                  <w:tcW w:w="1412" w:type="dxa"/>
                  <w:vAlign w:val="center"/>
                </w:tcPr>
                <w:p w14:paraId="429497BC">
                  <w:pPr>
                    <w:pStyle w:val="3"/>
                    <w:outlineLvl w:val="0"/>
                    <w:rPr>
                      <w:color w:val="auto"/>
                    </w:rPr>
                  </w:pPr>
                  <w:r>
                    <w:rPr>
                      <w:rFonts w:hint="eastAsia"/>
                      <w:color w:val="auto"/>
                    </w:rPr>
                    <w:t>依托现有</w:t>
                  </w:r>
                </w:p>
              </w:tc>
            </w:tr>
          </w:tbl>
          <w:p w14:paraId="3407767D">
            <w:pPr>
              <w:autoSpaceDE w:val="0"/>
              <w:autoSpaceDN w:val="0"/>
              <w:spacing w:line="460" w:lineRule="exact"/>
              <w:ind w:firstLine="0" w:firstLineChars="0"/>
              <w:jc w:val="center"/>
              <w:rPr>
                <w:rFonts w:ascii="宋体" w:hAnsi="宋体" w:cs="宋体"/>
                <w:color w:val="auto"/>
                <w:kern w:val="0"/>
                <w:szCs w:val="21"/>
              </w:rPr>
            </w:pPr>
          </w:p>
        </w:tc>
      </w:tr>
    </w:tbl>
    <w:p w14:paraId="2203CEC5">
      <w:pPr>
        <w:pStyle w:val="23"/>
        <w:spacing w:before="0" w:beforeAutospacing="0" w:after="0" w:afterAutospacing="0"/>
        <w:ind w:firstLine="0" w:firstLineChars="0"/>
        <w:jc w:val="center"/>
        <w:outlineLvl w:val="0"/>
        <w:rPr>
          <w:rFonts w:ascii="黑体" w:hAnsi="黑体" w:eastAsia="黑体"/>
          <w:snapToGrid w:val="0"/>
          <w:color w:val="auto"/>
          <w:sz w:val="30"/>
          <w:szCs w:val="30"/>
        </w:rPr>
        <w:sectPr>
          <w:pgSz w:w="16840" w:h="11907" w:orient="landscape"/>
          <w:pgMar w:top="1531" w:right="1701" w:bottom="1531" w:left="2127" w:header="851" w:footer="851" w:gutter="0"/>
          <w:pgNumType w:fmt="decimal"/>
          <w:cols w:space="720" w:num="1"/>
          <w:docGrid w:linePitch="312" w:charSpace="0"/>
        </w:sectPr>
      </w:pPr>
    </w:p>
    <w:tbl>
      <w:tblPr>
        <w:tblStyle w:val="26"/>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
        <w:gridCol w:w="8392"/>
      </w:tblGrid>
      <w:tr w14:paraId="29465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4" w:hRule="atLeast"/>
          <w:jc w:val="center"/>
        </w:trPr>
        <w:tc>
          <w:tcPr>
            <w:tcW w:w="478" w:type="dxa"/>
            <w:vAlign w:val="center"/>
          </w:tcPr>
          <w:p w14:paraId="39576B29">
            <w:pPr>
              <w:spacing w:line="240" w:lineRule="auto"/>
              <w:ind w:firstLine="0" w:firstLineChars="0"/>
              <w:jc w:val="center"/>
              <w:rPr>
                <w:rFonts w:ascii="宋体" w:hAnsi="宋体" w:cs="宋体"/>
                <w:color w:val="auto"/>
                <w:kern w:val="0"/>
                <w:szCs w:val="21"/>
              </w:rPr>
            </w:pPr>
          </w:p>
        </w:tc>
        <w:tc>
          <w:tcPr>
            <w:tcW w:w="8392" w:type="dxa"/>
            <w:vAlign w:val="center"/>
          </w:tcPr>
          <w:p w14:paraId="1FA25281">
            <w:pPr>
              <w:ind w:firstLine="0" w:firstLineChars="0"/>
              <w:rPr>
                <w:color w:val="auto"/>
              </w:rPr>
            </w:pPr>
            <w:r>
              <w:rPr>
                <w:rFonts w:hint="eastAsia"/>
                <w:b/>
                <w:bCs/>
                <w:color w:val="auto"/>
              </w:rPr>
              <w:t>3、</w:t>
            </w:r>
            <w:r>
              <w:rPr>
                <w:b/>
                <w:bCs/>
                <w:color w:val="auto"/>
              </w:rPr>
              <w:t>产品方案</w:t>
            </w:r>
          </w:p>
          <w:p w14:paraId="16CFD219">
            <w:pPr>
              <w:ind w:firstLine="480"/>
              <w:rPr>
                <w:color w:val="auto"/>
              </w:rPr>
            </w:pPr>
            <w:r>
              <w:rPr>
                <w:rFonts w:hint="eastAsia"/>
                <w:color w:val="auto"/>
              </w:rPr>
              <w:t>产品具体方案如下：</w:t>
            </w:r>
          </w:p>
          <w:p w14:paraId="71E90435">
            <w:pPr>
              <w:spacing w:line="240" w:lineRule="auto"/>
              <w:ind w:firstLine="0" w:firstLineChars="0"/>
              <w:jc w:val="center"/>
              <w:rPr>
                <w:rFonts w:hAnsi="宋体"/>
                <w:b/>
                <w:bCs/>
                <w:color w:val="auto"/>
              </w:rPr>
            </w:pPr>
            <w:r>
              <w:rPr>
                <w:rFonts w:hint="eastAsia" w:hAnsi="宋体"/>
                <w:b/>
                <w:bCs/>
                <w:color w:val="auto"/>
              </w:rPr>
              <w:t>表2-</w:t>
            </w:r>
            <w:r>
              <w:rPr>
                <w:rFonts w:hint="eastAsia" w:hAnsi="宋体"/>
                <w:b/>
                <w:bCs/>
                <w:color w:val="auto"/>
                <w:lang w:val="en-US" w:eastAsia="zh-CN"/>
              </w:rPr>
              <w:t>3</w:t>
            </w:r>
            <w:r>
              <w:rPr>
                <w:rFonts w:hint="eastAsia" w:hAnsi="宋体"/>
                <w:b/>
                <w:bCs/>
                <w:color w:val="auto"/>
              </w:rPr>
              <w:t xml:space="preserve"> 全厂项目产品方案  单位：</w:t>
            </w:r>
            <w:r>
              <w:rPr>
                <w:rFonts w:hint="eastAsia" w:hAnsi="宋体"/>
                <w:b/>
                <w:bCs/>
                <w:color w:val="auto"/>
                <w:lang w:val="en-US" w:eastAsia="zh-CN"/>
              </w:rPr>
              <w:t>万</w:t>
            </w:r>
            <w:r>
              <w:rPr>
                <w:rFonts w:hint="eastAsia" w:hAnsi="宋体"/>
                <w:b/>
                <w:bCs/>
                <w:color w:val="auto"/>
              </w:rPr>
              <w:t>t/a</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118"/>
              <w:gridCol w:w="1450"/>
              <w:gridCol w:w="1074"/>
              <w:gridCol w:w="3058"/>
            </w:tblGrid>
            <w:tr w14:paraId="3DEF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6" w:type="dxa"/>
                  <w:vAlign w:val="center"/>
                </w:tcPr>
                <w:p w14:paraId="2B323399">
                  <w:pPr>
                    <w:pStyle w:val="3"/>
                    <w:jc w:val="center"/>
                    <w:outlineLvl w:val="0"/>
                    <w:rPr>
                      <w:b/>
                      <w:bCs/>
                      <w:color w:val="auto"/>
                    </w:rPr>
                  </w:pPr>
                  <w:r>
                    <w:rPr>
                      <w:rFonts w:hint="eastAsia"/>
                      <w:b/>
                      <w:bCs/>
                      <w:color w:val="auto"/>
                    </w:rPr>
                    <w:t>产品名称</w:t>
                  </w:r>
                </w:p>
              </w:tc>
              <w:tc>
                <w:tcPr>
                  <w:tcW w:w="1118" w:type="dxa"/>
                  <w:vAlign w:val="center"/>
                </w:tcPr>
                <w:p w14:paraId="2E1A5FB5">
                  <w:pPr>
                    <w:pStyle w:val="3"/>
                    <w:jc w:val="center"/>
                    <w:outlineLvl w:val="0"/>
                    <w:rPr>
                      <w:b/>
                      <w:bCs/>
                      <w:color w:val="auto"/>
                    </w:rPr>
                  </w:pPr>
                  <w:r>
                    <w:rPr>
                      <w:rFonts w:hint="eastAsia"/>
                      <w:b/>
                      <w:bCs/>
                      <w:color w:val="auto"/>
                      <w:lang w:val="en-US" w:eastAsia="zh-CN"/>
                    </w:rPr>
                    <w:t>已批已建工程</w:t>
                  </w:r>
                  <w:r>
                    <w:rPr>
                      <w:rFonts w:hint="eastAsia"/>
                      <w:b/>
                      <w:bCs/>
                      <w:color w:val="auto"/>
                    </w:rPr>
                    <w:t>产能</w:t>
                  </w:r>
                </w:p>
              </w:tc>
              <w:tc>
                <w:tcPr>
                  <w:tcW w:w="1450" w:type="dxa"/>
                  <w:vAlign w:val="center"/>
                </w:tcPr>
                <w:p w14:paraId="14E42191">
                  <w:pPr>
                    <w:pStyle w:val="3"/>
                    <w:jc w:val="center"/>
                    <w:outlineLvl w:val="0"/>
                    <w:rPr>
                      <w:rFonts w:hint="default"/>
                      <w:b/>
                      <w:bCs/>
                      <w:color w:val="auto"/>
                      <w:lang w:val="en-US" w:eastAsia="zh-CN"/>
                    </w:rPr>
                  </w:pPr>
                  <w:r>
                    <w:rPr>
                      <w:rFonts w:hint="eastAsia"/>
                      <w:b/>
                      <w:bCs/>
                      <w:color w:val="auto"/>
                      <w:lang w:val="en-US" w:eastAsia="zh-CN"/>
                    </w:rPr>
                    <w:t>本次扩建工程</w:t>
                  </w:r>
                </w:p>
              </w:tc>
              <w:tc>
                <w:tcPr>
                  <w:tcW w:w="1074" w:type="dxa"/>
                  <w:vAlign w:val="center"/>
                </w:tcPr>
                <w:p w14:paraId="24F36712">
                  <w:pPr>
                    <w:pStyle w:val="3"/>
                    <w:jc w:val="center"/>
                    <w:outlineLvl w:val="0"/>
                    <w:rPr>
                      <w:rFonts w:hint="default"/>
                      <w:b/>
                      <w:bCs/>
                      <w:color w:val="auto"/>
                      <w:lang w:val="en-US" w:eastAsia="zh-CN"/>
                    </w:rPr>
                  </w:pPr>
                  <w:r>
                    <w:rPr>
                      <w:rFonts w:hint="eastAsia"/>
                      <w:b/>
                      <w:bCs/>
                      <w:color w:val="auto"/>
                      <w:lang w:val="en-US" w:eastAsia="zh-CN"/>
                    </w:rPr>
                    <w:t>全厂产能</w:t>
                  </w:r>
                </w:p>
              </w:tc>
              <w:tc>
                <w:tcPr>
                  <w:tcW w:w="3058" w:type="dxa"/>
                  <w:vAlign w:val="center"/>
                </w:tcPr>
                <w:p w14:paraId="2377537A">
                  <w:pPr>
                    <w:pStyle w:val="3"/>
                    <w:jc w:val="center"/>
                    <w:outlineLvl w:val="0"/>
                    <w:rPr>
                      <w:b/>
                      <w:bCs/>
                      <w:color w:val="auto"/>
                    </w:rPr>
                  </w:pPr>
                  <w:r>
                    <w:rPr>
                      <w:rFonts w:hint="eastAsia"/>
                      <w:b/>
                      <w:bCs/>
                      <w:color w:val="auto"/>
                    </w:rPr>
                    <w:t>备注</w:t>
                  </w:r>
                </w:p>
              </w:tc>
            </w:tr>
            <w:tr w14:paraId="76F5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6" w:type="dxa"/>
                  <w:vAlign w:val="center"/>
                </w:tcPr>
                <w:p w14:paraId="6DA17E15">
                  <w:pPr>
                    <w:pStyle w:val="3"/>
                    <w:jc w:val="center"/>
                    <w:outlineLvl w:val="0"/>
                    <w:rPr>
                      <w:b w:val="0"/>
                      <w:bCs w:val="0"/>
                      <w:color w:val="auto"/>
                    </w:rPr>
                  </w:pPr>
                  <w:r>
                    <w:rPr>
                      <w:rFonts w:hint="eastAsia"/>
                      <w:b w:val="0"/>
                      <w:bCs w:val="0"/>
                      <w:color w:val="auto"/>
                    </w:rPr>
                    <w:t>水稳料</w:t>
                  </w:r>
                </w:p>
              </w:tc>
              <w:tc>
                <w:tcPr>
                  <w:tcW w:w="1118" w:type="dxa"/>
                  <w:vAlign w:val="center"/>
                </w:tcPr>
                <w:p w14:paraId="6146DA4C">
                  <w:pPr>
                    <w:pStyle w:val="3"/>
                    <w:jc w:val="center"/>
                    <w:outlineLvl w:val="0"/>
                    <w:rPr>
                      <w:b w:val="0"/>
                      <w:bCs w:val="0"/>
                      <w:color w:val="auto"/>
                    </w:rPr>
                  </w:pPr>
                  <w:r>
                    <w:rPr>
                      <w:rFonts w:hint="eastAsia"/>
                      <w:b w:val="0"/>
                      <w:bCs w:val="0"/>
                      <w:color w:val="auto"/>
                    </w:rPr>
                    <w:t>0</w:t>
                  </w:r>
                </w:p>
              </w:tc>
              <w:tc>
                <w:tcPr>
                  <w:tcW w:w="1450" w:type="dxa"/>
                  <w:vAlign w:val="center"/>
                </w:tcPr>
                <w:p w14:paraId="66B6908C">
                  <w:pPr>
                    <w:pStyle w:val="3"/>
                    <w:jc w:val="center"/>
                    <w:outlineLvl w:val="0"/>
                    <w:rPr>
                      <w:rFonts w:hint="default" w:eastAsia="宋体"/>
                      <w:b w:val="0"/>
                      <w:bCs w:val="0"/>
                      <w:color w:val="auto"/>
                      <w:lang w:val="en-US" w:eastAsia="zh-CN"/>
                    </w:rPr>
                  </w:pPr>
                  <w:r>
                    <w:rPr>
                      <w:rFonts w:hint="eastAsia"/>
                      <w:b w:val="0"/>
                      <w:bCs w:val="0"/>
                      <w:color w:val="auto"/>
                      <w:lang w:val="en-US" w:eastAsia="zh-CN"/>
                    </w:rPr>
                    <w:t>50</w:t>
                  </w:r>
                </w:p>
              </w:tc>
              <w:tc>
                <w:tcPr>
                  <w:tcW w:w="1074" w:type="dxa"/>
                  <w:vAlign w:val="center"/>
                </w:tcPr>
                <w:p w14:paraId="6C1B3DED">
                  <w:pPr>
                    <w:pStyle w:val="3"/>
                    <w:jc w:val="center"/>
                    <w:outlineLvl w:val="0"/>
                    <w:rPr>
                      <w:rFonts w:hint="default"/>
                      <w:b w:val="0"/>
                      <w:bCs w:val="0"/>
                      <w:color w:val="auto"/>
                      <w:lang w:val="en-US" w:eastAsia="zh-CN"/>
                    </w:rPr>
                  </w:pPr>
                  <w:r>
                    <w:rPr>
                      <w:rFonts w:hint="eastAsia"/>
                      <w:b w:val="0"/>
                      <w:bCs w:val="0"/>
                      <w:color w:val="auto"/>
                      <w:lang w:val="en-US" w:eastAsia="zh-CN"/>
                    </w:rPr>
                    <w:t>50</w:t>
                  </w:r>
                </w:p>
              </w:tc>
              <w:tc>
                <w:tcPr>
                  <w:tcW w:w="3058" w:type="dxa"/>
                  <w:vAlign w:val="center"/>
                </w:tcPr>
                <w:p w14:paraId="4E4B8855">
                  <w:pPr>
                    <w:pStyle w:val="3"/>
                    <w:jc w:val="center"/>
                    <w:outlineLvl w:val="0"/>
                    <w:rPr>
                      <w:rFonts w:hint="default" w:eastAsia="宋体"/>
                      <w:color w:val="auto"/>
                      <w:lang w:val="en-US" w:eastAsia="zh-CN"/>
                    </w:rPr>
                  </w:pPr>
                  <w:r>
                    <w:rPr>
                      <w:rFonts w:hint="eastAsia"/>
                      <w:color w:val="auto"/>
                      <w:lang w:val="en-US" w:eastAsia="zh-CN"/>
                    </w:rPr>
                    <w:t>石子57%、石粉30%、水泥5%、水6%，0.075mm、0.6mm、2.36mm、4.75mm等</w:t>
                  </w:r>
                </w:p>
              </w:tc>
            </w:tr>
            <w:tr w14:paraId="77E4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6" w:type="dxa"/>
                  <w:vAlign w:val="center"/>
                </w:tcPr>
                <w:p w14:paraId="1A01F5F4">
                  <w:pPr>
                    <w:pStyle w:val="3"/>
                    <w:jc w:val="center"/>
                    <w:outlineLvl w:val="0"/>
                    <w:rPr>
                      <w:color w:val="auto"/>
                    </w:rPr>
                  </w:pPr>
                  <w:r>
                    <w:rPr>
                      <w:rFonts w:hint="eastAsia"/>
                      <w:color w:val="auto"/>
                      <w:lang w:val="en-US" w:eastAsia="zh-CN"/>
                    </w:rPr>
                    <w:t>机制砂</w:t>
                  </w:r>
                </w:p>
              </w:tc>
              <w:tc>
                <w:tcPr>
                  <w:tcW w:w="1118" w:type="dxa"/>
                  <w:vAlign w:val="center"/>
                </w:tcPr>
                <w:p w14:paraId="5E512E6E">
                  <w:pPr>
                    <w:pStyle w:val="3"/>
                    <w:jc w:val="center"/>
                    <w:outlineLvl w:val="0"/>
                    <w:rPr>
                      <w:rFonts w:hint="default" w:eastAsia="宋体"/>
                      <w:color w:val="auto"/>
                      <w:lang w:val="en-US" w:eastAsia="zh-CN"/>
                    </w:rPr>
                  </w:pPr>
                  <w:r>
                    <w:rPr>
                      <w:rFonts w:hint="eastAsia"/>
                      <w:color w:val="auto"/>
                      <w:lang w:val="en-US" w:eastAsia="zh-CN"/>
                    </w:rPr>
                    <w:t>50</w:t>
                  </w:r>
                </w:p>
              </w:tc>
              <w:tc>
                <w:tcPr>
                  <w:tcW w:w="1450" w:type="dxa"/>
                  <w:vAlign w:val="center"/>
                </w:tcPr>
                <w:p w14:paraId="6F25C05F">
                  <w:pPr>
                    <w:pStyle w:val="3"/>
                    <w:jc w:val="center"/>
                    <w:outlineLvl w:val="0"/>
                    <w:rPr>
                      <w:rFonts w:hint="eastAsia"/>
                      <w:color w:val="auto"/>
                    </w:rPr>
                  </w:pPr>
                  <w:r>
                    <w:rPr>
                      <w:rFonts w:hint="eastAsia"/>
                      <w:color w:val="auto"/>
                    </w:rPr>
                    <w:t>0</w:t>
                  </w:r>
                </w:p>
              </w:tc>
              <w:tc>
                <w:tcPr>
                  <w:tcW w:w="1074" w:type="dxa"/>
                  <w:vAlign w:val="center"/>
                </w:tcPr>
                <w:p w14:paraId="02ABCDC9">
                  <w:pPr>
                    <w:pStyle w:val="3"/>
                    <w:jc w:val="center"/>
                    <w:outlineLvl w:val="0"/>
                    <w:rPr>
                      <w:rFonts w:hint="default" w:eastAsia="宋体"/>
                      <w:color w:val="auto"/>
                      <w:lang w:val="en-US" w:eastAsia="zh-CN"/>
                    </w:rPr>
                  </w:pPr>
                  <w:r>
                    <w:rPr>
                      <w:rFonts w:hint="eastAsia"/>
                      <w:color w:val="auto"/>
                      <w:lang w:val="en-US" w:eastAsia="zh-CN"/>
                    </w:rPr>
                    <w:t>50</w:t>
                  </w:r>
                </w:p>
              </w:tc>
              <w:tc>
                <w:tcPr>
                  <w:tcW w:w="3058" w:type="dxa"/>
                  <w:vAlign w:val="center"/>
                </w:tcPr>
                <w:p w14:paraId="61945D97">
                  <w:pPr>
                    <w:pStyle w:val="3"/>
                    <w:jc w:val="center"/>
                    <w:outlineLvl w:val="0"/>
                    <w:rPr>
                      <w:rFonts w:hint="default"/>
                      <w:color w:val="auto"/>
                      <w:lang w:val="en-US"/>
                    </w:rPr>
                  </w:pPr>
                  <w:r>
                    <w:rPr>
                      <w:rFonts w:hint="default"/>
                      <w:color w:val="auto"/>
                      <w:lang w:val="en-US" w:eastAsia="zh-CN"/>
                    </w:rPr>
                    <w:t>0~5mm</w:t>
                  </w:r>
                  <w:r>
                    <w:rPr>
                      <w:rFonts w:hint="eastAsia"/>
                      <w:color w:val="auto"/>
                      <w:lang w:val="en-US" w:eastAsia="zh-CN"/>
                    </w:rPr>
                    <w:t>等</w:t>
                  </w:r>
                </w:p>
              </w:tc>
            </w:tr>
            <w:tr w14:paraId="1FC2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6" w:type="dxa"/>
                  <w:vAlign w:val="center"/>
                </w:tcPr>
                <w:p w14:paraId="48F69261">
                  <w:pPr>
                    <w:pStyle w:val="3"/>
                    <w:jc w:val="center"/>
                    <w:outlineLvl w:val="0"/>
                    <w:rPr>
                      <w:rFonts w:hint="default"/>
                      <w:color w:val="auto"/>
                      <w:szCs w:val="21"/>
                      <w:lang w:val="en-US" w:eastAsia="zh-CN"/>
                    </w:rPr>
                  </w:pPr>
                  <w:r>
                    <w:rPr>
                      <w:rFonts w:hint="eastAsia"/>
                      <w:color w:val="auto"/>
                      <w:szCs w:val="21"/>
                      <w:lang w:val="en-US" w:eastAsia="zh-CN"/>
                    </w:rPr>
                    <w:t>干混砂浆（砌筑砂浆）</w:t>
                  </w:r>
                </w:p>
              </w:tc>
              <w:tc>
                <w:tcPr>
                  <w:tcW w:w="1118" w:type="dxa"/>
                  <w:vAlign w:val="center"/>
                </w:tcPr>
                <w:p w14:paraId="7863A4DD">
                  <w:pPr>
                    <w:pStyle w:val="3"/>
                    <w:jc w:val="center"/>
                    <w:outlineLvl w:val="0"/>
                    <w:rPr>
                      <w:rFonts w:hint="default" w:eastAsia="宋体"/>
                      <w:color w:val="auto"/>
                      <w:lang w:val="en-US" w:eastAsia="zh-CN"/>
                    </w:rPr>
                  </w:pPr>
                  <w:r>
                    <w:rPr>
                      <w:rFonts w:hint="eastAsia"/>
                      <w:color w:val="auto"/>
                      <w:lang w:val="en-US" w:eastAsia="zh-CN"/>
                    </w:rPr>
                    <w:t>35</w:t>
                  </w:r>
                </w:p>
              </w:tc>
              <w:tc>
                <w:tcPr>
                  <w:tcW w:w="1450" w:type="dxa"/>
                  <w:vAlign w:val="center"/>
                </w:tcPr>
                <w:p w14:paraId="3470149D">
                  <w:pPr>
                    <w:pStyle w:val="3"/>
                    <w:jc w:val="center"/>
                    <w:outlineLvl w:val="0"/>
                    <w:rPr>
                      <w:rFonts w:hint="eastAsia"/>
                      <w:color w:val="auto"/>
                    </w:rPr>
                  </w:pPr>
                  <w:r>
                    <w:rPr>
                      <w:rFonts w:hint="eastAsia"/>
                      <w:color w:val="auto"/>
                    </w:rPr>
                    <w:t>0</w:t>
                  </w:r>
                </w:p>
              </w:tc>
              <w:tc>
                <w:tcPr>
                  <w:tcW w:w="1074" w:type="dxa"/>
                  <w:vAlign w:val="center"/>
                </w:tcPr>
                <w:p w14:paraId="0C12D67D">
                  <w:pPr>
                    <w:pStyle w:val="3"/>
                    <w:jc w:val="center"/>
                    <w:outlineLvl w:val="0"/>
                    <w:rPr>
                      <w:rFonts w:hint="default" w:eastAsia="宋体"/>
                      <w:color w:val="auto"/>
                      <w:lang w:val="en-US" w:eastAsia="zh-CN"/>
                    </w:rPr>
                  </w:pPr>
                  <w:r>
                    <w:rPr>
                      <w:rFonts w:hint="eastAsia"/>
                      <w:color w:val="auto"/>
                      <w:lang w:val="en-US" w:eastAsia="zh-CN"/>
                    </w:rPr>
                    <w:t>35</w:t>
                  </w:r>
                </w:p>
              </w:tc>
              <w:tc>
                <w:tcPr>
                  <w:tcW w:w="3058" w:type="dxa"/>
                  <w:vAlign w:val="center"/>
                </w:tcPr>
                <w:p w14:paraId="515BAA2A">
                  <w:pPr>
                    <w:pStyle w:val="3"/>
                    <w:jc w:val="center"/>
                    <w:outlineLvl w:val="0"/>
                    <w:rPr>
                      <w:rFonts w:hint="default" w:eastAsia="宋体"/>
                      <w:color w:val="auto"/>
                      <w:szCs w:val="21"/>
                      <w:lang w:val="en-US" w:eastAsia="zh-CN"/>
                    </w:rPr>
                  </w:pPr>
                  <w:r>
                    <w:rPr>
                      <w:rFonts w:hint="eastAsia"/>
                      <w:color w:val="auto"/>
                      <w:szCs w:val="21"/>
                      <w:lang w:val="en-US" w:eastAsia="zh-CN"/>
                    </w:rPr>
                    <w:t>M5、</w:t>
                  </w:r>
                  <w:r>
                    <w:rPr>
                      <w:rFonts w:hint="default" w:eastAsia="宋体"/>
                      <w:color w:val="auto"/>
                      <w:szCs w:val="21"/>
                      <w:lang w:val="en-US" w:eastAsia="zh-CN"/>
                    </w:rPr>
                    <w:t>M10</w:t>
                  </w:r>
                  <w:r>
                    <w:rPr>
                      <w:rFonts w:hint="eastAsia"/>
                      <w:color w:val="auto"/>
                      <w:szCs w:val="21"/>
                      <w:lang w:val="en-US" w:eastAsia="zh-CN"/>
                    </w:rPr>
                    <w:t>、M15、M20、M25等</w:t>
                  </w:r>
                </w:p>
              </w:tc>
            </w:tr>
          </w:tbl>
          <w:p w14:paraId="37964213">
            <w:pPr>
              <w:ind w:firstLine="0" w:firstLineChars="0"/>
              <w:rPr>
                <w:b/>
                <w:bCs/>
                <w:color w:val="auto"/>
              </w:rPr>
            </w:pPr>
            <w:r>
              <w:rPr>
                <w:rFonts w:hint="eastAsia"/>
                <w:b/>
                <w:bCs/>
                <w:color w:val="auto"/>
              </w:rPr>
              <w:t>4</w:t>
            </w:r>
            <w:r>
              <w:rPr>
                <w:b/>
                <w:bCs/>
                <w:color w:val="auto"/>
              </w:rPr>
              <w:t>、主要设备</w:t>
            </w:r>
          </w:p>
          <w:p w14:paraId="7B9DDCB1">
            <w:pPr>
              <w:ind w:firstLine="48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主要生产设备详见</w:t>
            </w:r>
            <w:r>
              <w:rPr>
                <w:rFonts w:hint="eastAsia"/>
                <w:color w:val="auto"/>
              </w:rPr>
              <w:t>下表</w:t>
            </w:r>
            <w:r>
              <w:rPr>
                <w:color w:val="auto"/>
              </w:rPr>
              <w:t>。</w:t>
            </w:r>
          </w:p>
          <w:p w14:paraId="7C720912">
            <w:pPr>
              <w:spacing w:line="240" w:lineRule="auto"/>
              <w:ind w:firstLine="0" w:firstLineChars="0"/>
              <w:jc w:val="center"/>
              <w:rPr>
                <w:b/>
                <w:bCs/>
                <w:color w:val="auto"/>
              </w:rPr>
            </w:pPr>
            <w:r>
              <w:rPr>
                <w:b/>
                <w:bCs/>
                <w:color w:val="auto"/>
              </w:rPr>
              <w:t>表2-</w:t>
            </w:r>
            <w:r>
              <w:rPr>
                <w:rFonts w:hint="eastAsia"/>
                <w:b/>
                <w:bCs/>
                <w:color w:val="auto"/>
                <w:lang w:val="en-US" w:eastAsia="zh-CN"/>
              </w:rPr>
              <w:t>4</w:t>
            </w:r>
            <w:r>
              <w:rPr>
                <w:b/>
                <w:bCs/>
                <w:color w:val="auto"/>
              </w:rPr>
              <w:t xml:space="preserve">  </w:t>
            </w:r>
            <w:r>
              <w:rPr>
                <w:rFonts w:hint="eastAsia"/>
                <w:b/>
                <w:bCs/>
                <w:color w:val="auto"/>
              </w:rPr>
              <w:t>全厂</w:t>
            </w:r>
            <w:r>
              <w:rPr>
                <w:b/>
                <w:bCs/>
                <w:color w:val="auto"/>
              </w:rPr>
              <w:t>主要设备</w:t>
            </w:r>
            <w:r>
              <w:rPr>
                <w:rFonts w:hint="eastAsia"/>
                <w:color w:val="auto"/>
              </w:rPr>
              <w:t xml:space="preserve">  </w:t>
            </w:r>
            <w:r>
              <w:rPr>
                <w:rFonts w:hint="eastAsia"/>
                <w:b/>
                <w:bCs/>
                <w:color w:val="auto"/>
              </w:rPr>
              <w:t>单位：台（套）</w:t>
            </w:r>
          </w:p>
          <w:tbl>
            <w:tblPr>
              <w:tblStyle w:val="27"/>
              <w:tblW w:w="8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67"/>
              <w:gridCol w:w="2059"/>
              <w:gridCol w:w="2046"/>
              <w:gridCol w:w="632"/>
              <w:gridCol w:w="2020"/>
            </w:tblGrid>
            <w:tr w14:paraId="017B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66A570DB">
                  <w:pPr>
                    <w:pStyle w:val="3"/>
                    <w:pageBreakBefore w:val="0"/>
                    <w:kinsoku/>
                    <w:wordWrap/>
                    <w:overflowPunct/>
                    <w:topLinePunct w:val="0"/>
                    <w:autoSpaceDE/>
                    <w:autoSpaceDN/>
                    <w:bidi w:val="0"/>
                    <w:adjustRightInd/>
                    <w:snapToGrid/>
                    <w:spacing w:line="240" w:lineRule="auto"/>
                    <w:ind w:firstLine="0" w:firstLineChars="0"/>
                    <w:outlineLvl w:val="0"/>
                    <w:rPr>
                      <w:b/>
                      <w:bCs/>
                      <w:color w:val="auto"/>
                      <w:sz w:val="21"/>
                      <w:szCs w:val="21"/>
                    </w:rPr>
                  </w:pPr>
                  <w:r>
                    <w:rPr>
                      <w:rFonts w:hint="eastAsia"/>
                      <w:b/>
                      <w:bCs/>
                      <w:color w:val="auto"/>
                      <w:sz w:val="21"/>
                      <w:szCs w:val="21"/>
                    </w:rPr>
                    <w:t>序号</w:t>
                  </w:r>
                </w:p>
              </w:tc>
              <w:tc>
                <w:tcPr>
                  <w:tcW w:w="767" w:type="dxa"/>
                  <w:vAlign w:val="center"/>
                </w:tcPr>
                <w:p w14:paraId="43529024">
                  <w:pPr>
                    <w:pStyle w:val="3"/>
                    <w:pageBreakBefore w:val="0"/>
                    <w:kinsoku/>
                    <w:wordWrap/>
                    <w:overflowPunct/>
                    <w:topLinePunct w:val="0"/>
                    <w:autoSpaceDE/>
                    <w:autoSpaceDN/>
                    <w:bidi w:val="0"/>
                    <w:adjustRightInd/>
                    <w:snapToGrid/>
                    <w:spacing w:line="240" w:lineRule="auto"/>
                    <w:ind w:firstLine="0" w:firstLineChars="0"/>
                    <w:outlineLvl w:val="0"/>
                    <w:rPr>
                      <w:rFonts w:hint="eastAsia"/>
                      <w:b/>
                      <w:bCs/>
                      <w:color w:val="auto"/>
                      <w:sz w:val="21"/>
                      <w:szCs w:val="21"/>
                    </w:rPr>
                  </w:pPr>
                  <w:r>
                    <w:rPr>
                      <w:rFonts w:hint="eastAsia"/>
                      <w:b/>
                      <w:bCs/>
                      <w:color w:val="auto"/>
                      <w:sz w:val="21"/>
                      <w:szCs w:val="21"/>
                      <w:lang w:val="en-US" w:eastAsia="zh-CN"/>
                    </w:rPr>
                    <w:t>项目名称</w:t>
                  </w:r>
                </w:p>
              </w:tc>
              <w:tc>
                <w:tcPr>
                  <w:tcW w:w="2059" w:type="dxa"/>
                  <w:vAlign w:val="center"/>
                </w:tcPr>
                <w:p w14:paraId="571A7429">
                  <w:pPr>
                    <w:pStyle w:val="3"/>
                    <w:pageBreakBefore w:val="0"/>
                    <w:kinsoku/>
                    <w:wordWrap/>
                    <w:overflowPunct/>
                    <w:topLinePunct w:val="0"/>
                    <w:autoSpaceDE/>
                    <w:autoSpaceDN/>
                    <w:bidi w:val="0"/>
                    <w:adjustRightInd/>
                    <w:snapToGrid/>
                    <w:spacing w:line="240" w:lineRule="auto"/>
                    <w:ind w:firstLine="0" w:firstLineChars="0"/>
                    <w:outlineLvl w:val="0"/>
                    <w:rPr>
                      <w:b/>
                      <w:bCs/>
                      <w:color w:val="auto"/>
                      <w:sz w:val="21"/>
                      <w:szCs w:val="21"/>
                    </w:rPr>
                  </w:pPr>
                  <w:r>
                    <w:rPr>
                      <w:rFonts w:hint="eastAsia"/>
                      <w:b/>
                      <w:bCs/>
                      <w:color w:val="auto"/>
                      <w:sz w:val="21"/>
                      <w:szCs w:val="21"/>
                    </w:rPr>
                    <w:t>名称</w:t>
                  </w:r>
                </w:p>
              </w:tc>
              <w:tc>
                <w:tcPr>
                  <w:tcW w:w="2046" w:type="dxa"/>
                  <w:vAlign w:val="center"/>
                </w:tcPr>
                <w:p w14:paraId="5279007C">
                  <w:pPr>
                    <w:pStyle w:val="3"/>
                    <w:pageBreakBefore w:val="0"/>
                    <w:kinsoku/>
                    <w:wordWrap/>
                    <w:overflowPunct/>
                    <w:topLinePunct w:val="0"/>
                    <w:autoSpaceDE/>
                    <w:autoSpaceDN/>
                    <w:bidi w:val="0"/>
                    <w:adjustRightInd/>
                    <w:snapToGrid/>
                    <w:spacing w:line="240" w:lineRule="auto"/>
                    <w:ind w:firstLine="0" w:firstLineChars="0"/>
                    <w:outlineLvl w:val="0"/>
                    <w:rPr>
                      <w:b/>
                      <w:bCs/>
                      <w:color w:val="auto"/>
                      <w:sz w:val="21"/>
                      <w:szCs w:val="21"/>
                    </w:rPr>
                  </w:pPr>
                  <w:r>
                    <w:rPr>
                      <w:rFonts w:hint="eastAsia"/>
                      <w:b/>
                      <w:bCs/>
                      <w:color w:val="auto"/>
                      <w:sz w:val="21"/>
                      <w:szCs w:val="21"/>
                    </w:rPr>
                    <w:t>型号</w:t>
                  </w:r>
                </w:p>
              </w:tc>
              <w:tc>
                <w:tcPr>
                  <w:tcW w:w="632" w:type="dxa"/>
                  <w:vAlign w:val="center"/>
                </w:tcPr>
                <w:p w14:paraId="3414957F">
                  <w:pPr>
                    <w:pStyle w:val="3"/>
                    <w:pageBreakBefore w:val="0"/>
                    <w:kinsoku/>
                    <w:wordWrap/>
                    <w:overflowPunct/>
                    <w:topLinePunct w:val="0"/>
                    <w:autoSpaceDE/>
                    <w:autoSpaceDN/>
                    <w:bidi w:val="0"/>
                    <w:adjustRightInd/>
                    <w:snapToGrid/>
                    <w:spacing w:line="240" w:lineRule="auto"/>
                    <w:ind w:firstLine="0" w:firstLineChars="0"/>
                    <w:outlineLvl w:val="0"/>
                    <w:rPr>
                      <w:b/>
                      <w:bCs/>
                      <w:color w:val="auto"/>
                      <w:sz w:val="21"/>
                      <w:szCs w:val="21"/>
                    </w:rPr>
                  </w:pPr>
                  <w:r>
                    <w:rPr>
                      <w:rFonts w:hint="eastAsia"/>
                      <w:b/>
                      <w:bCs/>
                      <w:color w:val="auto"/>
                      <w:sz w:val="21"/>
                      <w:szCs w:val="21"/>
                    </w:rPr>
                    <w:t>数量</w:t>
                  </w:r>
                </w:p>
              </w:tc>
              <w:tc>
                <w:tcPr>
                  <w:tcW w:w="2020" w:type="dxa"/>
                  <w:vAlign w:val="center"/>
                </w:tcPr>
                <w:p w14:paraId="30342FAE">
                  <w:pPr>
                    <w:pStyle w:val="3"/>
                    <w:pageBreakBefore w:val="0"/>
                    <w:kinsoku/>
                    <w:wordWrap/>
                    <w:overflowPunct/>
                    <w:topLinePunct w:val="0"/>
                    <w:autoSpaceDE/>
                    <w:autoSpaceDN/>
                    <w:bidi w:val="0"/>
                    <w:adjustRightInd/>
                    <w:snapToGrid/>
                    <w:spacing w:line="240" w:lineRule="auto"/>
                    <w:ind w:firstLine="0" w:firstLineChars="0"/>
                    <w:outlineLvl w:val="0"/>
                    <w:rPr>
                      <w:b/>
                      <w:bCs/>
                      <w:color w:val="auto"/>
                      <w:sz w:val="21"/>
                      <w:szCs w:val="21"/>
                    </w:rPr>
                  </w:pPr>
                  <w:r>
                    <w:rPr>
                      <w:rFonts w:hint="eastAsia"/>
                      <w:b/>
                      <w:bCs/>
                      <w:color w:val="auto"/>
                      <w:sz w:val="21"/>
                      <w:szCs w:val="21"/>
                    </w:rPr>
                    <w:t>备注</w:t>
                  </w:r>
                </w:p>
              </w:tc>
            </w:tr>
            <w:tr w14:paraId="78AB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Align w:val="center"/>
                </w:tcPr>
                <w:p w14:paraId="4CD9D75E">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1</w:t>
                  </w:r>
                </w:p>
              </w:tc>
              <w:tc>
                <w:tcPr>
                  <w:tcW w:w="767" w:type="dxa"/>
                  <w:vMerge w:val="restart"/>
                  <w:vAlign w:val="center"/>
                </w:tcPr>
                <w:p w14:paraId="5497D7DC">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宋体"/>
                      <w:color w:val="auto"/>
                      <w:sz w:val="21"/>
                      <w:szCs w:val="21"/>
                      <w:lang w:eastAsia="zh-CN"/>
                    </w:rPr>
                  </w:pPr>
                  <w:r>
                    <w:rPr>
                      <w:rFonts w:hint="eastAsia"/>
                      <w:b/>
                      <w:bCs/>
                      <w:color w:val="auto"/>
                      <w:sz w:val="21"/>
                      <w:szCs w:val="21"/>
                    </w:rPr>
                    <w:t>水稳生产线</w:t>
                  </w:r>
                </w:p>
              </w:tc>
              <w:tc>
                <w:tcPr>
                  <w:tcW w:w="2059" w:type="dxa"/>
                  <w:vAlign w:val="center"/>
                </w:tcPr>
                <w:p w14:paraId="7976885D">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bCs/>
                      <w:color w:val="auto"/>
                      <w:sz w:val="21"/>
                      <w:szCs w:val="21"/>
                      <w:lang w:val="en-US" w:eastAsia="zh-CN"/>
                    </w:rPr>
                    <w:t>水泥稳定土拌合站</w:t>
                  </w:r>
                  <w:r>
                    <w:rPr>
                      <w:rFonts w:hint="eastAsia"/>
                      <w:bCs/>
                      <w:color w:val="auto"/>
                      <w:sz w:val="21"/>
                      <w:szCs w:val="21"/>
                    </w:rPr>
                    <w:t>（搅拌</w:t>
                  </w:r>
                  <w:r>
                    <w:rPr>
                      <w:rFonts w:hint="eastAsia"/>
                      <w:bCs/>
                      <w:color w:val="auto"/>
                      <w:sz w:val="21"/>
                      <w:szCs w:val="21"/>
                      <w:lang w:val="en-US" w:eastAsia="zh-CN"/>
                    </w:rPr>
                    <w:t>器</w:t>
                  </w:r>
                  <w:r>
                    <w:rPr>
                      <w:rFonts w:hint="eastAsia"/>
                      <w:bCs/>
                      <w:color w:val="auto"/>
                      <w:sz w:val="21"/>
                      <w:szCs w:val="21"/>
                    </w:rPr>
                    <w:t>）</w:t>
                  </w:r>
                </w:p>
              </w:tc>
              <w:tc>
                <w:tcPr>
                  <w:tcW w:w="2046" w:type="dxa"/>
                  <w:vAlign w:val="center"/>
                </w:tcPr>
                <w:p w14:paraId="2D2E4903">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WCZ-</w:t>
                  </w:r>
                  <w:r>
                    <w:rPr>
                      <w:rFonts w:hint="eastAsia"/>
                      <w:color w:val="auto"/>
                      <w:sz w:val="21"/>
                      <w:szCs w:val="21"/>
                      <w:lang w:val="en-US" w:eastAsia="zh-CN"/>
                    </w:rPr>
                    <w:t>600</w:t>
                  </w:r>
                  <w:r>
                    <w:rPr>
                      <w:rFonts w:hint="eastAsia"/>
                      <w:color w:val="auto"/>
                      <w:sz w:val="21"/>
                      <w:szCs w:val="21"/>
                    </w:rPr>
                    <w:t>型</w:t>
                  </w:r>
                </w:p>
              </w:tc>
              <w:tc>
                <w:tcPr>
                  <w:tcW w:w="632" w:type="dxa"/>
                  <w:vAlign w:val="center"/>
                </w:tcPr>
                <w:p w14:paraId="0A7E7ECF">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1</w:t>
                  </w:r>
                </w:p>
              </w:tc>
              <w:tc>
                <w:tcPr>
                  <w:tcW w:w="2020" w:type="dxa"/>
                  <w:vAlign w:val="center"/>
                </w:tcPr>
                <w:p w14:paraId="4FE8655F">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新增</w:t>
                  </w:r>
                </w:p>
              </w:tc>
            </w:tr>
            <w:tr w14:paraId="0B59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27FF996C">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2</w:t>
                  </w:r>
                </w:p>
              </w:tc>
              <w:tc>
                <w:tcPr>
                  <w:tcW w:w="767" w:type="dxa"/>
                  <w:vMerge w:val="continue"/>
                  <w:vAlign w:val="center"/>
                </w:tcPr>
                <w:p w14:paraId="7B3A397C">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51C57EB9">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水泥筒仓</w:t>
                  </w:r>
                </w:p>
              </w:tc>
              <w:tc>
                <w:tcPr>
                  <w:tcW w:w="2046" w:type="dxa"/>
                  <w:vAlign w:val="center"/>
                </w:tcPr>
                <w:p w14:paraId="1369B2F5">
                  <w:pPr>
                    <w:pStyle w:val="3"/>
                    <w:bidi w:val="0"/>
                    <w:rPr>
                      <w:color w:val="auto"/>
                      <w:szCs w:val="21"/>
                    </w:rPr>
                  </w:pPr>
                  <w:r>
                    <w:rPr>
                      <w:rFonts w:hint="eastAsia"/>
                      <w:sz w:val="21"/>
                      <w:szCs w:val="21"/>
                      <w:lang w:val="en-US" w:eastAsia="zh-CN"/>
                    </w:rPr>
                    <w:t>D＝3m 、H＝7.2m、有效容积120</w:t>
                  </w:r>
                  <w:r>
                    <w:rPr>
                      <w:rFonts w:hint="eastAsia"/>
                      <w:sz w:val="21"/>
                      <w:szCs w:val="21"/>
                    </w:rPr>
                    <w:t>t</w:t>
                  </w:r>
                </w:p>
              </w:tc>
              <w:tc>
                <w:tcPr>
                  <w:tcW w:w="632" w:type="dxa"/>
                  <w:vAlign w:val="center"/>
                </w:tcPr>
                <w:p w14:paraId="38A9E924">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lang w:val="en-US" w:eastAsia="zh-CN"/>
                    </w:rPr>
                    <w:t>3</w:t>
                  </w:r>
                </w:p>
              </w:tc>
              <w:tc>
                <w:tcPr>
                  <w:tcW w:w="2020" w:type="dxa"/>
                  <w:vAlign w:val="center"/>
                </w:tcPr>
                <w:p w14:paraId="38217AB3">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新增</w:t>
                  </w:r>
                </w:p>
              </w:tc>
            </w:tr>
            <w:tr w14:paraId="06EB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09904B4E">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3</w:t>
                  </w:r>
                </w:p>
              </w:tc>
              <w:tc>
                <w:tcPr>
                  <w:tcW w:w="767" w:type="dxa"/>
                  <w:vMerge w:val="continue"/>
                  <w:vAlign w:val="center"/>
                </w:tcPr>
                <w:p w14:paraId="29D24B8B">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456EC550">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骨料斗</w:t>
                  </w:r>
                </w:p>
              </w:tc>
              <w:tc>
                <w:tcPr>
                  <w:tcW w:w="2046" w:type="dxa"/>
                  <w:vAlign w:val="center"/>
                </w:tcPr>
                <w:p w14:paraId="67D78794">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w:t>
                  </w:r>
                </w:p>
              </w:tc>
              <w:tc>
                <w:tcPr>
                  <w:tcW w:w="632" w:type="dxa"/>
                  <w:vAlign w:val="center"/>
                </w:tcPr>
                <w:p w14:paraId="347BEAA8">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宋体"/>
                      <w:color w:val="auto"/>
                      <w:sz w:val="21"/>
                      <w:szCs w:val="21"/>
                      <w:lang w:eastAsia="zh-CN"/>
                    </w:rPr>
                  </w:pPr>
                  <w:r>
                    <w:rPr>
                      <w:rFonts w:hint="eastAsia"/>
                      <w:color w:val="auto"/>
                      <w:sz w:val="21"/>
                      <w:szCs w:val="21"/>
                      <w:lang w:val="en-US" w:eastAsia="zh-CN"/>
                    </w:rPr>
                    <w:t>4</w:t>
                  </w:r>
                </w:p>
              </w:tc>
              <w:tc>
                <w:tcPr>
                  <w:tcW w:w="2020" w:type="dxa"/>
                  <w:vAlign w:val="center"/>
                </w:tcPr>
                <w:p w14:paraId="452BBF95">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新增</w:t>
                  </w:r>
                </w:p>
              </w:tc>
            </w:tr>
            <w:tr w14:paraId="2D0B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31043249">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4</w:t>
                  </w:r>
                </w:p>
              </w:tc>
              <w:tc>
                <w:tcPr>
                  <w:tcW w:w="767" w:type="dxa"/>
                  <w:vMerge w:val="continue"/>
                  <w:vAlign w:val="center"/>
                </w:tcPr>
                <w:p w14:paraId="478424E9">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24A8F148">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水箱</w:t>
                  </w:r>
                </w:p>
              </w:tc>
              <w:tc>
                <w:tcPr>
                  <w:tcW w:w="2046" w:type="dxa"/>
                  <w:vAlign w:val="center"/>
                </w:tcPr>
                <w:p w14:paraId="2C057D0D">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w:t>
                  </w:r>
                </w:p>
              </w:tc>
              <w:tc>
                <w:tcPr>
                  <w:tcW w:w="632" w:type="dxa"/>
                  <w:vAlign w:val="center"/>
                </w:tcPr>
                <w:p w14:paraId="14F51303">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1</w:t>
                  </w:r>
                </w:p>
              </w:tc>
              <w:tc>
                <w:tcPr>
                  <w:tcW w:w="2020" w:type="dxa"/>
                  <w:vAlign w:val="center"/>
                </w:tcPr>
                <w:p w14:paraId="6C19F54E">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新增</w:t>
                  </w:r>
                </w:p>
              </w:tc>
            </w:tr>
            <w:tr w14:paraId="69F6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2C977B4C">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5</w:t>
                  </w:r>
                </w:p>
              </w:tc>
              <w:tc>
                <w:tcPr>
                  <w:tcW w:w="767" w:type="dxa"/>
                  <w:vMerge w:val="continue"/>
                  <w:vAlign w:val="center"/>
                </w:tcPr>
                <w:p w14:paraId="5D3C6C2F">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0A20FE39">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皮带输送系统</w:t>
                  </w:r>
                </w:p>
              </w:tc>
              <w:tc>
                <w:tcPr>
                  <w:tcW w:w="2046" w:type="dxa"/>
                  <w:vAlign w:val="center"/>
                </w:tcPr>
                <w:p w14:paraId="7A8CE9EA">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w:t>
                  </w:r>
                </w:p>
              </w:tc>
              <w:tc>
                <w:tcPr>
                  <w:tcW w:w="632" w:type="dxa"/>
                  <w:vAlign w:val="center"/>
                </w:tcPr>
                <w:p w14:paraId="0056E239">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2</w:t>
                  </w:r>
                </w:p>
              </w:tc>
              <w:tc>
                <w:tcPr>
                  <w:tcW w:w="2020" w:type="dxa"/>
                  <w:vAlign w:val="center"/>
                </w:tcPr>
                <w:p w14:paraId="6C15AA68">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新增</w:t>
                  </w:r>
                </w:p>
              </w:tc>
            </w:tr>
            <w:tr w14:paraId="061C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1F9228EB">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6</w:t>
                  </w:r>
                </w:p>
              </w:tc>
              <w:tc>
                <w:tcPr>
                  <w:tcW w:w="767" w:type="dxa"/>
                  <w:vMerge w:val="continue"/>
                  <w:vAlign w:val="center"/>
                </w:tcPr>
                <w:p w14:paraId="7B7213C1">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1D8EB0DB">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螺旋输送机</w:t>
                  </w:r>
                </w:p>
              </w:tc>
              <w:tc>
                <w:tcPr>
                  <w:tcW w:w="2046" w:type="dxa"/>
                  <w:vAlign w:val="center"/>
                </w:tcPr>
                <w:p w14:paraId="08952FA0">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w:t>
                  </w:r>
                </w:p>
              </w:tc>
              <w:tc>
                <w:tcPr>
                  <w:tcW w:w="632" w:type="dxa"/>
                  <w:vAlign w:val="center"/>
                </w:tcPr>
                <w:p w14:paraId="468F16B7">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1</w:t>
                  </w:r>
                </w:p>
              </w:tc>
              <w:tc>
                <w:tcPr>
                  <w:tcW w:w="2020" w:type="dxa"/>
                  <w:vAlign w:val="center"/>
                </w:tcPr>
                <w:p w14:paraId="0FC1F2DC">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新增</w:t>
                  </w:r>
                </w:p>
              </w:tc>
            </w:tr>
            <w:tr w14:paraId="1FD2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052361B2">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7</w:t>
                  </w:r>
                </w:p>
              </w:tc>
              <w:tc>
                <w:tcPr>
                  <w:tcW w:w="767" w:type="dxa"/>
                  <w:vMerge w:val="continue"/>
                  <w:vAlign w:val="center"/>
                </w:tcPr>
                <w:p w14:paraId="149BE6C6">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4C98D6D9">
                  <w:pPr>
                    <w:pStyle w:val="3"/>
                    <w:pageBreakBefore w:val="0"/>
                    <w:kinsoku/>
                    <w:wordWrap/>
                    <w:overflowPunct/>
                    <w:topLinePunct w:val="0"/>
                    <w:autoSpaceDE/>
                    <w:autoSpaceDN/>
                    <w:bidi w:val="0"/>
                    <w:adjustRightInd/>
                    <w:snapToGrid/>
                    <w:spacing w:line="240" w:lineRule="auto"/>
                    <w:ind w:firstLine="0" w:firstLineChars="0"/>
                    <w:outlineLvl w:val="0"/>
                    <w:rPr>
                      <w:rFonts w:hint="default" w:eastAsia="宋体"/>
                      <w:color w:val="auto"/>
                      <w:sz w:val="21"/>
                      <w:szCs w:val="21"/>
                      <w:lang w:val="en-US" w:eastAsia="zh-CN"/>
                    </w:rPr>
                  </w:pPr>
                  <w:r>
                    <w:rPr>
                      <w:rFonts w:hint="eastAsia"/>
                      <w:color w:val="auto"/>
                      <w:sz w:val="21"/>
                      <w:szCs w:val="21"/>
                      <w:lang w:val="en-US" w:eastAsia="zh-CN"/>
                    </w:rPr>
                    <w:t>皮带秤</w:t>
                  </w:r>
                </w:p>
              </w:tc>
              <w:tc>
                <w:tcPr>
                  <w:tcW w:w="2046" w:type="dxa"/>
                  <w:vAlign w:val="center"/>
                </w:tcPr>
                <w:p w14:paraId="20E8B471">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宋体"/>
                      <w:color w:val="auto"/>
                      <w:sz w:val="21"/>
                      <w:szCs w:val="21"/>
                      <w:lang w:val="en-US" w:eastAsia="zh-CN"/>
                    </w:rPr>
                  </w:pPr>
                  <w:r>
                    <w:rPr>
                      <w:rFonts w:hint="eastAsia"/>
                      <w:color w:val="auto"/>
                      <w:sz w:val="21"/>
                      <w:szCs w:val="21"/>
                      <w:lang w:val="en-US" w:eastAsia="zh-CN"/>
                    </w:rPr>
                    <w:t>/</w:t>
                  </w:r>
                </w:p>
              </w:tc>
              <w:tc>
                <w:tcPr>
                  <w:tcW w:w="632" w:type="dxa"/>
                  <w:vAlign w:val="center"/>
                </w:tcPr>
                <w:p w14:paraId="256FC309">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宋体"/>
                      <w:color w:val="auto"/>
                      <w:sz w:val="21"/>
                      <w:szCs w:val="21"/>
                      <w:lang w:eastAsia="zh-CN"/>
                    </w:rPr>
                  </w:pPr>
                  <w:r>
                    <w:rPr>
                      <w:rFonts w:hint="eastAsia"/>
                      <w:color w:val="auto"/>
                      <w:sz w:val="21"/>
                      <w:szCs w:val="21"/>
                      <w:lang w:val="en-US" w:eastAsia="zh-CN"/>
                    </w:rPr>
                    <w:t>4</w:t>
                  </w:r>
                </w:p>
              </w:tc>
              <w:tc>
                <w:tcPr>
                  <w:tcW w:w="2020" w:type="dxa"/>
                  <w:vAlign w:val="center"/>
                </w:tcPr>
                <w:p w14:paraId="2E92A7B3">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新增</w:t>
                  </w:r>
                </w:p>
              </w:tc>
            </w:tr>
            <w:tr w14:paraId="3EBA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7F5A8ED9">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8</w:t>
                  </w:r>
                </w:p>
              </w:tc>
              <w:tc>
                <w:tcPr>
                  <w:tcW w:w="767" w:type="dxa"/>
                  <w:vMerge w:val="continue"/>
                  <w:vAlign w:val="center"/>
                </w:tcPr>
                <w:p w14:paraId="0B94D579">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1AB4CE05">
                  <w:pPr>
                    <w:pStyle w:val="3"/>
                    <w:pageBreakBefore w:val="0"/>
                    <w:kinsoku/>
                    <w:wordWrap/>
                    <w:overflowPunct/>
                    <w:topLinePunct w:val="0"/>
                    <w:autoSpaceDE/>
                    <w:autoSpaceDN/>
                    <w:bidi w:val="0"/>
                    <w:adjustRightInd/>
                    <w:snapToGrid/>
                    <w:spacing w:line="240" w:lineRule="auto"/>
                    <w:ind w:firstLine="0" w:firstLineChars="0"/>
                    <w:outlineLvl w:val="0"/>
                    <w:rPr>
                      <w:rFonts w:hint="default" w:eastAsia="宋体"/>
                      <w:color w:val="auto"/>
                      <w:sz w:val="21"/>
                      <w:szCs w:val="21"/>
                      <w:lang w:val="en-US" w:eastAsia="zh-CN"/>
                    </w:rPr>
                  </w:pPr>
                  <w:r>
                    <w:rPr>
                      <w:rFonts w:hint="eastAsia"/>
                      <w:color w:val="auto"/>
                      <w:sz w:val="21"/>
                      <w:szCs w:val="21"/>
                      <w:lang w:val="en-US" w:eastAsia="zh-CN"/>
                    </w:rPr>
                    <w:t>末级储料仓</w:t>
                  </w:r>
                </w:p>
              </w:tc>
              <w:tc>
                <w:tcPr>
                  <w:tcW w:w="2046" w:type="dxa"/>
                  <w:vAlign w:val="center"/>
                </w:tcPr>
                <w:p w14:paraId="571D8418">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宋体"/>
                      <w:color w:val="auto"/>
                      <w:sz w:val="21"/>
                      <w:szCs w:val="21"/>
                      <w:lang w:eastAsia="zh-CN"/>
                    </w:rPr>
                  </w:pPr>
                  <w:r>
                    <w:rPr>
                      <w:rFonts w:hint="eastAsia"/>
                      <w:color w:val="auto"/>
                      <w:sz w:val="21"/>
                      <w:szCs w:val="21"/>
                      <w:lang w:val="en-US" w:eastAsia="zh-CN"/>
                    </w:rPr>
                    <w:t>/</w:t>
                  </w:r>
                </w:p>
              </w:tc>
              <w:tc>
                <w:tcPr>
                  <w:tcW w:w="632" w:type="dxa"/>
                  <w:vAlign w:val="center"/>
                </w:tcPr>
                <w:p w14:paraId="15F2B492">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1</w:t>
                  </w:r>
                </w:p>
              </w:tc>
              <w:tc>
                <w:tcPr>
                  <w:tcW w:w="2020" w:type="dxa"/>
                  <w:vAlign w:val="center"/>
                </w:tcPr>
                <w:p w14:paraId="19F50C6F">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新增</w:t>
                  </w:r>
                </w:p>
              </w:tc>
            </w:tr>
            <w:tr w14:paraId="620A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5F020247">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9</w:t>
                  </w:r>
                </w:p>
              </w:tc>
              <w:tc>
                <w:tcPr>
                  <w:tcW w:w="767" w:type="dxa"/>
                  <w:vMerge w:val="continue"/>
                  <w:vAlign w:val="center"/>
                </w:tcPr>
                <w:p w14:paraId="59C907AA">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6BCE6F44">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运输车辆</w:t>
                  </w:r>
                </w:p>
              </w:tc>
              <w:tc>
                <w:tcPr>
                  <w:tcW w:w="2046" w:type="dxa"/>
                  <w:vAlign w:val="center"/>
                </w:tcPr>
                <w:p w14:paraId="5A6F714E">
                  <w:pPr>
                    <w:pStyle w:val="3"/>
                    <w:pageBreakBefore w:val="0"/>
                    <w:kinsoku/>
                    <w:wordWrap/>
                    <w:overflowPunct/>
                    <w:topLinePunct w:val="0"/>
                    <w:autoSpaceDE/>
                    <w:autoSpaceDN/>
                    <w:bidi w:val="0"/>
                    <w:adjustRightInd/>
                    <w:snapToGrid/>
                    <w:spacing w:line="240" w:lineRule="auto"/>
                    <w:ind w:firstLine="0" w:firstLineChars="0"/>
                    <w:outlineLvl w:val="0"/>
                    <w:rPr>
                      <w:rFonts w:hint="default" w:eastAsia="宋体"/>
                      <w:color w:val="auto"/>
                      <w:sz w:val="21"/>
                      <w:szCs w:val="21"/>
                      <w:lang w:val="en-US" w:eastAsia="zh-CN"/>
                    </w:rPr>
                  </w:pPr>
                  <w:r>
                    <w:rPr>
                      <w:rFonts w:hint="eastAsia"/>
                      <w:color w:val="auto"/>
                      <w:sz w:val="21"/>
                      <w:szCs w:val="21"/>
                      <w:lang w:val="en-US" w:eastAsia="zh-CN"/>
                    </w:rPr>
                    <w:t>清洁能源电车</w:t>
                  </w:r>
                </w:p>
              </w:tc>
              <w:tc>
                <w:tcPr>
                  <w:tcW w:w="632" w:type="dxa"/>
                  <w:vAlign w:val="center"/>
                </w:tcPr>
                <w:p w14:paraId="5BEB03D8">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20</w:t>
                  </w:r>
                </w:p>
              </w:tc>
              <w:tc>
                <w:tcPr>
                  <w:tcW w:w="2020" w:type="dxa"/>
                  <w:vAlign w:val="center"/>
                </w:tcPr>
                <w:p w14:paraId="3E0CF740">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新增</w:t>
                  </w:r>
                </w:p>
              </w:tc>
            </w:tr>
            <w:tr w14:paraId="5B5D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1F328458">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10</w:t>
                  </w:r>
                </w:p>
              </w:tc>
              <w:tc>
                <w:tcPr>
                  <w:tcW w:w="767" w:type="dxa"/>
                  <w:vMerge w:val="continue"/>
                  <w:vAlign w:val="center"/>
                </w:tcPr>
                <w:p w14:paraId="57AE6F13">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3BFFE27C">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宋体"/>
                      <w:color w:val="auto"/>
                      <w:sz w:val="21"/>
                      <w:szCs w:val="21"/>
                      <w:lang w:val="en-US" w:eastAsia="zh-CN"/>
                    </w:rPr>
                  </w:pPr>
                  <w:r>
                    <w:rPr>
                      <w:rFonts w:hint="eastAsia"/>
                      <w:color w:val="auto"/>
                      <w:sz w:val="21"/>
                      <w:szCs w:val="21"/>
                      <w:lang w:val="en-US" w:eastAsia="zh-CN"/>
                    </w:rPr>
                    <w:t>水泵</w:t>
                  </w:r>
                </w:p>
              </w:tc>
              <w:tc>
                <w:tcPr>
                  <w:tcW w:w="2046" w:type="dxa"/>
                  <w:vAlign w:val="center"/>
                </w:tcPr>
                <w:p w14:paraId="06C2B960">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w:t>
                  </w:r>
                </w:p>
              </w:tc>
              <w:tc>
                <w:tcPr>
                  <w:tcW w:w="632" w:type="dxa"/>
                  <w:vAlign w:val="center"/>
                </w:tcPr>
                <w:p w14:paraId="12B24FFC">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1</w:t>
                  </w:r>
                </w:p>
              </w:tc>
              <w:tc>
                <w:tcPr>
                  <w:tcW w:w="2020" w:type="dxa"/>
                  <w:vAlign w:val="center"/>
                </w:tcPr>
                <w:p w14:paraId="76D6146E">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新增</w:t>
                  </w:r>
                </w:p>
              </w:tc>
            </w:tr>
            <w:tr w14:paraId="43E3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292FC343">
                  <w:pPr>
                    <w:pStyle w:val="3"/>
                    <w:pageBreakBefore w:val="0"/>
                    <w:kinsoku/>
                    <w:wordWrap/>
                    <w:overflowPunct/>
                    <w:topLinePunct w:val="0"/>
                    <w:autoSpaceDE/>
                    <w:autoSpaceDN/>
                    <w:bidi w:val="0"/>
                    <w:adjustRightInd/>
                    <w:snapToGrid/>
                    <w:spacing w:line="240" w:lineRule="auto"/>
                    <w:ind w:firstLine="0" w:firstLineChars="0"/>
                    <w:outlineLvl w:val="0"/>
                    <w:rPr>
                      <w:rFonts w:hint="default" w:eastAsia="宋体"/>
                      <w:color w:val="auto"/>
                      <w:sz w:val="21"/>
                      <w:szCs w:val="21"/>
                      <w:lang w:val="en-US" w:eastAsia="zh-CN"/>
                    </w:rPr>
                  </w:pPr>
                  <w:r>
                    <w:rPr>
                      <w:rFonts w:hint="eastAsia"/>
                      <w:color w:val="auto"/>
                      <w:sz w:val="21"/>
                      <w:szCs w:val="21"/>
                      <w:lang w:val="en-US" w:eastAsia="zh-CN"/>
                    </w:rPr>
                    <w:t>11</w:t>
                  </w:r>
                </w:p>
              </w:tc>
              <w:tc>
                <w:tcPr>
                  <w:tcW w:w="767" w:type="dxa"/>
                  <w:vMerge w:val="continue"/>
                  <w:vAlign w:val="center"/>
                </w:tcPr>
                <w:p w14:paraId="4F4A5E21">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2A13294A">
                  <w:pPr>
                    <w:pStyle w:val="3"/>
                    <w:pageBreakBefore w:val="0"/>
                    <w:kinsoku/>
                    <w:wordWrap/>
                    <w:overflowPunct/>
                    <w:topLinePunct w:val="0"/>
                    <w:autoSpaceDE/>
                    <w:autoSpaceDN/>
                    <w:bidi w:val="0"/>
                    <w:adjustRightInd/>
                    <w:snapToGrid/>
                    <w:spacing w:line="240" w:lineRule="auto"/>
                    <w:ind w:firstLine="0" w:firstLineChars="0"/>
                    <w:outlineLvl w:val="0"/>
                    <w:rPr>
                      <w:rFonts w:hint="default"/>
                      <w:color w:val="auto"/>
                      <w:sz w:val="21"/>
                      <w:szCs w:val="21"/>
                      <w:lang w:val="en-US" w:eastAsia="zh-CN"/>
                    </w:rPr>
                  </w:pPr>
                  <w:r>
                    <w:rPr>
                      <w:rFonts w:hint="eastAsia"/>
                      <w:color w:val="auto"/>
                      <w:sz w:val="21"/>
                      <w:szCs w:val="21"/>
                      <w:lang w:val="en-US" w:eastAsia="zh-CN"/>
                    </w:rPr>
                    <w:t>喷淋装置</w:t>
                  </w:r>
                </w:p>
              </w:tc>
              <w:tc>
                <w:tcPr>
                  <w:tcW w:w="2046" w:type="dxa"/>
                  <w:vAlign w:val="center"/>
                </w:tcPr>
                <w:p w14:paraId="02DA7F46">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r>
                    <w:rPr>
                      <w:rFonts w:hint="eastAsia"/>
                      <w:color w:val="auto"/>
                      <w:sz w:val="21"/>
                      <w:szCs w:val="21"/>
                      <w:lang w:val="en-US" w:eastAsia="zh-CN"/>
                    </w:rPr>
                    <w:t>0.05</w:t>
                  </w:r>
                  <w:r>
                    <w:rPr>
                      <w:rFonts w:hint="eastAsia"/>
                      <w:color w:val="auto"/>
                      <w:sz w:val="21"/>
                      <w:szCs w:val="21"/>
                    </w:rPr>
                    <w:t>m</w:t>
                  </w:r>
                  <w:r>
                    <w:rPr>
                      <w:rFonts w:hint="eastAsia"/>
                      <w:color w:val="auto"/>
                      <w:sz w:val="21"/>
                      <w:szCs w:val="21"/>
                      <w:vertAlign w:val="superscript"/>
                    </w:rPr>
                    <w:t>3</w:t>
                  </w:r>
                  <w:r>
                    <w:rPr>
                      <w:rFonts w:hint="eastAsia"/>
                      <w:color w:val="auto"/>
                      <w:sz w:val="21"/>
                      <w:szCs w:val="21"/>
                    </w:rPr>
                    <w:t>/d</w:t>
                  </w:r>
                </w:p>
              </w:tc>
              <w:tc>
                <w:tcPr>
                  <w:tcW w:w="632" w:type="dxa"/>
                  <w:vAlign w:val="center"/>
                </w:tcPr>
                <w:p w14:paraId="5E409CF9">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宋体"/>
                      <w:color w:val="auto"/>
                      <w:sz w:val="21"/>
                      <w:szCs w:val="21"/>
                      <w:lang w:val="en-US" w:eastAsia="zh-CN"/>
                    </w:rPr>
                  </w:pPr>
                  <w:r>
                    <w:rPr>
                      <w:rFonts w:hint="eastAsia"/>
                      <w:color w:val="auto"/>
                      <w:sz w:val="21"/>
                      <w:szCs w:val="21"/>
                      <w:lang w:val="en-US" w:eastAsia="zh-CN"/>
                    </w:rPr>
                    <w:t>4</w:t>
                  </w:r>
                </w:p>
              </w:tc>
              <w:tc>
                <w:tcPr>
                  <w:tcW w:w="2020" w:type="dxa"/>
                  <w:vAlign w:val="center"/>
                </w:tcPr>
                <w:p w14:paraId="3FF941F7">
                  <w:pPr>
                    <w:pStyle w:val="3"/>
                    <w:pageBreakBefore w:val="0"/>
                    <w:kinsoku/>
                    <w:wordWrap/>
                    <w:overflowPunct/>
                    <w:topLinePunct w:val="0"/>
                    <w:autoSpaceDE/>
                    <w:autoSpaceDN/>
                    <w:bidi w:val="0"/>
                    <w:adjustRightInd/>
                    <w:snapToGrid/>
                    <w:spacing w:line="240" w:lineRule="auto"/>
                    <w:ind w:firstLine="0" w:firstLineChars="0"/>
                    <w:outlineLvl w:val="0"/>
                    <w:rPr>
                      <w:rFonts w:hint="default" w:eastAsia="宋体"/>
                      <w:color w:val="auto"/>
                      <w:sz w:val="21"/>
                      <w:szCs w:val="21"/>
                      <w:lang w:val="en-US" w:eastAsia="zh-CN"/>
                    </w:rPr>
                  </w:pPr>
                  <w:r>
                    <w:rPr>
                      <w:rFonts w:hint="eastAsia"/>
                      <w:color w:val="auto"/>
                      <w:sz w:val="21"/>
                      <w:szCs w:val="21"/>
                    </w:rPr>
                    <w:t>新增</w:t>
                  </w:r>
                  <w:r>
                    <w:rPr>
                      <w:rFonts w:hint="eastAsia"/>
                      <w:color w:val="auto"/>
                      <w:lang w:val="en-US" w:eastAsia="zh-CN"/>
                    </w:rPr>
                    <w:t>，1套用于扩建项目，剩余3套用于现有工程以新带老使用</w:t>
                  </w:r>
                </w:p>
              </w:tc>
            </w:tr>
            <w:tr w14:paraId="451D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7E8AD080">
                  <w:pPr>
                    <w:pStyle w:val="3"/>
                    <w:pageBreakBefore w:val="0"/>
                    <w:kinsoku/>
                    <w:wordWrap/>
                    <w:overflowPunct/>
                    <w:topLinePunct w:val="0"/>
                    <w:autoSpaceDE/>
                    <w:autoSpaceDN/>
                    <w:bidi w:val="0"/>
                    <w:adjustRightInd/>
                    <w:snapToGrid/>
                    <w:spacing w:line="240" w:lineRule="auto"/>
                    <w:ind w:firstLine="0" w:firstLineChars="0"/>
                    <w:outlineLvl w:val="0"/>
                    <w:rPr>
                      <w:rFonts w:hint="default" w:eastAsia="宋体"/>
                      <w:color w:val="auto"/>
                      <w:sz w:val="21"/>
                      <w:szCs w:val="21"/>
                      <w:lang w:val="en-US" w:eastAsia="zh-CN"/>
                    </w:rPr>
                  </w:pPr>
                  <w:r>
                    <w:rPr>
                      <w:rFonts w:hint="eastAsia"/>
                      <w:color w:val="auto"/>
                      <w:sz w:val="21"/>
                      <w:szCs w:val="21"/>
                      <w:lang w:val="en-US" w:eastAsia="zh-CN"/>
                    </w:rPr>
                    <w:t>12</w:t>
                  </w:r>
                </w:p>
              </w:tc>
              <w:tc>
                <w:tcPr>
                  <w:tcW w:w="767" w:type="dxa"/>
                  <w:vMerge w:val="continue"/>
                  <w:vAlign w:val="center"/>
                </w:tcPr>
                <w:p w14:paraId="502CFC65">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1B83277F">
                  <w:pPr>
                    <w:pStyle w:val="3"/>
                    <w:pageBreakBefore w:val="0"/>
                    <w:kinsoku/>
                    <w:wordWrap/>
                    <w:overflowPunct/>
                    <w:topLinePunct w:val="0"/>
                    <w:autoSpaceDE/>
                    <w:autoSpaceDN/>
                    <w:bidi w:val="0"/>
                    <w:adjustRightInd/>
                    <w:snapToGrid/>
                    <w:spacing w:line="240" w:lineRule="auto"/>
                    <w:ind w:firstLine="0" w:firstLineChars="0"/>
                    <w:outlineLvl w:val="0"/>
                    <w:rPr>
                      <w:rFonts w:hint="default"/>
                      <w:color w:val="auto"/>
                      <w:sz w:val="21"/>
                      <w:szCs w:val="21"/>
                      <w:lang w:val="en-US" w:eastAsia="zh-CN"/>
                    </w:rPr>
                  </w:pPr>
                  <w:r>
                    <w:rPr>
                      <w:rFonts w:hint="eastAsia"/>
                      <w:color w:val="auto"/>
                      <w:sz w:val="21"/>
                      <w:szCs w:val="21"/>
                      <w:lang w:val="en-US" w:eastAsia="zh-CN"/>
                    </w:rPr>
                    <w:t>集气罩</w:t>
                  </w:r>
                </w:p>
              </w:tc>
              <w:tc>
                <w:tcPr>
                  <w:tcW w:w="2046" w:type="dxa"/>
                  <w:vAlign w:val="center"/>
                </w:tcPr>
                <w:p w14:paraId="648818BD">
                  <w:pPr>
                    <w:pStyle w:val="3"/>
                    <w:pageBreakBefore w:val="0"/>
                    <w:kinsoku/>
                    <w:wordWrap/>
                    <w:overflowPunct/>
                    <w:topLinePunct w:val="0"/>
                    <w:autoSpaceDE/>
                    <w:autoSpaceDN/>
                    <w:bidi w:val="0"/>
                    <w:adjustRightInd/>
                    <w:snapToGrid/>
                    <w:spacing w:line="240" w:lineRule="auto"/>
                    <w:ind w:firstLine="0" w:firstLineChars="0"/>
                    <w:outlineLvl w:val="0"/>
                    <w:rPr>
                      <w:rFonts w:hint="default" w:eastAsia="宋体"/>
                      <w:color w:val="auto"/>
                      <w:sz w:val="21"/>
                      <w:szCs w:val="21"/>
                      <w:lang w:val="en-US" w:eastAsia="zh-CN"/>
                    </w:rPr>
                  </w:pPr>
                  <w:r>
                    <w:rPr>
                      <w:rFonts w:hint="eastAsia"/>
                      <w:color w:val="auto"/>
                      <w:sz w:val="21"/>
                      <w:szCs w:val="21"/>
                      <w:lang w:val="en-US" w:eastAsia="zh-CN"/>
                    </w:rPr>
                    <w:t>收集效率为90%</w:t>
                  </w:r>
                </w:p>
              </w:tc>
              <w:tc>
                <w:tcPr>
                  <w:tcW w:w="632" w:type="dxa"/>
                  <w:vAlign w:val="center"/>
                </w:tcPr>
                <w:p w14:paraId="3903D1CF">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宋体"/>
                      <w:color w:val="auto"/>
                      <w:sz w:val="21"/>
                      <w:szCs w:val="21"/>
                      <w:lang w:val="en-US" w:eastAsia="zh-CN"/>
                    </w:rPr>
                  </w:pPr>
                  <w:r>
                    <w:rPr>
                      <w:rFonts w:hint="eastAsia"/>
                      <w:color w:val="auto"/>
                      <w:sz w:val="21"/>
                      <w:szCs w:val="21"/>
                      <w:lang w:val="en-US" w:eastAsia="zh-CN"/>
                    </w:rPr>
                    <w:t>1</w:t>
                  </w:r>
                </w:p>
              </w:tc>
              <w:tc>
                <w:tcPr>
                  <w:tcW w:w="2020" w:type="dxa"/>
                  <w:vAlign w:val="center"/>
                </w:tcPr>
                <w:p w14:paraId="7A342735">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r>
                    <w:rPr>
                      <w:rFonts w:hint="eastAsia"/>
                      <w:color w:val="auto"/>
                      <w:sz w:val="21"/>
                      <w:szCs w:val="21"/>
                    </w:rPr>
                    <w:t>新增</w:t>
                  </w:r>
                </w:p>
              </w:tc>
            </w:tr>
            <w:tr w14:paraId="2B45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56EDF821">
                  <w:pPr>
                    <w:pStyle w:val="3"/>
                    <w:pageBreakBefore w:val="0"/>
                    <w:kinsoku/>
                    <w:wordWrap/>
                    <w:overflowPunct/>
                    <w:topLinePunct w:val="0"/>
                    <w:autoSpaceDE/>
                    <w:autoSpaceDN/>
                    <w:bidi w:val="0"/>
                    <w:adjustRightInd/>
                    <w:snapToGrid/>
                    <w:spacing w:line="240" w:lineRule="auto"/>
                    <w:ind w:firstLine="0" w:firstLineChars="0"/>
                    <w:outlineLvl w:val="0"/>
                    <w:rPr>
                      <w:rFonts w:hint="default" w:eastAsia="宋体"/>
                      <w:color w:val="auto"/>
                      <w:sz w:val="21"/>
                      <w:szCs w:val="21"/>
                      <w:lang w:val="en-US" w:eastAsia="zh-CN"/>
                    </w:rPr>
                  </w:pPr>
                  <w:r>
                    <w:rPr>
                      <w:rFonts w:hint="eastAsia"/>
                      <w:color w:val="auto"/>
                      <w:sz w:val="21"/>
                      <w:szCs w:val="21"/>
                      <w:lang w:val="en-US" w:eastAsia="zh-CN"/>
                    </w:rPr>
                    <w:t>13</w:t>
                  </w:r>
                </w:p>
              </w:tc>
              <w:tc>
                <w:tcPr>
                  <w:tcW w:w="767" w:type="dxa"/>
                  <w:vMerge w:val="continue"/>
                  <w:vAlign w:val="center"/>
                </w:tcPr>
                <w:p w14:paraId="79987F20">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6AF9DCFB">
                  <w:pPr>
                    <w:pStyle w:val="3"/>
                    <w:pageBreakBefore w:val="0"/>
                    <w:kinsoku/>
                    <w:wordWrap/>
                    <w:overflowPunct/>
                    <w:topLinePunct w:val="0"/>
                    <w:autoSpaceDE/>
                    <w:autoSpaceDN/>
                    <w:bidi w:val="0"/>
                    <w:adjustRightInd/>
                    <w:snapToGrid/>
                    <w:spacing w:line="240" w:lineRule="auto"/>
                    <w:ind w:firstLine="0" w:firstLineChars="0"/>
                    <w:outlineLvl w:val="0"/>
                    <w:rPr>
                      <w:rFonts w:hint="default"/>
                      <w:color w:val="auto"/>
                      <w:sz w:val="21"/>
                      <w:szCs w:val="21"/>
                      <w:lang w:val="en-US" w:eastAsia="zh-CN"/>
                    </w:rPr>
                  </w:pPr>
                  <w:r>
                    <w:rPr>
                      <w:rFonts w:hint="eastAsia"/>
                      <w:color w:val="auto"/>
                      <w:sz w:val="21"/>
                      <w:szCs w:val="21"/>
                      <w:lang w:val="en-US" w:eastAsia="zh-CN"/>
                    </w:rPr>
                    <w:t>布袋除尘器</w:t>
                  </w:r>
                </w:p>
              </w:tc>
              <w:tc>
                <w:tcPr>
                  <w:tcW w:w="2046" w:type="dxa"/>
                  <w:vAlign w:val="center"/>
                </w:tcPr>
                <w:p w14:paraId="247D62B5">
                  <w:pPr>
                    <w:pStyle w:val="3"/>
                    <w:pageBreakBefore w:val="0"/>
                    <w:kinsoku/>
                    <w:wordWrap/>
                    <w:overflowPunct/>
                    <w:topLinePunct w:val="0"/>
                    <w:autoSpaceDE/>
                    <w:autoSpaceDN/>
                    <w:bidi w:val="0"/>
                    <w:adjustRightInd/>
                    <w:snapToGrid/>
                    <w:spacing w:line="240" w:lineRule="auto"/>
                    <w:ind w:firstLine="0" w:firstLineChars="0"/>
                    <w:outlineLvl w:val="0"/>
                    <w:rPr>
                      <w:rFonts w:hint="default" w:eastAsia="宋体"/>
                      <w:color w:val="auto"/>
                      <w:sz w:val="21"/>
                      <w:szCs w:val="21"/>
                      <w:lang w:val="en-US" w:eastAsia="zh-CN"/>
                    </w:rPr>
                  </w:pPr>
                  <w:r>
                    <w:rPr>
                      <w:rFonts w:hint="eastAsia"/>
                      <w:color w:val="auto"/>
                      <w:sz w:val="21"/>
                      <w:szCs w:val="21"/>
                      <w:lang w:val="en-US" w:eastAsia="zh-CN"/>
                    </w:rPr>
                    <w:t>处理效率为99%</w:t>
                  </w:r>
                </w:p>
              </w:tc>
              <w:tc>
                <w:tcPr>
                  <w:tcW w:w="632" w:type="dxa"/>
                  <w:vAlign w:val="center"/>
                </w:tcPr>
                <w:p w14:paraId="704240A7">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宋体"/>
                      <w:color w:val="auto"/>
                      <w:sz w:val="21"/>
                      <w:szCs w:val="21"/>
                      <w:lang w:val="en-US" w:eastAsia="zh-CN"/>
                    </w:rPr>
                  </w:pPr>
                  <w:r>
                    <w:rPr>
                      <w:rFonts w:hint="eastAsia"/>
                      <w:color w:val="auto"/>
                      <w:sz w:val="21"/>
                      <w:szCs w:val="21"/>
                      <w:lang w:val="en-US" w:eastAsia="zh-CN"/>
                    </w:rPr>
                    <w:t>1</w:t>
                  </w:r>
                </w:p>
              </w:tc>
              <w:tc>
                <w:tcPr>
                  <w:tcW w:w="2020" w:type="dxa"/>
                  <w:vAlign w:val="center"/>
                </w:tcPr>
                <w:p w14:paraId="7BFE5798">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r>
                    <w:rPr>
                      <w:rFonts w:hint="eastAsia"/>
                      <w:color w:val="auto"/>
                      <w:sz w:val="21"/>
                      <w:szCs w:val="21"/>
                    </w:rPr>
                    <w:t>新增</w:t>
                  </w:r>
                </w:p>
              </w:tc>
            </w:tr>
            <w:tr w14:paraId="0940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3A24D354">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宋体"/>
                      <w:color w:val="auto"/>
                      <w:sz w:val="21"/>
                      <w:szCs w:val="21"/>
                      <w:lang w:eastAsia="zh-CN"/>
                    </w:rPr>
                  </w:pPr>
                  <w:r>
                    <w:rPr>
                      <w:rFonts w:hint="eastAsia"/>
                      <w:color w:val="auto"/>
                      <w:sz w:val="21"/>
                      <w:szCs w:val="21"/>
                    </w:rPr>
                    <w:t>1</w:t>
                  </w:r>
                  <w:r>
                    <w:rPr>
                      <w:rFonts w:hint="eastAsia"/>
                      <w:color w:val="auto"/>
                      <w:sz w:val="21"/>
                      <w:szCs w:val="21"/>
                      <w:lang w:val="en-US" w:eastAsia="zh-CN"/>
                    </w:rPr>
                    <w:t>4</w:t>
                  </w:r>
                </w:p>
              </w:tc>
              <w:tc>
                <w:tcPr>
                  <w:tcW w:w="767" w:type="dxa"/>
                  <w:vMerge w:val="restart"/>
                  <w:vAlign w:val="center"/>
                </w:tcPr>
                <w:p w14:paraId="1F0FECF7">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Theme="minorEastAsia"/>
                      <w:color w:val="auto"/>
                      <w:sz w:val="21"/>
                      <w:szCs w:val="21"/>
                      <w:lang w:eastAsia="zh-CN"/>
                    </w:rPr>
                  </w:pPr>
                  <w:r>
                    <w:rPr>
                      <w:rFonts w:hint="eastAsia" w:eastAsiaTheme="minorEastAsia"/>
                      <w:b/>
                      <w:bCs/>
                      <w:color w:val="auto"/>
                      <w:sz w:val="21"/>
                      <w:szCs w:val="21"/>
                      <w:lang w:val="en-US" w:eastAsia="zh-CN"/>
                    </w:rPr>
                    <w:t>机制砂</w:t>
                  </w:r>
                  <w:r>
                    <w:rPr>
                      <w:rFonts w:hint="eastAsia" w:eastAsiaTheme="minorEastAsia"/>
                      <w:b/>
                      <w:bCs/>
                      <w:color w:val="auto"/>
                      <w:sz w:val="21"/>
                      <w:szCs w:val="21"/>
                    </w:rPr>
                    <w:t>生产线</w:t>
                  </w:r>
                  <w:r>
                    <w:rPr>
                      <w:rFonts w:hint="eastAsia" w:eastAsiaTheme="minorEastAsia"/>
                      <w:b/>
                      <w:bCs/>
                      <w:color w:val="auto"/>
                      <w:sz w:val="21"/>
                      <w:szCs w:val="21"/>
                      <w:lang w:eastAsia="zh-CN"/>
                    </w:rPr>
                    <w:t>、</w:t>
                  </w:r>
                  <w:r>
                    <w:rPr>
                      <w:rFonts w:hint="eastAsia" w:eastAsiaTheme="minorEastAsia"/>
                      <w:b/>
                      <w:bCs/>
                      <w:color w:val="auto"/>
                      <w:sz w:val="21"/>
                      <w:szCs w:val="21"/>
                      <w:lang w:val="en-US" w:eastAsia="zh-CN"/>
                    </w:rPr>
                    <w:t>干混砂浆</w:t>
                  </w:r>
                  <w:r>
                    <w:rPr>
                      <w:rFonts w:hint="eastAsia" w:eastAsiaTheme="minorEastAsia"/>
                      <w:b/>
                      <w:bCs/>
                      <w:color w:val="auto"/>
                      <w:sz w:val="21"/>
                      <w:szCs w:val="21"/>
                    </w:rPr>
                    <w:t>生产线</w:t>
                  </w:r>
                </w:p>
              </w:tc>
              <w:tc>
                <w:tcPr>
                  <w:tcW w:w="2059" w:type="dxa"/>
                  <w:vAlign w:val="center"/>
                </w:tcPr>
                <w:p w14:paraId="4EF141C5">
                  <w:pPr>
                    <w:pStyle w:val="15"/>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eastAsia="宋体" w:cs="Times New Roman"/>
                      <w:bCs/>
                      <w:color w:val="auto"/>
                      <w:sz w:val="21"/>
                      <w:szCs w:val="21"/>
                    </w:rPr>
                    <w:t>锤式破碎机</w:t>
                  </w:r>
                </w:p>
              </w:tc>
              <w:tc>
                <w:tcPr>
                  <w:tcW w:w="2046" w:type="dxa"/>
                  <w:vAlign w:val="center"/>
                </w:tcPr>
                <w:p w14:paraId="16FE1922">
                  <w:pPr>
                    <w:pStyle w:val="3"/>
                    <w:pageBreakBefore w:val="0"/>
                    <w:kinsoku/>
                    <w:wordWrap/>
                    <w:overflowPunct/>
                    <w:topLinePunct w:val="0"/>
                    <w:autoSpaceDE/>
                    <w:autoSpaceDN/>
                    <w:bidi w:val="0"/>
                    <w:adjustRightInd/>
                    <w:snapToGrid/>
                    <w:ind w:firstLine="0" w:firstLineChars="0"/>
                  </w:pPr>
                  <w:r>
                    <w:rPr>
                      <w:rFonts w:hint="default"/>
                    </w:rPr>
                    <w:t>500×300mm</w:t>
                  </w:r>
                </w:p>
              </w:tc>
              <w:tc>
                <w:tcPr>
                  <w:tcW w:w="632" w:type="dxa"/>
                  <w:vAlign w:val="center"/>
                </w:tcPr>
                <w:p w14:paraId="27198484">
                  <w:pPr>
                    <w:pStyle w:val="3"/>
                    <w:pageBreakBefore w:val="0"/>
                    <w:kinsoku/>
                    <w:wordWrap/>
                    <w:overflowPunct/>
                    <w:topLinePunct w:val="0"/>
                    <w:autoSpaceDE/>
                    <w:autoSpaceDN/>
                    <w:bidi w:val="0"/>
                    <w:adjustRightInd/>
                    <w:snapToGrid/>
                    <w:ind w:firstLine="0" w:firstLineChars="0"/>
                  </w:pPr>
                  <w:r>
                    <w:rPr>
                      <w:rFonts w:hint="default"/>
                    </w:rPr>
                    <w:t>1</w:t>
                  </w:r>
                </w:p>
              </w:tc>
              <w:tc>
                <w:tcPr>
                  <w:tcW w:w="2020" w:type="dxa"/>
                  <w:vAlign w:val="center"/>
                </w:tcPr>
                <w:p w14:paraId="276C6C5B">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0AF2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158E9445">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宋体"/>
                      <w:color w:val="auto"/>
                      <w:sz w:val="21"/>
                      <w:szCs w:val="21"/>
                      <w:lang w:eastAsia="zh-CN"/>
                    </w:rPr>
                  </w:pPr>
                  <w:r>
                    <w:rPr>
                      <w:rFonts w:hint="eastAsia"/>
                      <w:color w:val="auto"/>
                      <w:sz w:val="21"/>
                      <w:szCs w:val="21"/>
                    </w:rPr>
                    <w:t>1</w:t>
                  </w:r>
                  <w:r>
                    <w:rPr>
                      <w:rFonts w:hint="eastAsia"/>
                      <w:color w:val="auto"/>
                      <w:sz w:val="21"/>
                      <w:szCs w:val="21"/>
                      <w:lang w:val="en-US" w:eastAsia="zh-CN"/>
                    </w:rPr>
                    <w:t>5</w:t>
                  </w:r>
                </w:p>
              </w:tc>
              <w:tc>
                <w:tcPr>
                  <w:tcW w:w="767" w:type="dxa"/>
                  <w:vMerge w:val="continue"/>
                  <w:vAlign w:val="center"/>
                </w:tcPr>
                <w:p w14:paraId="0102FB28">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3781E61E">
                  <w:pPr>
                    <w:pStyle w:val="15"/>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eastAsia="宋体" w:cs="Times New Roman"/>
                      <w:bCs/>
                      <w:color w:val="auto"/>
                      <w:sz w:val="21"/>
                      <w:szCs w:val="21"/>
                      <w:lang w:val="en-US" w:eastAsia="zh-CN"/>
                    </w:rPr>
                    <w:t>振动筛</w:t>
                  </w:r>
                </w:p>
              </w:tc>
              <w:tc>
                <w:tcPr>
                  <w:tcW w:w="2046" w:type="dxa"/>
                  <w:vAlign w:val="center"/>
                </w:tcPr>
                <w:p w14:paraId="434D5C9E">
                  <w:pPr>
                    <w:pStyle w:val="3"/>
                    <w:pageBreakBefore w:val="0"/>
                    <w:kinsoku/>
                    <w:wordWrap/>
                    <w:overflowPunct/>
                    <w:topLinePunct w:val="0"/>
                    <w:autoSpaceDE/>
                    <w:autoSpaceDN/>
                    <w:bidi w:val="0"/>
                    <w:adjustRightInd/>
                    <w:snapToGrid/>
                    <w:ind w:firstLine="0" w:firstLineChars="0"/>
                  </w:pPr>
                  <w:r>
                    <w:rPr>
                      <w:rFonts w:hint="default"/>
                    </w:rPr>
                    <w:t>100×500mm</w:t>
                  </w:r>
                </w:p>
              </w:tc>
              <w:tc>
                <w:tcPr>
                  <w:tcW w:w="632" w:type="dxa"/>
                  <w:vAlign w:val="center"/>
                </w:tcPr>
                <w:p w14:paraId="48E47143">
                  <w:pPr>
                    <w:pStyle w:val="3"/>
                    <w:pageBreakBefore w:val="0"/>
                    <w:kinsoku/>
                    <w:wordWrap/>
                    <w:overflowPunct/>
                    <w:topLinePunct w:val="0"/>
                    <w:autoSpaceDE/>
                    <w:autoSpaceDN/>
                    <w:bidi w:val="0"/>
                    <w:adjustRightInd/>
                    <w:snapToGrid/>
                    <w:ind w:firstLine="0" w:firstLineChars="0"/>
                  </w:pPr>
                  <w:r>
                    <w:rPr>
                      <w:rFonts w:hint="default"/>
                      <w:lang w:val="en-US" w:eastAsia="zh-CN"/>
                    </w:rPr>
                    <w:t>1</w:t>
                  </w:r>
                </w:p>
              </w:tc>
              <w:tc>
                <w:tcPr>
                  <w:tcW w:w="2020" w:type="dxa"/>
                  <w:vAlign w:val="center"/>
                </w:tcPr>
                <w:p w14:paraId="7B6C0DF5">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26E7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0BA4B555">
                  <w:pPr>
                    <w:pStyle w:val="3"/>
                    <w:pageBreakBefore w:val="0"/>
                    <w:kinsoku/>
                    <w:wordWrap/>
                    <w:overflowPunct/>
                    <w:topLinePunct w:val="0"/>
                    <w:autoSpaceDE/>
                    <w:autoSpaceDN/>
                    <w:bidi w:val="0"/>
                    <w:adjustRightInd/>
                    <w:snapToGrid/>
                    <w:spacing w:line="240" w:lineRule="auto"/>
                    <w:ind w:firstLine="0" w:firstLineChars="0"/>
                    <w:outlineLvl w:val="0"/>
                    <w:rPr>
                      <w:rFonts w:hint="eastAsia" w:eastAsia="宋体"/>
                      <w:color w:val="auto"/>
                      <w:sz w:val="21"/>
                      <w:szCs w:val="21"/>
                      <w:lang w:eastAsia="zh-CN"/>
                    </w:rPr>
                  </w:pPr>
                  <w:r>
                    <w:rPr>
                      <w:rFonts w:hint="eastAsia"/>
                      <w:color w:val="auto"/>
                      <w:sz w:val="21"/>
                      <w:szCs w:val="21"/>
                    </w:rPr>
                    <w:t>1</w:t>
                  </w:r>
                  <w:r>
                    <w:rPr>
                      <w:rFonts w:hint="eastAsia"/>
                      <w:color w:val="auto"/>
                      <w:sz w:val="21"/>
                      <w:szCs w:val="21"/>
                      <w:lang w:val="en-US" w:eastAsia="zh-CN"/>
                    </w:rPr>
                    <w:t>6</w:t>
                  </w:r>
                </w:p>
              </w:tc>
              <w:tc>
                <w:tcPr>
                  <w:tcW w:w="767" w:type="dxa"/>
                  <w:vMerge w:val="continue"/>
                  <w:vAlign w:val="center"/>
                </w:tcPr>
                <w:p w14:paraId="358E2008">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60225493">
                  <w:pPr>
                    <w:pStyle w:val="15"/>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eastAsia="宋体" w:cs="Times New Roman"/>
                      <w:bCs/>
                      <w:color w:val="auto"/>
                      <w:sz w:val="21"/>
                      <w:szCs w:val="21"/>
                      <w:lang w:val="en-US" w:eastAsia="zh-CN"/>
                    </w:rPr>
                    <w:t>喂料机</w:t>
                  </w:r>
                </w:p>
              </w:tc>
              <w:tc>
                <w:tcPr>
                  <w:tcW w:w="2046" w:type="dxa"/>
                  <w:vAlign w:val="center"/>
                </w:tcPr>
                <w:p w14:paraId="7C665D1F">
                  <w:pPr>
                    <w:pStyle w:val="3"/>
                    <w:pageBreakBefore w:val="0"/>
                    <w:kinsoku/>
                    <w:wordWrap/>
                    <w:overflowPunct/>
                    <w:topLinePunct w:val="0"/>
                    <w:autoSpaceDE/>
                    <w:autoSpaceDN/>
                    <w:bidi w:val="0"/>
                    <w:adjustRightInd/>
                    <w:snapToGrid/>
                    <w:ind w:firstLine="0" w:firstLineChars="0"/>
                  </w:pPr>
                  <w:r>
                    <w:rPr>
                      <w:rFonts w:hint="eastAsia"/>
                      <w:lang w:val="en-US" w:eastAsia="zh-CN"/>
                    </w:rPr>
                    <w:t>/</w:t>
                  </w:r>
                </w:p>
              </w:tc>
              <w:tc>
                <w:tcPr>
                  <w:tcW w:w="632" w:type="dxa"/>
                  <w:vAlign w:val="center"/>
                </w:tcPr>
                <w:p w14:paraId="5CF9667B">
                  <w:pPr>
                    <w:pStyle w:val="3"/>
                    <w:pageBreakBefore w:val="0"/>
                    <w:kinsoku/>
                    <w:wordWrap/>
                    <w:overflowPunct/>
                    <w:topLinePunct w:val="0"/>
                    <w:autoSpaceDE/>
                    <w:autoSpaceDN/>
                    <w:bidi w:val="0"/>
                    <w:adjustRightInd/>
                    <w:snapToGrid/>
                    <w:ind w:firstLine="0" w:firstLineChars="0"/>
                  </w:pPr>
                  <w:r>
                    <w:rPr>
                      <w:rFonts w:hint="default"/>
                      <w:lang w:val="en-US" w:eastAsia="zh-CN"/>
                    </w:rPr>
                    <w:t>1</w:t>
                  </w:r>
                </w:p>
              </w:tc>
              <w:tc>
                <w:tcPr>
                  <w:tcW w:w="2020" w:type="dxa"/>
                  <w:vAlign w:val="center"/>
                </w:tcPr>
                <w:p w14:paraId="7B29306D">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50C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67EBC295">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17</w:t>
                  </w:r>
                </w:p>
              </w:tc>
              <w:tc>
                <w:tcPr>
                  <w:tcW w:w="767" w:type="dxa"/>
                  <w:vMerge w:val="continue"/>
                  <w:vAlign w:val="center"/>
                </w:tcPr>
                <w:p w14:paraId="40950722">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01031F65">
                  <w:pPr>
                    <w:pStyle w:val="15"/>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eastAsia="宋体" w:cs="Times New Roman"/>
                      <w:bCs/>
                      <w:color w:val="auto"/>
                      <w:sz w:val="21"/>
                      <w:szCs w:val="21"/>
                      <w:lang w:val="en-US" w:eastAsia="zh-CN"/>
                    </w:rPr>
                    <w:t>上料机</w:t>
                  </w:r>
                </w:p>
              </w:tc>
              <w:tc>
                <w:tcPr>
                  <w:tcW w:w="2046" w:type="dxa"/>
                  <w:vAlign w:val="center"/>
                </w:tcPr>
                <w:p w14:paraId="2CB907C3">
                  <w:pPr>
                    <w:pStyle w:val="3"/>
                    <w:pageBreakBefore w:val="0"/>
                    <w:kinsoku/>
                    <w:wordWrap/>
                    <w:overflowPunct/>
                    <w:topLinePunct w:val="0"/>
                    <w:autoSpaceDE/>
                    <w:autoSpaceDN/>
                    <w:bidi w:val="0"/>
                    <w:adjustRightInd/>
                    <w:snapToGrid/>
                    <w:ind w:firstLine="0" w:firstLineChars="0"/>
                  </w:pPr>
                  <w:r>
                    <w:rPr>
                      <w:rFonts w:hint="eastAsia"/>
                      <w:lang w:val="en-US" w:eastAsia="zh-CN"/>
                    </w:rPr>
                    <w:t>/</w:t>
                  </w:r>
                </w:p>
              </w:tc>
              <w:tc>
                <w:tcPr>
                  <w:tcW w:w="632" w:type="dxa"/>
                  <w:vAlign w:val="center"/>
                </w:tcPr>
                <w:p w14:paraId="190316DF">
                  <w:pPr>
                    <w:pStyle w:val="3"/>
                    <w:pageBreakBefore w:val="0"/>
                    <w:kinsoku/>
                    <w:wordWrap/>
                    <w:overflowPunct/>
                    <w:topLinePunct w:val="0"/>
                    <w:autoSpaceDE/>
                    <w:autoSpaceDN/>
                    <w:bidi w:val="0"/>
                    <w:adjustRightInd/>
                    <w:snapToGrid/>
                    <w:ind w:firstLine="0" w:firstLineChars="0"/>
                  </w:pPr>
                  <w:r>
                    <w:rPr>
                      <w:rFonts w:hint="default"/>
                      <w:lang w:val="en-US" w:eastAsia="zh-CN"/>
                    </w:rPr>
                    <w:t>1</w:t>
                  </w:r>
                </w:p>
              </w:tc>
              <w:tc>
                <w:tcPr>
                  <w:tcW w:w="2020" w:type="dxa"/>
                  <w:vAlign w:val="center"/>
                </w:tcPr>
                <w:p w14:paraId="17A2786D">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65C8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34" w:type="dxa"/>
                  <w:vAlign w:val="center"/>
                </w:tcPr>
                <w:p w14:paraId="79FE0A64">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18</w:t>
                  </w:r>
                </w:p>
              </w:tc>
              <w:tc>
                <w:tcPr>
                  <w:tcW w:w="767" w:type="dxa"/>
                  <w:vMerge w:val="continue"/>
                  <w:vAlign w:val="center"/>
                </w:tcPr>
                <w:p w14:paraId="3A483608">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2F83BA7F">
                  <w:pPr>
                    <w:pStyle w:val="15"/>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eastAsia="宋体" w:cs="Times New Roman"/>
                      <w:bCs/>
                      <w:color w:val="auto"/>
                      <w:sz w:val="21"/>
                      <w:szCs w:val="21"/>
                      <w:lang w:val="en-US" w:eastAsia="zh-CN"/>
                    </w:rPr>
                    <w:t>制砂机</w:t>
                  </w:r>
                </w:p>
              </w:tc>
              <w:tc>
                <w:tcPr>
                  <w:tcW w:w="2046" w:type="dxa"/>
                  <w:vAlign w:val="center"/>
                </w:tcPr>
                <w:p w14:paraId="4DE5EE77">
                  <w:pPr>
                    <w:pStyle w:val="3"/>
                    <w:pageBreakBefore w:val="0"/>
                    <w:kinsoku/>
                    <w:wordWrap/>
                    <w:overflowPunct/>
                    <w:topLinePunct w:val="0"/>
                    <w:autoSpaceDE/>
                    <w:autoSpaceDN/>
                    <w:bidi w:val="0"/>
                    <w:adjustRightInd/>
                    <w:snapToGrid/>
                    <w:ind w:firstLine="0" w:firstLineChars="0"/>
                  </w:pPr>
                  <w:r>
                    <w:rPr>
                      <w:rFonts w:hint="default"/>
                    </w:rPr>
                    <w:t>800×800mm</w:t>
                  </w:r>
                </w:p>
              </w:tc>
              <w:tc>
                <w:tcPr>
                  <w:tcW w:w="632" w:type="dxa"/>
                  <w:vAlign w:val="center"/>
                </w:tcPr>
                <w:p w14:paraId="0CCBB2F8">
                  <w:pPr>
                    <w:pStyle w:val="3"/>
                    <w:pageBreakBefore w:val="0"/>
                    <w:kinsoku/>
                    <w:wordWrap/>
                    <w:overflowPunct/>
                    <w:topLinePunct w:val="0"/>
                    <w:autoSpaceDE/>
                    <w:autoSpaceDN/>
                    <w:bidi w:val="0"/>
                    <w:adjustRightInd/>
                    <w:snapToGrid/>
                    <w:ind w:firstLine="0" w:firstLineChars="0"/>
                  </w:pPr>
                  <w:r>
                    <w:rPr>
                      <w:rFonts w:hint="default"/>
                      <w:lang w:val="en-US" w:eastAsia="zh-CN"/>
                    </w:rPr>
                    <w:t>1</w:t>
                  </w:r>
                </w:p>
              </w:tc>
              <w:tc>
                <w:tcPr>
                  <w:tcW w:w="2020" w:type="dxa"/>
                  <w:vAlign w:val="center"/>
                </w:tcPr>
                <w:p w14:paraId="2D5E76C4">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4524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vAlign w:val="center"/>
                </w:tcPr>
                <w:p w14:paraId="3E4AC53C">
                  <w:pPr>
                    <w:pStyle w:val="3"/>
                    <w:pageBreakBefore w:val="0"/>
                    <w:kinsoku/>
                    <w:wordWrap/>
                    <w:overflowPunct/>
                    <w:topLinePunct w:val="0"/>
                    <w:autoSpaceDE/>
                    <w:autoSpaceDN/>
                    <w:bidi w:val="0"/>
                    <w:adjustRightInd/>
                    <w:snapToGrid/>
                    <w:spacing w:line="240" w:lineRule="auto"/>
                    <w:ind w:firstLine="0" w:firstLineChars="0"/>
                    <w:outlineLvl w:val="0"/>
                    <w:rPr>
                      <w:color w:val="auto"/>
                      <w:sz w:val="21"/>
                      <w:szCs w:val="21"/>
                    </w:rPr>
                  </w:pPr>
                  <w:r>
                    <w:rPr>
                      <w:rFonts w:hint="eastAsia"/>
                      <w:color w:val="auto"/>
                      <w:sz w:val="21"/>
                      <w:szCs w:val="21"/>
                    </w:rPr>
                    <w:t>19</w:t>
                  </w:r>
                </w:p>
              </w:tc>
              <w:tc>
                <w:tcPr>
                  <w:tcW w:w="767" w:type="dxa"/>
                  <w:vMerge w:val="continue"/>
                  <w:vAlign w:val="center"/>
                </w:tcPr>
                <w:p w14:paraId="168798FD">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241DDF39">
                  <w:pPr>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cs="Times New Roman"/>
                      <w:color w:val="auto"/>
                      <w:sz w:val="21"/>
                      <w:szCs w:val="21"/>
                    </w:rPr>
                    <w:t>粉提升机</w:t>
                  </w:r>
                </w:p>
              </w:tc>
              <w:tc>
                <w:tcPr>
                  <w:tcW w:w="2046" w:type="dxa"/>
                  <w:vAlign w:val="center"/>
                </w:tcPr>
                <w:p w14:paraId="3D0856B6">
                  <w:pPr>
                    <w:pStyle w:val="3"/>
                    <w:pageBreakBefore w:val="0"/>
                    <w:kinsoku/>
                    <w:wordWrap/>
                    <w:overflowPunct/>
                    <w:topLinePunct w:val="0"/>
                    <w:autoSpaceDE/>
                    <w:autoSpaceDN/>
                    <w:bidi w:val="0"/>
                    <w:adjustRightInd/>
                    <w:snapToGrid/>
                    <w:ind w:firstLine="0" w:firstLineChars="0"/>
                  </w:pPr>
                  <w:r>
                    <w:rPr>
                      <w:rFonts w:hint="default"/>
                    </w:rPr>
                    <w:t>100×500mm</w:t>
                  </w:r>
                </w:p>
              </w:tc>
              <w:tc>
                <w:tcPr>
                  <w:tcW w:w="632" w:type="dxa"/>
                  <w:vAlign w:val="center"/>
                </w:tcPr>
                <w:p w14:paraId="02FD443A">
                  <w:pPr>
                    <w:pStyle w:val="3"/>
                    <w:pageBreakBefore w:val="0"/>
                    <w:kinsoku/>
                    <w:wordWrap/>
                    <w:overflowPunct/>
                    <w:topLinePunct w:val="0"/>
                    <w:autoSpaceDE/>
                    <w:autoSpaceDN/>
                    <w:bidi w:val="0"/>
                    <w:adjustRightInd/>
                    <w:snapToGrid/>
                    <w:ind w:firstLine="0" w:firstLineChars="0"/>
                  </w:pPr>
                  <w:r>
                    <w:rPr>
                      <w:rFonts w:hint="default"/>
                    </w:rPr>
                    <w:t>1</w:t>
                  </w:r>
                </w:p>
              </w:tc>
              <w:tc>
                <w:tcPr>
                  <w:tcW w:w="2020" w:type="dxa"/>
                  <w:vAlign w:val="center"/>
                </w:tcPr>
                <w:p w14:paraId="534C2917">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707C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77960837">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rPr>
                    <w:t>20</w:t>
                  </w:r>
                </w:p>
              </w:tc>
              <w:tc>
                <w:tcPr>
                  <w:tcW w:w="767" w:type="dxa"/>
                  <w:vMerge w:val="continue"/>
                  <w:vAlign w:val="center"/>
                </w:tcPr>
                <w:p w14:paraId="57392005">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55E2170F">
                  <w:pPr>
                    <w:pageBreakBefore w:val="0"/>
                    <w:widowControl/>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eastAsia="宋体" w:cs="Times New Roman"/>
                      <w:color w:val="auto"/>
                      <w:kern w:val="2"/>
                      <w:sz w:val="21"/>
                      <w:szCs w:val="21"/>
                      <w:shd w:val="clear" w:color="auto" w:fill="FFFFFF"/>
                      <w:lang w:val="en-US" w:eastAsia="zh-CN" w:bidi="ar"/>
                    </w:rPr>
                    <w:t>RCYD除铁器</w:t>
                  </w:r>
                </w:p>
              </w:tc>
              <w:tc>
                <w:tcPr>
                  <w:tcW w:w="2046" w:type="dxa"/>
                  <w:vAlign w:val="center"/>
                </w:tcPr>
                <w:p w14:paraId="3D0CC1FF">
                  <w:pPr>
                    <w:pStyle w:val="3"/>
                    <w:pageBreakBefore w:val="0"/>
                    <w:kinsoku/>
                    <w:wordWrap/>
                    <w:overflowPunct/>
                    <w:topLinePunct w:val="0"/>
                    <w:autoSpaceDE/>
                    <w:autoSpaceDN/>
                    <w:bidi w:val="0"/>
                    <w:adjustRightInd/>
                    <w:snapToGrid/>
                    <w:ind w:firstLine="0" w:firstLineChars="0"/>
                  </w:pPr>
                  <w:r>
                    <w:rPr>
                      <w:rFonts w:hint="default"/>
                      <w:lang w:val="en-US" w:eastAsia="zh-CN"/>
                    </w:rPr>
                    <w:t>/</w:t>
                  </w:r>
                </w:p>
              </w:tc>
              <w:tc>
                <w:tcPr>
                  <w:tcW w:w="632" w:type="dxa"/>
                  <w:vAlign w:val="center"/>
                </w:tcPr>
                <w:p w14:paraId="5519BE16">
                  <w:pPr>
                    <w:pStyle w:val="3"/>
                    <w:pageBreakBefore w:val="0"/>
                    <w:kinsoku/>
                    <w:wordWrap/>
                    <w:overflowPunct/>
                    <w:topLinePunct w:val="0"/>
                    <w:autoSpaceDE/>
                    <w:autoSpaceDN/>
                    <w:bidi w:val="0"/>
                    <w:adjustRightInd/>
                    <w:snapToGrid/>
                    <w:ind w:firstLine="0" w:firstLineChars="0"/>
                  </w:pPr>
                  <w:r>
                    <w:rPr>
                      <w:rFonts w:hint="default"/>
                      <w:lang w:val="en-US" w:eastAsia="zh-CN"/>
                    </w:rPr>
                    <w:t>1</w:t>
                  </w:r>
                </w:p>
              </w:tc>
              <w:tc>
                <w:tcPr>
                  <w:tcW w:w="2020" w:type="dxa"/>
                  <w:vAlign w:val="center"/>
                </w:tcPr>
                <w:p w14:paraId="56EE3AC5">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59EA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56831C34">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rPr>
                    <w:t>21</w:t>
                  </w:r>
                </w:p>
              </w:tc>
              <w:tc>
                <w:tcPr>
                  <w:tcW w:w="767" w:type="dxa"/>
                  <w:vMerge w:val="continue"/>
                  <w:vAlign w:val="center"/>
                </w:tcPr>
                <w:p w14:paraId="0E317782">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023E3A1E">
                  <w:pPr>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cs="Times New Roman"/>
                      <w:color w:val="auto"/>
                      <w:sz w:val="21"/>
                      <w:szCs w:val="21"/>
                    </w:rPr>
                    <w:t>螺旋输送机</w:t>
                  </w:r>
                </w:p>
              </w:tc>
              <w:tc>
                <w:tcPr>
                  <w:tcW w:w="2046" w:type="dxa"/>
                  <w:vAlign w:val="center"/>
                </w:tcPr>
                <w:p w14:paraId="6A7DE607">
                  <w:pPr>
                    <w:pStyle w:val="3"/>
                    <w:pageBreakBefore w:val="0"/>
                    <w:kinsoku/>
                    <w:wordWrap/>
                    <w:overflowPunct/>
                    <w:topLinePunct w:val="0"/>
                    <w:autoSpaceDE/>
                    <w:autoSpaceDN/>
                    <w:bidi w:val="0"/>
                    <w:adjustRightInd/>
                    <w:snapToGrid/>
                    <w:ind w:firstLine="0" w:firstLineChars="0"/>
                  </w:pPr>
                  <w:r>
                    <w:rPr>
                      <w:rFonts w:hint="default"/>
                    </w:rPr>
                    <w:t>ZL-50型</w:t>
                  </w:r>
                </w:p>
              </w:tc>
              <w:tc>
                <w:tcPr>
                  <w:tcW w:w="632" w:type="dxa"/>
                  <w:vAlign w:val="center"/>
                </w:tcPr>
                <w:p w14:paraId="75A2270A">
                  <w:pPr>
                    <w:pStyle w:val="3"/>
                    <w:pageBreakBefore w:val="0"/>
                    <w:kinsoku/>
                    <w:wordWrap/>
                    <w:overflowPunct/>
                    <w:topLinePunct w:val="0"/>
                    <w:autoSpaceDE/>
                    <w:autoSpaceDN/>
                    <w:bidi w:val="0"/>
                    <w:adjustRightInd/>
                    <w:snapToGrid/>
                    <w:ind w:firstLine="0" w:firstLineChars="0"/>
                  </w:pPr>
                  <w:r>
                    <w:rPr>
                      <w:rFonts w:hint="default"/>
                    </w:rPr>
                    <w:t>2</w:t>
                  </w:r>
                </w:p>
              </w:tc>
              <w:tc>
                <w:tcPr>
                  <w:tcW w:w="2020" w:type="dxa"/>
                  <w:vAlign w:val="center"/>
                </w:tcPr>
                <w:p w14:paraId="456EA566">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44F9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4888AA87">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rPr>
                    <w:t>22</w:t>
                  </w:r>
                </w:p>
              </w:tc>
              <w:tc>
                <w:tcPr>
                  <w:tcW w:w="767" w:type="dxa"/>
                  <w:vMerge w:val="continue"/>
                  <w:vAlign w:val="center"/>
                </w:tcPr>
                <w:p w14:paraId="01DE5CE4">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7523D023">
                  <w:pPr>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eastAsia="宋体" w:cs="Times New Roman"/>
                      <w:color w:val="auto"/>
                      <w:spacing w:val="0"/>
                      <w:sz w:val="21"/>
                      <w:szCs w:val="21"/>
                      <w:shd w:val="clear" w:color="auto" w:fill="FFFFFF"/>
                      <w:lang w:bidi="ar"/>
                    </w:rPr>
                    <w:t>轻物质分离器</w:t>
                  </w:r>
                </w:p>
              </w:tc>
              <w:tc>
                <w:tcPr>
                  <w:tcW w:w="2046" w:type="dxa"/>
                  <w:vAlign w:val="center"/>
                </w:tcPr>
                <w:p w14:paraId="375197B8">
                  <w:pPr>
                    <w:pStyle w:val="3"/>
                    <w:pageBreakBefore w:val="0"/>
                    <w:kinsoku/>
                    <w:wordWrap/>
                    <w:overflowPunct/>
                    <w:topLinePunct w:val="0"/>
                    <w:autoSpaceDE/>
                    <w:autoSpaceDN/>
                    <w:bidi w:val="0"/>
                    <w:adjustRightInd/>
                    <w:snapToGrid/>
                    <w:ind w:firstLine="0" w:firstLineChars="0"/>
                  </w:pPr>
                  <w:r>
                    <w:rPr>
                      <w:rFonts w:hint="default"/>
                      <w:lang w:val="en-US" w:eastAsia="zh-CN"/>
                    </w:rPr>
                    <w:t>/</w:t>
                  </w:r>
                </w:p>
              </w:tc>
              <w:tc>
                <w:tcPr>
                  <w:tcW w:w="632" w:type="dxa"/>
                  <w:vAlign w:val="center"/>
                </w:tcPr>
                <w:p w14:paraId="6755C652">
                  <w:pPr>
                    <w:pStyle w:val="3"/>
                    <w:pageBreakBefore w:val="0"/>
                    <w:kinsoku/>
                    <w:wordWrap/>
                    <w:overflowPunct/>
                    <w:topLinePunct w:val="0"/>
                    <w:autoSpaceDE/>
                    <w:autoSpaceDN/>
                    <w:bidi w:val="0"/>
                    <w:adjustRightInd/>
                    <w:snapToGrid/>
                    <w:ind w:firstLine="0" w:firstLineChars="0"/>
                  </w:pPr>
                  <w:r>
                    <w:rPr>
                      <w:rFonts w:hint="default"/>
                      <w:lang w:val="en-US" w:eastAsia="zh-CN"/>
                    </w:rPr>
                    <w:t>1</w:t>
                  </w:r>
                </w:p>
              </w:tc>
              <w:tc>
                <w:tcPr>
                  <w:tcW w:w="2020" w:type="dxa"/>
                  <w:vAlign w:val="center"/>
                </w:tcPr>
                <w:p w14:paraId="42E0E00A">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7679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432BB3B2">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rPr>
                    <w:t>23</w:t>
                  </w:r>
                </w:p>
              </w:tc>
              <w:tc>
                <w:tcPr>
                  <w:tcW w:w="767" w:type="dxa"/>
                  <w:vMerge w:val="continue"/>
                  <w:vAlign w:val="center"/>
                </w:tcPr>
                <w:p w14:paraId="0B2BF17F">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30D6B406">
                  <w:pPr>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cs="Times New Roman"/>
                      <w:color w:val="auto"/>
                      <w:sz w:val="21"/>
                      <w:szCs w:val="21"/>
                    </w:rPr>
                    <w:t>成品砂提升机</w:t>
                  </w:r>
                </w:p>
              </w:tc>
              <w:tc>
                <w:tcPr>
                  <w:tcW w:w="2046" w:type="dxa"/>
                  <w:vAlign w:val="center"/>
                </w:tcPr>
                <w:p w14:paraId="574360CC">
                  <w:pPr>
                    <w:pStyle w:val="3"/>
                    <w:pageBreakBefore w:val="0"/>
                    <w:kinsoku/>
                    <w:wordWrap/>
                    <w:overflowPunct/>
                    <w:topLinePunct w:val="0"/>
                    <w:autoSpaceDE/>
                    <w:autoSpaceDN/>
                    <w:bidi w:val="0"/>
                    <w:adjustRightInd/>
                    <w:snapToGrid/>
                    <w:ind w:firstLine="0" w:firstLineChars="0"/>
                  </w:pPr>
                  <w:r>
                    <w:rPr>
                      <w:rFonts w:hint="eastAsia"/>
                      <w:lang w:val="en-US" w:eastAsia="zh-CN"/>
                    </w:rPr>
                    <w:t>/</w:t>
                  </w:r>
                </w:p>
              </w:tc>
              <w:tc>
                <w:tcPr>
                  <w:tcW w:w="632" w:type="dxa"/>
                  <w:vAlign w:val="center"/>
                </w:tcPr>
                <w:p w14:paraId="0534AAA9">
                  <w:pPr>
                    <w:pStyle w:val="3"/>
                    <w:pageBreakBefore w:val="0"/>
                    <w:kinsoku/>
                    <w:wordWrap/>
                    <w:overflowPunct/>
                    <w:topLinePunct w:val="0"/>
                    <w:autoSpaceDE/>
                    <w:autoSpaceDN/>
                    <w:bidi w:val="0"/>
                    <w:adjustRightInd/>
                    <w:snapToGrid/>
                    <w:ind w:firstLine="0" w:firstLineChars="0"/>
                  </w:pPr>
                  <w:r>
                    <w:rPr>
                      <w:rFonts w:hint="default"/>
                    </w:rPr>
                    <w:t>1</w:t>
                  </w:r>
                </w:p>
              </w:tc>
              <w:tc>
                <w:tcPr>
                  <w:tcW w:w="2020" w:type="dxa"/>
                  <w:vAlign w:val="center"/>
                </w:tcPr>
                <w:p w14:paraId="0070C809">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713F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330ABDD8">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rPr>
                    <w:t>24</w:t>
                  </w:r>
                </w:p>
              </w:tc>
              <w:tc>
                <w:tcPr>
                  <w:tcW w:w="767" w:type="dxa"/>
                  <w:vMerge w:val="continue"/>
                  <w:vAlign w:val="center"/>
                </w:tcPr>
                <w:p w14:paraId="56FF7CA3">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01500D17">
                  <w:pPr>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cs="Times New Roman"/>
                      <w:color w:val="auto"/>
                      <w:sz w:val="21"/>
                      <w:szCs w:val="21"/>
                      <w:lang w:eastAsia="zh-CN"/>
                    </w:rPr>
                    <w:t>砂石粉分离器</w:t>
                  </w:r>
                </w:p>
              </w:tc>
              <w:tc>
                <w:tcPr>
                  <w:tcW w:w="2046" w:type="dxa"/>
                  <w:vAlign w:val="center"/>
                </w:tcPr>
                <w:p w14:paraId="609F2EDD">
                  <w:pPr>
                    <w:pStyle w:val="3"/>
                    <w:pageBreakBefore w:val="0"/>
                    <w:kinsoku/>
                    <w:wordWrap/>
                    <w:overflowPunct/>
                    <w:topLinePunct w:val="0"/>
                    <w:autoSpaceDE/>
                    <w:autoSpaceDN/>
                    <w:bidi w:val="0"/>
                    <w:adjustRightInd/>
                    <w:snapToGrid/>
                    <w:ind w:firstLine="0" w:firstLineChars="0"/>
                  </w:pPr>
                  <w:r>
                    <w:rPr>
                      <w:rFonts w:hint="default"/>
                      <w:lang w:val="en-US" w:eastAsia="zh-CN"/>
                    </w:rPr>
                    <w:t>/</w:t>
                  </w:r>
                </w:p>
              </w:tc>
              <w:tc>
                <w:tcPr>
                  <w:tcW w:w="632" w:type="dxa"/>
                  <w:vAlign w:val="center"/>
                </w:tcPr>
                <w:p w14:paraId="699FD060">
                  <w:pPr>
                    <w:pStyle w:val="3"/>
                    <w:pageBreakBefore w:val="0"/>
                    <w:kinsoku/>
                    <w:wordWrap/>
                    <w:overflowPunct/>
                    <w:topLinePunct w:val="0"/>
                    <w:autoSpaceDE/>
                    <w:autoSpaceDN/>
                    <w:bidi w:val="0"/>
                    <w:adjustRightInd/>
                    <w:snapToGrid/>
                    <w:ind w:firstLine="0" w:firstLineChars="0"/>
                  </w:pPr>
                  <w:r>
                    <w:rPr>
                      <w:rFonts w:hint="default"/>
                      <w:lang w:val="en-US" w:eastAsia="zh-CN"/>
                    </w:rPr>
                    <w:t>1</w:t>
                  </w:r>
                </w:p>
              </w:tc>
              <w:tc>
                <w:tcPr>
                  <w:tcW w:w="2020" w:type="dxa"/>
                  <w:vAlign w:val="center"/>
                </w:tcPr>
                <w:p w14:paraId="33948C89">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5B09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7E63B9B7">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rPr>
                    <w:t>25</w:t>
                  </w:r>
                </w:p>
              </w:tc>
              <w:tc>
                <w:tcPr>
                  <w:tcW w:w="767" w:type="dxa"/>
                  <w:vMerge w:val="continue"/>
                  <w:vAlign w:val="center"/>
                </w:tcPr>
                <w:p w14:paraId="67F111BC">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6A5F23D4">
                  <w:pPr>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cs="Times New Roman"/>
                      <w:color w:val="auto"/>
                      <w:sz w:val="21"/>
                      <w:szCs w:val="21"/>
                    </w:rPr>
                    <w:t>成品砂皮带</w:t>
                  </w:r>
                </w:p>
              </w:tc>
              <w:tc>
                <w:tcPr>
                  <w:tcW w:w="2046" w:type="dxa"/>
                  <w:vAlign w:val="center"/>
                </w:tcPr>
                <w:p w14:paraId="2407AEAE">
                  <w:pPr>
                    <w:pStyle w:val="3"/>
                    <w:pageBreakBefore w:val="0"/>
                    <w:kinsoku/>
                    <w:wordWrap/>
                    <w:overflowPunct/>
                    <w:topLinePunct w:val="0"/>
                    <w:autoSpaceDE/>
                    <w:autoSpaceDN/>
                    <w:bidi w:val="0"/>
                    <w:adjustRightInd/>
                    <w:snapToGrid/>
                    <w:ind w:firstLine="0" w:firstLineChars="0"/>
                  </w:pPr>
                  <w:r>
                    <w:rPr>
                      <w:rFonts w:hint="eastAsia"/>
                      <w:lang w:val="en-US" w:eastAsia="zh-CN"/>
                    </w:rPr>
                    <w:t>/</w:t>
                  </w:r>
                </w:p>
              </w:tc>
              <w:tc>
                <w:tcPr>
                  <w:tcW w:w="632" w:type="dxa"/>
                  <w:vAlign w:val="center"/>
                </w:tcPr>
                <w:p w14:paraId="5227A086">
                  <w:pPr>
                    <w:pStyle w:val="3"/>
                    <w:pageBreakBefore w:val="0"/>
                    <w:kinsoku/>
                    <w:wordWrap/>
                    <w:overflowPunct/>
                    <w:topLinePunct w:val="0"/>
                    <w:autoSpaceDE/>
                    <w:autoSpaceDN/>
                    <w:bidi w:val="0"/>
                    <w:adjustRightInd/>
                    <w:snapToGrid/>
                    <w:ind w:firstLine="0" w:firstLineChars="0"/>
                  </w:pPr>
                  <w:r>
                    <w:rPr>
                      <w:rFonts w:hint="default"/>
                    </w:rPr>
                    <w:t>1</w:t>
                  </w:r>
                </w:p>
              </w:tc>
              <w:tc>
                <w:tcPr>
                  <w:tcW w:w="2020" w:type="dxa"/>
                  <w:vAlign w:val="center"/>
                </w:tcPr>
                <w:p w14:paraId="4640A09C">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150D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1DD57577">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rPr>
                    <w:t>26</w:t>
                  </w:r>
                </w:p>
              </w:tc>
              <w:tc>
                <w:tcPr>
                  <w:tcW w:w="767" w:type="dxa"/>
                  <w:vMerge w:val="continue"/>
                  <w:vAlign w:val="center"/>
                </w:tcPr>
                <w:p w14:paraId="54675840">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59006045">
                  <w:pPr>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cs="Times New Roman"/>
                      <w:color w:val="auto"/>
                      <w:sz w:val="21"/>
                      <w:szCs w:val="21"/>
                    </w:rPr>
                    <w:t>细砂螺旋输送机</w:t>
                  </w:r>
                </w:p>
              </w:tc>
              <w:tc>
                <w:tcPr>
                  <w:tcW w:w="2046" w:type="dxa"/>
                  <w:vAlign w:val="center"/>
                </w:tcPr>
                <w:p w14:paraId="304A8F3F">
                  <w:pPr>
                    <w:pStyle w:val="3"/>
                    <w:pageBreakBefore w:val="0"/>
                    <w:kinsoku/>
                    <w:wordWrap/>
                    <w:overflowPunct/>
                    <w:topLinePunct w:val="0"/>
                    <w:autoSpaceDE/>
                    <w:autoSpaceDN/>
                    <w:bidi w:val="0"/>
                    <w:adjustRightInd/>
                    <w:snapToGrid/>
                    <w:ind w:firstLine="0" w:firstLineChars="0"/>
                  </w:pPr>
                  <w:r>
                    <w:rPr>
                      <w:rFonts w:hint="default"/>
                    </w:rPr>
                    <w:t>800×800mm</w:t>
                  </w:r>
                </w:p>
              </w:tc>
              <w:tc>
                <w:tcPr>
                  <w:tcW w:w="632" w:type="dxa"/>
                  <w:vAlign w:val="center"/>
                </w:tcPr>
                <w:p w14:paraId="62FCF56E">
                  <w:pPr>
                    <w:pStyle w:val="3"/>
                    <w:pageBreakBefore w:val="0"/>
                    <w:kinsoku/>
                    <w:wordWrap/>
                    <w:overflowPunct/>
                    <w:topLinePunct w:val="0"/>
                    <w:autoSpaceDE/>
                    <w:autoSpaceDN/>
                    <w:bidi w:val="0"/>
                    <w:adjustRightInd/>
                    <w:snapToGrid/>
                    <w:ind w:firstLine="0" w:firstLineChars="0"/>
                  </w:pPr>
                  <w:r>
                    <w:rPr>
                      <w:rFonts w:hint="default"/>
                    </w:rPr>
                    <w:t>1</w:t>
                  </w:r>
                </w:p>
              </w:tc>
              <w:tc>
                <w:tcPr>
                  <w:tcW w:w="2020" w:type="dxa"/>
                  <w:vAlign w:val="center"/>
                </w:tcPr>
                <w:p w14:paraId="30C76A47">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4856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21482554">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rPr>
                    <w:t>27</w:t>
                  </w:r>
                </w:p>
              </w:tc>
              <w:tc>
                <w:tcPr>
                  <w:tcW w:w="767" w:type="dxa"/>
                  <w:vMerge w:val="continue"/>
                  <w:vAlign w:val="center"/>
                </w:tcPr>
                <w:p w14:paraId="5955DC95">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4CEEB7CE">
                  <w:pPr>
                    <w:pStyle w:val="15"/>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eastAsia="宋体" w:cs="Times New Roman"/>
                      <w:bCs/>
                      <w:color w:val="auto"/>
                      <w:sz w:val="21"/>
                      <w:szCs w:val="21"/>
                    </w:rPr>
                    <w:t>挖掘机</w:t>
                  </w:r>
                </w:p>
              </w:tc>
              <w:tc>
                <w:tcPr>
                  <w:tcW w:w="2046" w:type="dxa"/>
                  <w:vAlign w:val="center"/>
                </w:tcPr>
                <w:p w14:paraId="5562B829">
                  <w:pPr>
                    <w:pStyle w:val="3"/>
                    <w:pageBreakBefore w:val="0"/>
                    <w:kinsoku/>
                    <w:wordWrap/>
                    <w:overflowPunct/>
                    <w:topLinePunct w:val="0"/>
                    <w:autoSpaceDE/>
                    <w:autoSpaceDN/>
                    <w:bidi w:val="0"/>
                    <w:adjustRightInd/>
                    <w:snapToGrid/>
                    <w:ind w:firstLine="0" w:firstLineChars="0"/>
                  </w:pPr>
                  <w:r>
                    <w:rPr>
                      <w:rFonts w:hint="default"/>
                    </w:rPr>
                    <w:t>CAT330</w:t>
                  </w:r>
                </w:p>
              </w:tc>
              <w:tc>
                <w:tcPr>
                  <w:tcW w:w="632" w:type="dxa"/>
                  <w:vAlign w:val="center"/>
                </w:tcPr>
                <w:p w14:paraId="3203DBFA">
                  <w:pPr>
                    <w:pStyle w:val="3"/>
                    <w:pageBreakBefore w:val="0"/>
                    <w:kinsoku/>
                    <w:wordWrap/>
                    <w:overflowPunct/>
                    <w:topLinePunct w:val="0"/>
                    <w:autoSpaceDE/>
                    <w:autoSpaceDN/>
                    <w:bidi w:val="0"/>
                    <w:adjustRightInd/>
                    <w:snapToGrid/>
                    <w:ind w:firstLine="0" w:firstLineChars="0"/>
                  </w:pPr>
                  <w:r>
                    <w:rPr>
                      <w:rFonts w:hint="default"/>
                    </w:rPr>
                    <w:t>1</w:t>
                  </w:r>
                </w:p>
              </w:tc>
              <w:tc>
                <w:tcPr>
                  <w:tcW w:w="2020" w:type="dxa"/>
                  <w:vAlign w:val="center"/>
                </w:tcPr>
                <w:p w14:paraId="2767D3C8">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43AA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54E5D552">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rPr>
                    <w:t>28</w:t>
                  </w:r>
                </w:p>
              </w:tc>
              <w:tc>
                <w:tcPr>
                  <w:tcW w:w="767" w:type="dxa"/>
                  <w:vMerge w:val="continue"/>
                  <w:vAlign w:val="center"/>
                </w:tcPr>
                <w:p w14:paraId="1A6750D0">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32AFB1ED">
                  <w:pPr>
                    <w:pStyle w:val="15"/>
                    <w:pageBreakBefore w:val="0"/>
                    <w:kinsoku/>
                    <w:wordWrap/>
                    <w:overflowPunct/>
                    <w:topLinePunct w:val="0"/>
                    <w:autoSpaceDE/>
                    <w:autoSpaceDN/>
                    <w:bidi w:val="0"/>
                    <w:adjustRightInd/>
                    <w:snapToGrid/>
                    <w:spacing w:line="240" w:lineRule="auto"/>
                    <w:ind w:firstLine="0" w:firstLineChars="0"/>
                    <w:jc w:val="center"/>
                    <w:rPr>
                      <w:color w:val="auto"/>
                      <w:sz w:val="21"/>
                      <w:szCs w:val="21"/>
                    </w:rPr>
                  </w:pPr>
                  <w:r>
                    <w:rPr>
                      <w:rFonts w:hint="default" w:ascii="Times New Roman" w:hAnsi="Times New Roman" w:eastAsia="宋体" w:cs="Times New Roman"/>
                      <w:bCs/>
                      <w:color w:val="auto"/>
                      <w:sz w:val="21"/>
                      <w:szCs w:val="21"/>
                    </w:rPr>
                    <w:t>胶带传输机</w:t>
                  </w:r>
                </w:p>
              </w:tc>
              <w:tc>
                <w:tcPr>
                  <w:tcW w:w="2046" w:type="dxa"/>
                  <w:vAlign w:val="center"/>
                </w:tcPr>
                <w:p w14:paraId="742C7AE0">
                  <w:pPr>
                    <w:pStyle w:val="3"/>
                    <w:pageBreakBefore w:val="0"/>
                    <w:kinsoku/>
                    <w:wordWrap/>
                    <w:overflowPunct/>
                    <w:topLinePunct w:val="0"/>
                    <w:autoSpaceDE/>
                    <w:autoSpaceDN/>
                    <w:bidi w:val="0"/>
                    <w:adjustRightInd/>
                    <w:snapToGrid/>
                    <w:ind w:firstLine="0" w:firstLineChars="0"/>
                  </w:pPr>
                  <w:r>
                    <w:rPr>
                      <w:rFonts w:hint="eastAsia"/>
                      <w:lang w:val="en-US" w:eastAsia="zh-CN"/>
                    </w:rPr>
                    <w:t>/</w:t>
                  </w:r>
                </w:p>
              </w:tc>
              <w:tc>
                <w:tcPr>
                  <w:tcW w:w="632" w:type="dxa"/>
                  <w:vAlign w:val="center"/>
                </w:tcPr>
                <w:p w14:paraId="7F7FEA7E">
                  <w:pPr>
                    <w:pStyle w:val="3"/>
                    <w:pageBreakBefore w:val="0"/>
                    <w:kinsoku/>
                    <w:wordWrap/>
                    <w:overflowPunct/>
                    <w:topLinePunct w:val="0"/>
                    <w:autoSpaceDE/>
                    <w:autoSpaceDN/>
                    <w:bidi w:val="0"/>
                    <w:adjustRightInd/>
                    <w:snapToGrid/>
                    <w:ind w:firstLine="0" w:firstLineChars="0"/>
                  </w:pPr>
                  <w:r>
                    <w:rPr>
                      <w:rFonts w:hint="default"/>
                    </w:rPr>
                    <w:t>1</w:t>
                  </w:r>
                </w:p>
              </w:tc>
              <w:tc>
                <w:tcPr>
                  <w:tcW w:w="2020" w:type="dxa"/>
                  <w:vAlign w:val="center"/>
                </w:tcPr>
                <w:p w14:paraId="675795CB">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4E08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411F6D15">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rPr>
                    <w:t>29</w:t>
                  </w:r>
                </w:p>
              </w:tc>
              <w:tc>
                <w:tcPr>
                  <w:tcW w:w="767" w:type="dxa"/>
                  <w:vMerge w:val="continue"/>
                  <w:vAlign w:val="center"/>
                </w:tcPr>
                <w:p w14:paraId="495BDC7D">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2C1979C4">
                  <w:pPr>
                    <w:pageBreakBefore w:val="0"/>
                    <w:kinsoku/>
                    <w:wordWrap/>
                    <w:overflowPunct/>
                    <w:topLinePunct w:val="0"/>
                    <w:autoSpaceDE/>
                    <w:autoSpaceDN/>
                    <w:bidi w:val="0"/>
                    <w:adjustRightInd/>
                    <w:snapToGrid/>
                    <w:spacing w:line="240" w:lineRule="auto"/>
                    <w:ind w:firstLine="0" w:firstLineChars="0"/>
                    <w:jc w:val="center"/>
                    <w:textAlignment w:val="bottom"/>
                    <w:rPr>
                      <w:color w:val="auto"/>
                      <w:sz w:val="21"/>
                      <w:szCs w:val="21"/>
                    </w:rPr>
                  </w:pPr>
                  <w:r>
                    <w:rPr>
                      <w:rFonts w:hint="default" w:ascii="Times New Roman" w:hAnsi="Times New Roman" w:cs="Times New Roman"/>
                      <w:color w:val="auto"/>
                      <w:sz w:val="21"/>
                      <w:szCs w:val="21"/>
                    </w:rPr>
                    <w:t>板链提升机</w:t>
                  </w:r>
                </w:p>
              </w:tc>
              <w:tc>
                <w:tcPr>
                  <w:tcW w:w="2046" w:type="dxa"/>
                  <w:vAlign w:val="center"/>
                </w:tcPr>
                <w:p w14:paraId="7DC46DDB">
                  <w:pPr>
                    <w:pStyle w:val="3"/>
                    <w:pageBreakBefore w:val="0"/>
                    <w:kinsoku/>
                    <w:wordWrap/>
                    <w:overflowPunct/>
                    <w:topLinePunct w:val="0"/>
                    <w:autoSpaceDE/>
                    <w:autoSpaceDN/>
                    <w:bidi w:val="0"/>
                    <w:adjustRightInd/>
                    <w:snapToGrid/>
                    <w:ind w:firstLine="0" w:firstLineChars="0"/>
                  </w:pPr>
                  <w:r>
                    <w:rPr>
                      <w:rFonts w:hint="default"/>
                    </w:rPr>
                    <w:t>NE100</w:t>
                  </w:r>
                </w:p>
              </w:tc>
              <w:tc>
                <w:tcPr>
                  <w:tcW w:w="632" w:type="dxa"/>
                  <w:vAlign w:val="center"/>
                </w:tcPr>
                <w:p w14:paraId="576D5534">
                  <w:pPr>
                    <w:pStyle w:val="3"/>
                    <w:pageBreakBefore w:val="0"/>
                    <w:kinsoku/>
                    <w:wordWrap/>
                    <w:overflowPunct/>
                    <w:topLinePunct w:val="0"/>
                    <w:autoSpaceDE/>
                    <w:autoSpaceDN/>
                    <w:bidi w:val="0"/>
                    <w:adjustRightInd/>
                    <w:snapToGrid/>
                    <w:ind w:firstLine="0" w:firstLineChars="0"/>
                  </w:pPr>
                  <w:r>
                    <w:rPr>
                      <w:rFonts w:hint="default"/>
                      <w:lang w:val="en-US" w:eastAsia="zh-CN"/>
                    </w:rPr>
                    <w:t>2</w:t>
                  </w:r>
                </w:p>
              </w:tc>
              <w:tc>
                <w:tcPr>
                  <w:tcW w:w="2020" w:type="dxa"/>
                  <w:vAlign w:val="center"/>
                </w:tcPr>
                <w:p w14:paraId="4C2A5C35">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2CA1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60B2DC9D">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lang w:val="en-US" w:eastAsia="zh-CN"/>
                    </w:rPr>
                    <w:t>30</w:t>
                  </w:r>
                </w:p>
              </w:tc>
              <w:tc>
                <w:tcPr>
                  <w:tcW w:w="767" w:type="dxa"/>
                  <w:vMerge w:val="continue"/>
                  <w:vAlign w:val="center"/>
                </w:tcPr>
                <w:p w14:paraId="3E856461">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34FFA087">
                  <w:pPr>
                    <w:pageBreakBefore w:val="0"/>
                    <w:kinsoku/>
                    <w:wordWrap/>
                    <w:overflowPunct/>
                    <w:topLinePunct w:val="0"/>
                    <w:autoSpaceDE/>
                    <w:autoSpaceDN/>
                    <w:bidi w:val="0"/>
                    <w:adjustRightInd/>
                    <w:snapToGrid/>
                    <w:spacing w:line="240" w:lineRule="auto"/>
                    <w:ind w:firstLine="0" w:firstLineChars="0"/>
                    <w:jc w:val="center"/>
                    <w:textAlignment w:val="bottom"/>
                    <w:rPr>
                      <w:color w:val="auto"/>
                      <w:sz w:val="21"/>
                      <w:szCs w:val="21"/>
                    </w:rPr>
                  </w:pPr>
                  <w:r>
                    <w:rPr>
                      <w:rFonts w:hint="default" w:ascii="Times New Roman" w:hAnsi="Times New Roman" w:cs="Times New Roman"/>
                      <w:color w:val="auto"/>
                      <w:sz w:val="21"/>
                      <w:szCs w:val="21"/>
                    </w:rPr>
                    <w:t>水泥计量机构</w:t>
                  </w:r>
                </w:p>
              </w:tc>
              <w:tc>
                <w:tcPr>
                  <w:tcW w:w="2046" w:type="dxa"/>
                  <w:vAlign w:val="center"/>
                </w:tcPr>
                <w:p w14:paraId="2E775D51">
                  <w:pPr>
                    <w:pStyle w:val="3"/>
                    <w:pageBreakBefore w:val="0"/>
                    <w:kinsoku/>
                    <w:wordWrap/>
                    <w:overflowPunct/>
                    <w:topLinePunct w:val="0"/>
                    <w:autoSpaceDE/>
                    <w:autoSpaceDN/>
                    <w:bidi w:val="0"/>
                    <w:adjustRightInd/>
                    <w:snapToGrid/>
                    <w:ind w:firstLine="0" w:firstLineChars="0"/>
                  </w:pPr>
                  <w:r>
                    <w:rPr>
                      <w:rFonts w:hint="eastAsia"/>
                      <w:lang w:val="en-US" w:eastAsia="zh-CN"/>
                    </w:rPr>
                    <w:t>/</w:t>
                  </w:r>
                </w:p>
              </w:tc>
              <w:tc>
                <w:tcPr>
                  <w:tcW w:w="632" w:type="dxa"/>
                  <w:vAlign w:val="center"/>
                </w:tcPr>
                <w:p w14:paraId="513ADA0F">
                  <w:pPr>
                    <w:pStyle w:val="3"/>
                    <w:pageBreakBefore w:val="0"/>
                    <w:kinsoku/>
                    <w:wordWrap/>
                    <w:overflowPunct/>
                    <w:topLinePunct w:val="0"/>
                    <w:autoSpaceDE/>
                    <w:autoSpaceDN/>
                    <w:bidi w:val="0"/>
                    <w:adjustRightInd/>
                    <w:snapToGrid/>
                    <w:ind w:firstLine="0" w:firstLineChars="0"/>
                  </w:pPr>
                  <w:r>
                    <w:rPr>
                      <w:rFonts w:hint="default"/>
                    </w:rPr>
                    <w:t>1</w:t>
                  </w:r>
                </w:p>
              </w:tc>
              <w:tc>
                <w:tcPr>
                  <w:tcW w:w="2020" w:type="dxa"/>
                  <w:vAlign w:val="center"/>
                </w:tcPr>
                <w:p w14:paraId="46970F72">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00D5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4110B4F3">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lang w:val="en-US" w:eastAsia="zh-CN"/>
                    </w:rPr>
                    <w:t>31</w:t>
                  </w:r>
                </w:p>
              </w:tc>
              <w:tc>
                <w:tcPr>
                  <w:tcW w:w="767" w:type="dxa"/>
                  <w:vMerge w:val="continue"/>
                  <w:vAlign w:val="center"/>
                </w:tcPr>
                <w:p w14:paraId="24B05246">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49FC82FF">
                  <w:pPr>
                    <w:pageBreakBefore w:val="0"/>
                    <w:kinsoku/>
                    <w:wordWrap/>
                    <w:overflowPunct/>
                    <w:topLinePunct w:val="0"/>
                    <w:autoSpaceDE/>
                    <w:autoSpaceDN/>
                    <w:bidi w:val="0"/>
                    <w:adjustRightInd/>
                    <w:snapToGrid/>
                    <w:spacing w:line="240" w:lineRule="auto"/>
                    <w:ind w:firstLine="0" w:firstLineChars="0"/>
                    <w:jc w:val="center"/>
                    <w:textAlignment w:val="bottom"/>
                    <w:rPr>
                      <w:color w:val="auto"/>
                      <w:sz w:val="21"/>
                      <w:szCs w:val="21"/>
                    </w:rPr>
                  </w:pPr>
                  <w:r>
                    <w:rPr>
                      <w:rFonts w:hint="default" w:ascii="Times New Roman" w:hAnsi="Times New Roman" w:cs="Times New Roman"/>
                      <w:color w:val="auto"/>
                      <w:sz w:val="21"/>
                      <w:szCs w:val="21"/>
                    </w:rPr>
                    <w:t>粉煤灰计量结构</w:t>
                  </w:r>
                </w:p>
              </w:tc>
              <w:tc>
                <w:tcPr>
                  <w:tcW w:w="2046" w:type="dxa"/>
                  <w:vAlign w:val="center"/>
                </w:tcPr>
                <w:p w14:paraId="614D435D">
                  <w:pPr>
                    <w:pStyle w:val="3"/>
                    <w:pageBreakBefore w:val="0"/>
                    <w:kinsoku/>
                    <w:wordWrap/>
                    <w:overflowPunct/>
                    <w:topLinePunct w:val="0"/>
                    <w:autoSpaceDE/>
                    <w:autoSpaceDN/>
                    <w:bidi w:val="0"/>
                    <w:adjustRightInd/>
                    <w:snapToGrid/>
                    <w:ind w:firstLine="0" w:firstLineChars="0"/>
                  </w:pPr>
                  <w:r>
                    <w:rPr>
                      <w:rFonts w:hint="eastAsia"/>
                      <w:lang w:val="en-US" w:eastAsia="zh-CN"/>
                    </w:rPr>
                    <w:t>/</w:t>
                  </w:r>
                </w:p>
              </w:tc>
              <w:tc>
                <w:tcPr>
                  <w:tcW w:w="632" w:type="dxa"/>
                  <w:vAlign w:val="center"/>
                </w:tcPr>
                <w:p w14:paraId="24D1BBA7">
                  <w:pPr>
                    <w:pStyle w:val="3"/>
                    <w:pageBreakBefore w:val="0"/>
                    <w:kinsoku/>
                    <w:wordWrap/>
                    <w:overflowPunct/>
                    <w:topLinePunct w:val="0"/>
                    <w:autoSpaceDE/>
                    <w:autoSpaceDN/>
                    <w:bidi w:val="0"/>
                    <w:adjustRightInd/>
                    <w:snapToGrid/>
                    <w:ind w:firstLine="0" w:firstLineChars="0"/>
                  </w:pPr>
                  <w:r>
                    <w:rPr>
                      <w:rFonts w:hint="default"/>
                      <w:lang w:val="en-US" w:eastAsia="zh-CN"/>
                    </w:rPr>
                    <w:t>1</w:t>
                  </w:r>
                </w:p>
              </w:tc>
              <w:tc>
                <w:tcPr>
                  <w:tcW w:w="2020" w:type="dxa"/>
                  <w:vAlign w:val="center"/>
                </w:tcPr>
                <w:p w14:paraId="3B2274C6">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63C9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704D2F0E">
                  <w:pPr>
                    <w:pStyle w:val="3"/>
                    <w:pageBreakBefore w:val="0"/>
                    <w:kinsoku/>
                    <w:wordWrap/>
                    <w:overflowPunct/>
                    <w:topLinePunct w:val="0"/>
                    <w:autoSpaceDE/>
                    <w:autoSpaceDN/>
                    <w:bidi w:val="0"/>
                    <w:adjustRightInd/>
                    <w:snapToGrid/>
                    <w:spacing w:line="240" w:lineRule="auto"/>
                    <w:ind w:firstLine="0" w:firstLineChars="0"/>
                    <w:outlineLvl w:val="0"/>
                    <w:rPr>
                      <w:rFonts w:ascii="Times New Roman" w:hAnsi="Times New Roman" w:eastAsia="宋体" w:cs="Times New Roman"/>
                      <w:color w:val="auto"/>
                      <w:kern w:val="44"/>
                      <w:sz w:val="21"/>
                      <w:szCs w:val="21"/>
                      <w:lang w:val="en-US" w:eastAsia="zh-CN" w:bidi="ar-SA"/>
                    </w:rPr>
                  </w:pPr>
                  <w:r>
                    <w:rPr>
                      <w:rFonts w:hint="eastAsia"/>
                      <w:color w:val="auto"/>
                      <w:sz w:val="21"/>
                      <w:szCs w:val="21"/>
                      <w:lang w:val="en-US" w:eastAsia="zh-CN"/>
                    </w:rPr>
                    <w:t>32</w:t>
                  </w:r>
                </w:p>
              </w:tc>
              <w:tc>
                <w:tcPr>
                  <w:tcW w:w="767" w:type="dxa"/>
                  <w:vMerge w:val="continue"/>
                  <w:vAlign w:val="center"/>
                </w:tcPr>
                <w:p w14:paraId="7112896F">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607BEB39">
                  <w:pPr>
                    <w:pageBreakBefore w:val="0"/>
                    <w:kinsoku/>
                    <w:wordWrap/>
                    <w:overflowPunct/>
                    <w:topLinePunct w:val="0"/>
                    <w:autoSpaceDE/>
                    <w:autoSpaceDN/>
                    <w:bidi w:val="0"/>
                    <w:adjustRightInd/>
                    <w:snapToGrid/>
                    <w:spacing w:line="240" w:lineRule="auto"/>
                    <w:ind w:firstLine="0" w:firstLineChars="0"/>
                    <w:jc w:val="center"/>
                    <w:textAlignment w:val="bottom"/>
                    <w:rPr>
                      <w:rFonts w:ascii="宋体" w:hAnsi="宋体"/>
                      <w:bCs/>
                      <w:color w:val="auto"/>
                      <w:sz w:val="21"/>
                      <w:szCs w:val="21"/>
                    </w:rPr>
                  </w:pPr>
                  <w:r>
                    <w:rPr>
                      <w:rFonts w:hint="default" w:ascii="Times New Roman" w:hAnsi="Times New Roman" w:cs="Times New Roman"/>
                      <w:color w:val="auto"/>
                      <w:sz w:val="21"/>
                      <w:szCs w:val="21"/>
                    </w:rPr>
                    <w:t>外加剂计量结构</w:t>
                  </w:r>
                </w:p>
              </w:tc>
              <w:tc>
                <w:tcPr>
                  <w:tcW w:w="2046" w:type="dxa"/>
                  <w:vAlign w:val="center"/>
                </w:tcPr>
                <w:p w14:paraId="111020A1">
                  <w:pPr>
                    <w:pStyle w:val="3"/>
                    <w:pageBreakBefore w:val="0"/>
                    <w:kinsoku/>
                    <w:wordWrap/>
                    <w:overflowPunct/>
                    <w:topLinePunct w:val="0"/>
                    <w:autoSpaceDE/>
                    <w:autoSpaceDN/>
                    <w:bidi w:val="0"/>
                    <w:adjustRightInd/>
                    <w:snapToGrid/>
                    <w:ind w:firstLine="0" w:firstLineChars="0"/>
                  </w:pPr>
                  <w:r>
                    <w:rPr>
                      <w:rFonts w:hint="eastAsia"/>
                      <w:lang w:val="en-US" w:eastAsia="zh-CN"/>
                    </w:rPr>
                    <w:t>/</w:t>
                  </w:r>
                </w:p>
              </w:tc>
              <w:tc>
                <w:tcPr>
                  <w:tcW w:w="632" w:type="dxa"/>
                  <w:vAlign w:val="center"/>
                </w:tcPr>
                <w:p w14:paraId="0A9BE4C7">
                  <w:pPr>
                    <w:pStyle w:val="3"/>
                    <w:pageBreakBefore w:val="0"/>
                    <w:kinsoku/>
                    <w:wordWrap/>
                    <w:overflowPunct/>
                    <w:topLinePunct w:val="0"/>
                    <w:autoSpaceDE/>
                    <w:autoSpaceDN/>
                    <w:bidi w:val="0"/>
                    <w:adjustRightInd/>
                    <w:snapToGrid/>
                    <w:ind w:firstLine="0" w:firstLineChars="0"/>
                  </w:pPr>
                  <w:r>
                    <w:rPr>
                      <w:rFonts w:hint="default"/>
                      <w:lang w:val="en-US" w:eastAsia="zh-CN"/>
                    </w:rPr>
                    <w:t>1</w:t>
                  </w:r>
                </w:p>
              </w:tc>
              <w:tc>
                <w:tcPr>
                  <w:tcW w:w="2020" w:type="dxa"/>
                  <w:vAlign w:val="center"/>
                </w:tcPr>
                <w:p w14:paraId="7D40B944">
                  <w:pPr>
                    <w:pageBreakBefore w:val="0"/>
                    <w:kinsoku/>
                    <w:wordWrap/>
                    <w:overflowPunct/>
                    <w:topLinePunct w:val="0"/>
                    <w:autoSpaceDE/>
                    <w:autoSpaceDN/>
                    <w:bidi w:val="0"/>
                    <w:adjustRightInd/>
                    <w:snapToGrid/>
                    <w:spacing w:line="240" w:lineRule="auto"/>
                    <w:ind w:firstLine="0" w:firstLineChars="0"/>
                    <w:jc w:val="center"/>
                    <w:outlineLvl w:val="0"/>
                    <w:rPr>
                      <w:color w:val="auto"/>
                      <w:sz w:val="21"/>
                      <w:szCs w:val="21"/>
                    </w:rPr>
                  </w:pPr>
                  <w:r>
                    <w:rPr>
                      <w:rFonts w:hint="eastAsia"/>
                      <w:color w:val="auto"/>
                      <w:sz w:val="21"/>
                      <w:szCs w:val="21"/>
                    </w:rPr>
                    <w:t>已建，已验</w:t>
                  </w:r>
                </w:p>
              </w:tc>
            </w:tr>
            <w:tr w14:paraId="6408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0C1F88DD">
                  <w:pPr>
                    <w:pStyle w:val="3"/>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kern w:val="44"/>
                      <w:sz w:val="21"/>
                      <w:szCs w:val="21"/>
                      <w:lang w:val="en-US" w:eastAsia="zh-CN" w:bidi="ar-SA"/>
                    </w:rPr>
                  </w:pPr>
                  <w:r>
                    <w:rPr>
                      <w:rFonts w:hint="eastAsia"/>
                      <w:color w:val="auto"/>
                      <w:sz w:val="21"/>
                      <w:szCs w:val="21"/>
                      <w:lang w:val="en-US" w:eastAsia="zh-CN"/>
                    </w:rPr>
                    <w:t>33</w:t>
                  </w:r>
                </w:p>
              </w:tc>
              <w:tc>
                <w:tcPr>
                  <w:tcW w:w="767" w:type="dxa"/>
                  <w:vMerge w:val="continue"/>
                  <w:vAlign w:val="center"/>
                </w:tcPr>
                <w:p w14:paraId="45CE4786">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2EF7CC37">
                  <w:pPr>
                    <w:pageBreakBefore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连续式搅拌装置</w:t>
                  </w:r>
                </w:p>
              </w:tc>
              <w:tc>
                <w:tcPr>
                  <w:tcW w:w="2046" w:type="dxa"/>
                  <w:vAlign w:val="center"/>
                </w:tcPr>
                <w:p w14:paraId="4CC608B0">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w:t>
                  </w:r>
                </w:p>
              </w:tc>
              <w:tc>
                <w:tcPr>
                  <w:tcW w:w="632" w:type="dxa"/>
                  <w:vAlign w:val="center"/>
                </w:tcPr>
                <w:p w14:paraId="546C9CBA">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1</w:t>
                  </w:r>
                </w:p>
              </w:tc>
              <w:tc>
                <w:tcPr>
                  <w:tcW w:w="2020" w:type="dxa"/>
                  <w:vAlign w:val="center"/>
                </w:tcPr>
                <w:p w14:paraId="5A54D2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rPr>
                  </w:pPr>
                  <w:r>
                    <w:rPr>
                      <w:rFonts w:hint="eastAsia"/>
                      <w:color w:val="auto"/>
                      <w:sz w:val="21"/>
                      <w:szCs w:val="21"/>
                    </w:rPr>
                    <w:t>已建，已验</w:t>
                  </w:r>
                </w:p>
              </w:tc>
            </w:tr>
            <w:tr w14:paraId="7393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4ECDD8B3">
                  <w:pPr>
                    <w:pStyle w:val="3"/>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kern w:val="44"/>
                      <w:sz w:val="21"/>
                      <w:szCs w:val="21"/>
                      <w:lang w:val="en-US" w:eastAsia="zh-CN" w:bidi="ar-SA"/>
                    </w:rPr>
                  </w:pPr>
                  <w:r>
                    <w:rPr>
                      <w:rFonts w:hint="eastAsia" w:eastAsia="宋体" w:cs="Times New Roman"/>
                      <w:color w:val="auto"/>
                      <w:kern w:val="44"/>
                      <w:sz w:val="21"/>
                      <w:szCs w:val="21"/>
                      <w:lang w:val="en-US" w:eastAsia="zh-CN" w:bidi="ar-SA"/>
                    </w:rPr>
                    <w:t>34</w:t>
                  </w:r>
                </w:p>
              </w:tc>
              <w:tc>
                <w:tcPr>
                  <w:tcW w:w="767" w:type="dxa"/>
                  <w:vMerge w:val="continue"/>
                  <w:vAlign w:val="center"/>
                </w:tcPr>
                <w:p w14:paraId="0527D6C9">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0D01F030">
                  <w:pPr>
                    <w:pageBreakBefore w:val="0"/>
                    <w:kinsoku/>
                    <w:wordWrap/>
                    <w:overflowPunct/>
                    <w:topLinePunct w:val="0"/>
                    <w:autoSpaceDE/>
                    <w:autoSpaceDN/>
                    <w:bidi w:val="0"/>
                    <w:adjustRightInd/>
                    <w:snapToGrid/>
                    <w:spacing w:line="240" w:lineRule="auto"/>
                    <w:ind w:firstLine="0" w:firstLineChars="0"/>
                    <w:jc w:val="center"/>
                    <w:textAlignment w:val="bottom"/>
                    <w:rPr>
                      <w:rFonts w:hint="default" w:cs="Times New Roman"/>
                      <w:color w:val="auto"/>
                      <w:sz w:val="21"/>
                      <w:szCs w:val="21"/>
                      <w:lang w:val="en-US" w:eastAsia="zh-CN"/>
                    </w:rPr>
                  </w:pPr>
                  <w:r>
                    <w:rPr>
                      <w:rFonts w:hint="eastAsia" w:cs="Times New Roman"/>
                      <w:color w:val="auto"/>
                      <w:sz w:val="21"/>
                      <w:szCs w:val="21"/>
                      <w:lang w:val="en-US" w:eastAsia="zh-CN"/>
                    </w:rPr>
                    <w:t>散装机组</w:t>
                  </w:r>
                </w:p>
              </w:tc>
              <w:tc>
                <w:tcPr>
                  <w:tcW w:w="2046" w:type="dxa"/>
                  <w:vAlign w:val="center"/>
                </w:tcPr>
                <w:p w14:paraId="1708D8C3">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SZ-150</w:t>
                  </w:r>
                </w:p>
              </w:tc>
              <w:tc>
                <w:tcPr>
                  <w:tcW w:w="632" w:type="dxa"/>
                  <w:vAlign w:val="center"/>
                </w:tcPr>
                <w:p w14:paraId="66073D05">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1</w:t>
                  </w:r>
                </w:p>
              </w:tc>
              <w:tc>
                <w:tcPr>
                  <w:tcW w:w="2020" w:type="dxa"/>
                  <w:vAlign w:val="center"/>
                </w:tcPr>
                <w:p w14:paraId="65668E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rPr>
                  </w:pPr>
                  <w:r>
                    <w:rPr>
                      <w:rFonts w:hint="eastAsia"/>
                      <w:color w:val="auto"/>
                      <w:sz w:val="21"/>
                      <w:szCs w:val="21"/>
                    </w:rPr>
                    <w:t>已建，已验</w:t>
                  </w:r>
                </w:p>
              </w:tc>
            </w:tr>
            <w:tr w14:paraId="65DA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31730568">
                  <w:pPr>
                    <w:pStyle w:val="3"/>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kern w:val="44"/>
                      <w:sz w:val="21"/>
                      <w:szCs w:val="21"/>
                      <w:lang w:val="en-US" w:eastAsia="zh-CN" w:bidi="ar-SA"/>
                    </w:rPr>
                  </w:pPr>
                  <w:r>
                    <w:rPr>
                      <w:rFonts w:hint="eastAsia" w:eastAsia="宋体" w:cs="Times New Roman"/>
                      <w:color w:val="auto"/>
                      <w:kern w:val="44"/>
                      <w:sz w:val="21"/>
                      <w:szCs w:val="21"/>
                      <w:lang w:val="en-US" w:eastAsia="zh-CN" w:bidi="ar-SA"/>
                    </w:rPr>
                    <w:t>35</w:t>
                  </w:r>
                </w:p>
              </w:tc>
              <w:tc>
                <w:tcPr>
                  <w:tcW w:w="767" w:type="dxa"/>
                  <w:vMerge w:val="continue"/>
                  <w:vAlign w:val="center"/>
                </w:tcPr>
                <w:p w14:paraId="7C4C97F0">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1DDD21F3">
                  <w:pPr>
                    <w:pageBreakBefore w:val="0"/>
                    <w:kinsoku/>
                    <w:wordWrap/>
                    <w:overflowPunct/>
                    <w:topLinePunct w:val="0"/>
                    <w:autoSpaceDE/>
                    <w:autoSpaceDN/>
                    <w:bidi w:val="0"/>
                    <w:adjustRightInd/>
                    <w:snapToGrid/>
                    <w:spacing w:line="240" w:lineRule="auto"/>
                    <w:ind w:firstLine="0" w:firstLineChars="0"/>
                    <w:jc w:val="center"/>
                    <w:textAlignment w:val="bottom"/>
                    <w:rPr>
                      <w:rFonts w:hint="eastAsia" w:cs="Times New Roman"/>
                      <w:color w:val="auto"/>
                      <w:sz w:val="21"/>
                      <w:szCs w:val="21"/>
                      <w:lang w:val="en-US" w:eastAsia="zh-CN"/>
                    </w:rPr>
                  </w:pPr>
                  <w:r>
                    <w:rPr>
                      <w:rFonts w:hint="default" w:ascii="Times New Roman" w:hAnsi="Times New Roman" w:cs="Times New Roman"/>
                      <w:color w:val="auto"/>
                      <w:kern w:val="0"/>
                      <w:sz w:val="21"/>
                      <w:szCs w:val="21"/>
                    </w:rPr>
                    <w:t>螺杆式空压机</w:t>
                  </w:r>
                </w:p>
              </w:tc>
              <w:tc>
                <w:tcPr>
                  <w:tcW w:w="2046" w:type="dxa"/>
                  <w:vAlign w:val="center"/>
                </w:tcPr>
                <w:p w14:paraId="12578417">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TH15KW</w:t>
                  </w:r>
                </w:p>
              </w:tc>
              <w:tc>
                <w:tcPr>
                  <w:tcW w:w="632" w:type="dxa"/>
                  <w:vAlign w:val="center"/>
                </w:tcPr>
                <w:p w14:paraId="722055FF">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1</w:t>
                  </w:r>
                </w:p>
              </w:tc>
              <w:tc>
                <w:tcPr>
                  <w:tcW w:w="2020" w:type="dxa"/>
                  <w:vAlign w:val="center"/>
                </w:tcPr>
                <w:p w14:paraId="2A7A26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rPr>
                  </w:pPr>
                  <w:r>
                    <w:rPr>
                      <w:rFonts w:hint="eastAsia"/>
                      <w:color w:val="auto"/>
                      <w:sz w:val="21"/>
                      <w:szCs w:val="21"/>
                    </w:rPr>
                    <w:t>已建，已验</w:t>
                  </w:r>
                </w:p>
              </w:tc>
            </w:tr>
            <w:tr w14:paraId="1D1E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0F0FF46C">
                  <w:pPr>
                    <w:pStyle w:val="3"/>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kern w:val="44"/>
                      <w:sz w:val="21"/>
                      <w:szCs w:val="21"/>
                      <w:lang w:val="en-US" w:eastAsia="zh-CN" w:bidi="ar-SA"/>
                    </w:rPr>
                  </w:pPr>
                  <w:r>
                    <w:rPr>
                      <w:rFonts w:hint="eastAsia" w:eastAsia="宋体" w:cs="Times New Roman"/>
                      <w:color w:val="auto"/>
                      <w:kern w:val="44"/>
                      <w:sz w:val="21"/>
                      <w:szCs w:val="21"/>
                      <w:lang w:val="en-US" w:eastAsia="zh-CN" w:bidi="ar-SA"/>
                    </w:rPr>
                    <w:t>36</w:t>
                  </w:r>
                </w:p>
              </w:tc>
              <w:tc>
                <w:tcPr>
                  <w:tcW w:w="767" w:type="dxa"/>
                  <w:vMerge w:val="continue"/>
                  <w:vAlign w:val="center"/>
                </w:tcPr>
                <w:p w14:paraId="27EE3682">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1F5DE46B">
                  <w:pPr>
                    <w:pageBreakBefore w:val="0"/>
                    <w:kinsoku/>
                    <w:wordWrap/>
                    <w:overflowPunct/>
                    <w:topLinePunct w:val="0"/>
                    <w:autoSpaceDE/>
                    <w:autoSpaceDN/>
                    <w:bidi w:val="0"/>
                    <w:adjustRightInd/>
                    <w:snapToGrid/>
                    <w:spacing w:line="240" w:lineRule="auto"/>
                    <w:ind w:firstLine="0" w:firstLineChars="0"/>
                    <w:jc w:val="center"/>
                    <w:textAlignment w:val="bottom"/>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砂仓</w:t>
                  </w:r>
                </w:p>
              </w:tc>
              <w:tc>
                <w:tcPr>
                  <w:tcW w:w="2046" w:type="dxa"/>
                  <w:vAlign w:val="center"/>
                </w:tcPr>
                <w:p w14:paraId="7C40F066">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200m</w:t>
                  </w:r>
                  <w:r>
                    <w:rPr>
                      <w:rFonts w:hint="eastAsia"/>
                      <w:vertAlign w:val="superscript"/>
                      <w:lang w:val="en-US" w:eastAsia="zh-CN"/>
                    </w:rPr>
                    <w:t>3</w:t>
                  </w:r>
                  <w:r>
                    <w:rPr>
                      <w:rFonts w:hint="eastAsia"/>
                      <w:lang w:val="en-US" w:eastAsia="zh-CN"/>
                    </w:rPr>
                    <w:t>/个</w:t>
                  </w:r>
                </w:p>
              </w:tc>
              <w:tc>
                <w:tcPr>
                  <w:tcW w:w="632" w:type="dxa"/>
                  <w:vAlign w:val="center"/>
                </w:tcPr>
                <w:p w14:paraId="67F474C6">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4</w:t>
                  </w:r>
                </w:p>
              </w:tc>
              <w:tc>
                <w:tcPr>
                  <w:tcW w:w="2020" w:type="dxa"/>
                  <w:vAlign w:val="center"/>
                </w:tcPr>
                <w:p w14:paraId="3BC33B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rPr>
                  </w:pPr>
                  <w:r>
                    <w:rPr>
                      <w:rFonts w:hint="eastAsia"/>
                      <w:color w:val="auto"/>
                      <w:sz w:val="21"/>
                      <w:szCs w:val="21"/>
                    </w:rPr>
                    <w:t>已建，已验</w:t>
                  </w:r>
                </w:p>
              </w:tc>
            </w:tr>
            <w:tr w14:paraId="4801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053C1E83">
                  <w:pPr>
                    <w:pStyle w:val="3"/>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kern w:val="44"/>
                      <w:sz w:val="21"/>
                      <w:szCs w:val="21"/>
                      <w:lang w:val="en-US" w:eastAsia="zh-CN" w:bidi="ar-SA"/>
                    </w:rPr>
                  </w:pPr>
                  <w:r>
                    <w:rPr>
                      <w:rFonts w:hint="eastAsia" w:eastAsia="宋体" w:cs="Times New Roman"/>
                      <w:color w:val="auto"/>
                      <w:kern w:val="44"/>
                      <w:sz w:val="21"/>
                      <w:szCs w:val="21"/>
                      <w:lang w:val="en-US" w:eastAsia="zh-CN" w:bidi="ar-SA"/>
                    </w:rPr>
                    <w:t>37</w:t>
                  </w:r>
                </w:p>
              </w:tc>
              <w:tc>
                <w:tcPr>
                  <w:tcW w:w="767" w:type="dxa"/>
                  <w:vMerge w:val="continue"/>
                  <w:vAlign w:val="center"/>
                </w:tcPr>
                <w:p w14:paraId="65C44924">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3CD85C5C">
                  <w:pPr>
                    <w:pageBreakBefore w:val="0"/>
                    <w:kinsoku/>
                    <w:wordWrap/>
                    <w:overflowPunct/>
                    <w:topLinePunct w:val="0"/>
                    <w:autoSpaceDE/>
                    <w:autoSpaceDN/>
                    <w:bidi w:val="0"/>
                    <w:adjustRightInd/>
                    <w:snapToGrid/>
                    <w:spacing w:line="240" w:lineRule="auto"/>
                    <w:ind w:firstLine="0" w:firstLineChars="0"/>
                    <w:jc w:val="center"/>
                    <w:textAlignment w:val="bottom"/>
                    <w:rPr>
                      <w:rFonts w:hint="default" w:cs="Times New Roman"/>
                      <w:color w:val="auto"/>
                      <w:kern w:val="0"/>
                      <w:sz w:val="21"/>
                      <w:szCs w:val="21"/>
                      <w:lang w:val="en-US" w:eastAsia="zh-CN"/>
                    </w:rPr>
                  </w:pPr>
                  <w:r>
                    <w:rPr>
                      <w:rFonts w:hint="eastAsia" w:cs="Times New Roman"/>
                      <w:color w:val="auto"/>
                      <w:kern w:val="0"/>
                      <w:sz w:val="21"/>
                      <w:szCs w:val="21"/>
                      <w:lang w:val="en-US" w:eastAsia="zh-CN"/>
                    </w:rPr>
                    <w:t>水泥仓</w:t>
                  </w:r>
                </w:p>
              </w:tc>
              <w:tc>
                <w:tcPr>
                  <w:tcW w:w="2046" w:type="dxa"/>
                  <w:vAlign w:val="center"/>
                </w:tcPr>
                <w:p w14:paraId="7C28D920">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80m</w:t>
                  </w:r>
                  <w:r>
                    <w:rPr>
                      <w:rFonts w:hint="eastAsia"/>
                      <w:vertAlign w:val="superscript"/>
                      <w:lang w:val="en-US" w:eastAsia="zh-CN"/>
                    </w:rPr>
                    <w:t>3</w:t>
                  </w:r>
                  <w:r>
                    <w:rPr>
                      <w:rFonts w:hint="eastAsia"/>
                      <w:lang w:val="en-US" w:eastAsia="zh-CN"/>
                    </w:rPr>
                    <w:t>/个</w:t>
                  </w:r>
                </w:p>
              </w:tc>
              <w:tc>
                <w:tcPr>
                  <w:tcW w:w="632" w:type="dxa"/>
                  <w:vAlign w:val="center"/>
                </w:tcPr>
                <w:p w14:paraId="659FDD23">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2</w:t>
                  </w:r>
                </w:p>
              </w:tc>
              <w:tc>
                <w:tcPr>
                  <w:tcW w:w="2020" w:type="dxa"/>
                  <w:vAlign w:val="center"/>
                </w:tcPr>
                <w:p w14:paraId="269E93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rPr>
                  </w:pPr>
                  <w:r>
                    <w:rPr>
                      <w:rFonts w:hint="eastAsia"/>
                      <w:color w:val="auto"/>
                      <w:sz w:val="21"/>
                      <w:szCs w:val="21"/>
                    </w:rPr>
                    <w:t>已建，已验</w:t>
                  </w:r>
                </w:p>
              </w:tc>
            </w:tr>
            <w:tr w14:paraId="5778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0769EF51">
                  <w:pPr>
                    <w:pStyle w:val="3"/>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kern w:val="44"/>
                      <w:sz w:val="21"/>
                      <w:szCs w:val="21"/>
                      <w:lang w:val="en-US" w:eastAsia="zh-CN" w:bidi="ar-SA"/>
                    </w:rPr>
                  </w:pPr>
                  <w:r>
                    <w:rPr>
                      <w:rFonts w:hint="eastAsia" w:eastAsia="宋体" w:cs="Times New Roman"/>
                      <w:color w:val="auto"/>
                      <w:kern w:val="44"/>
                      <w:sz w:val="21"/>
                      <w:szCs w:val="21"/>
                      <w:lang w:val="en-US" w:eastAsia="zh-CN" w:bidi="ar-SA"/>
                    </w:rPr>
                    <w:t>38</w:t>
                  </w:r>
                </w:p>
              </w:tc>
              <w:tc>
                <w:tcPr>
                  <w:tcW w:w="767" w:type="dxa"/>
                  <w:vMerge w:val="continue"/>
                  <w:vAlign w:val="center"/>
                </w:tcPr>
                <w:p w14:paraId="6540F69C">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1E2263D1">
                  <w:pPr>
                    <w:pageBreakBefore w:val="0"/>
                    <w:kinsoku/>
                    <w:wordWrap/>
                    <w:overflowPunct/>
                    <w:topLinePunct w:val="0"/>
                    <w:autoSpaceDE/>
                    <w:autoSpaceDN/>
                    <w:bidi w:val="0"/>
                    <w:adjustRightInd/>
                    <w:snapToGrid/>
                    <w:spacing w:line="240" w:lineRule="auto"/>
                    <w:ind w:firstLine="0" w:firstLineChars="0"/>
                    <w:jc w:val="center"/>
                    <w:textAlignment w:val="bottom"/>
                    <w:rPr>
                      <w:rFonts w:hint="default" w:cs="Times New Roman"/>
                      <w:color w:val="auto"/>
                      <w:kern w:val="0"/>
                      <w:sz w:val="21"/>
                      <w:szCs w:val="21"/>
                      <w:lang w:val="en-US" w:eastAsia="zh-CN"/>
                    </w:rPr>
                  </w:pPr>
                  <w:r>
                    <w:rPr>
                      <w:rFonts w:hint="eastAsia" w:cs="Times New Roman"/>
                      <w:color w:val="auto"/>
                      <w:kern w:val="0"/>
                      <w:sz w:val="21"/>
                      <w:szCs w:val="21"/>
                      <w:lang w:val="en-US" w:eastAsia="zh-CN"/>
                    </w:rPr>
                    <w:t>粉煤灰仓</w:t>
                  </w:r>
                </w:p>
              </w:tc>
              <w:tc>
                <w:tcPr>
                  <w:tcW w:w="2046" w:type="dxa"/>
                  <w:vAlign w:val="center"/>
                </w:tcPr>
                <w:p w14:paraId="610B6E3C">
                  <w:pPr>
                    <w:pStyle w:val="3"/>
                    <w:pageBreakBefore w:val="0"/>
                    <w:kinsoku/>
                    <w:wordWrap/>
                    <w:overflowPunct/>
                    <w:topLinePunct w:val="0"/>
                    <w:autoSpaceDE/>
                    <w:autoSpaceDN/>
                    <w:bidi w:val="0"/>
                    <w:adjustRightInd/>
                    <w:snapToGrid/>
                    <w:ind w:firstLine="0" w:firstLineChars="0"/>
                    <w:rPr>
                      <w:rFonts w:hint="eastAsia"/>
                      <w:lang w:val="en-US" w:eastAsia="zh-CN"/>
                    </w:rPr>
                  </w:pPr>
                  <w:r>
                    <w:rPr>
                      <w:rFonts w:hint="eastAsia"/>
                      <w:lang w:val="en-US" w:eastAsia="zh-CN"/>
                    </w:rPr>
                    <w:t>80m</w:t>
                  </w:r>
                  <w:r>
                    <w:rPr>
                      <w:rFonts w:hint="eastAsia"/>
                      <w:vertAlign w:val="superscript"/>
                      <w:lang w:val="en-US" w:eastAsia="zh-CN"/>
                    </w:rPr>
                    <w:t>3</w:t>
                  </w:r>
                  <w:r>
                    <w:rPr>
                      <w:rFonts w:hint="eastAsia"/>
                      <w:lang w:val="en-US" w:eastAsia="zh-CN"/>
                    </w:rPr>
                    <w:t>/个</w:t>
                  </w:r>
                </w:p>
              </w:tc>
              <w:tc>
                <w:tcPr>
                  <w:tcW w:w="632" w:type="dxa"/>
                  <w:vAlign w:val="center"/>
                </w:tcPr>
                <w:p w14:paraId="4D028F25">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1</w:t>
                  </w:r>
                </w:p>
              </w:tc>
              <w:tc>
                <w:tcPr>
                  <w:tcW w:w="2020" w:type="dxa"/>
                  <w:vAlign w:val="center"/>
                </w:tcPr>
                <w:p w14:paraId="5DDF76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rPr>
                  </w:pPr>
                  <w:r>
                    <w:rPr>
                      <w:rFonts w:hint="eastAsia"/>
                      <w:color w:val="auto"/>
                      <w:sz w:val="21"/>
                      <w:szCs w:val="21"/>
                    </w:rPr>
                    <w:t>已建，已验</w:t>
                  </w:r>
                </w:p>
              </w:tc>
            </w:tr>
            <w:tr w14:paraId="121E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1E4C1710">
                  <w:pPr>
                    <w:pStyle w:val="3"/>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kern w:val="44"/>
                      <w:sz w:val="21"/>
                      <w:szCs w:val="21"/>
                      <w:lang w:val="en-US" w:eastAsia="zh-CN" w:bidi="ar-SA"/>
                    </w:rPr>
                  </w:pPr>
                  <w:r>
                    <w:rPr>
                      <w:rFonts w:hint="eastAsia" w:eastAsia="宋体" w:cs="Times New Roman"/>
                      <w:color w:val="auto"/>
                      <w:kern w:val="44"/>
                      <w:sz w:val="21"/>
                      <w:szCs w:val="21"/>
                      <w:lang w:val="en-US" w:eastAsia="zh-CN" w:bidi="ar-SA"/>
                    </w:rPr>
                    <w:t>39</w:t>
                  </w:r>
                </w:p>
              </w:tc>
              <w:tc>
                <w:tcPr>
                  <w:tcW w:w="767" w:type="dxa"/>
                  <w:vMerge w:val="continue"/>
                  <w:vAlign w:val="center"/>
                </w:tcPr>
                <w:p w14:paraId="0D401160">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6EF46A12">
                  <w:pPr>
                    <w:pageBreakBefore w:val="0"/>
                    <w:kinsoku/>
                    <w:wordWrap/>
                    <w:overflowPunct/>
                    <w:topLinePunct w:val="0"/>
                    <w:autoSpaceDE/>
                    <w:autoSpaceDN/>
                    <w:bidi w:val="0"/>
                    <w:adjustRightInd/>
                    <w:snapToGrid/>
                    <w:spacing w:line="240" w:lineRule="auto"/>
                    <w:ind w:firstLine="0" w:firstLineChars="0"/>
                    <w:jc w:val="center"/>
                    <w:textAlignment w:val="bottom"/>
                    <w:rPr>
                      <w:rFonts w:hint="default" w:cs="Times New Roman"/>
                      <w:color w:val="auto"/>
                      <w:kern w:val="0"/>
                      <w:sz w:val="21"/>
                      <w:szCs w:val="21"/>
                      <w:lang w:val="en-US" w:eastAsia="zh-CN"/>
                    </w:rPr>
                  </w:pPr>
                  <w:r>
                    <w:rPr>
                      <w:rFonts w:hint="eastAsia" w:cs="Times New Roman"/>
                      <w:color w:val="auto"/>
                      <w:kern w:val="0"/>
                      <w:sz w:val="21"/>
                      <w:szCs w:val="21"/>
                      <w:lang w:val="en-US" w:eastAsia="zh-CN"/>
                    </w:rPr>
                    <w:t>外加剂仓</w:t>
                  </w:r>
                </w:p>
              </w:tc>
              <w:tc>
                <w:tcPr>
                  <w:tcW w:w="2046" w:type="dxa"/>
                  <w:vAlign w:val="center"/>
                </w:tcPr>
                <w:p w14:paraId="751A09B2">
                  <w:pPr>
                    <w:pStyle w:val="3"/>
                    <w:pageBreakBefore w:val="0"/>
                    <w:kinsoku/>
                    <w:wordWrap/>
                    <w:overflowPunct/>
                    <w:topLinePunct w:val="0"/>
                    <w:autoSpaceDE/>
                    <w:autoSpaceDN/>
                    <w:bidi w:val="0"/>
                    <w:adjustRightInd/>
                    <w:snapToGrid/>
                    <w:ind w:firstLine="0" w:firstLineChars="0"/>
                    <w:rPr>
                      <w:rFonts w:hint="eastAsia"/>
                      <w:lang w:val="en-US" w:eastAsia="zh-CN"/>
                    </w:rPr>
                  </w:pPr>
                  <w:r>
                    <w:rPr>
                      <w:rFonts w:hint="eastAsia"/>
                      <w:lang w:val="en-US" w:eastAsia="zh-CN"/>
                    </w:rPr>
                    <w:t>80m</w:t>
                  </w:r>
                  <w:r>
                    <w:rPr>
                      <w:rFonts w:hint="eastAsia"/>
                      <w:vertAlign w:val="superscript"/>
                      <w:lang w:val="en-US" w:eastAsia="zh-CN"/>
                    </w:rPr>
                    <w:t>3</w:t>
                  </w:r>
                  <w:r>
                    <w:rPr>
                      <w:rFonts w:hint="eastAsia"/>
                      <w:lang w:val="en-US" w:eastAsia="zh-CN"/>
                    </w:rPr>
                    <w:t>/个</w:t>
                  </w:r>
                </w:p>
              </w:tc>
              <w:tc>
                <w:tcPr>
                  <w:tcW w:w="632" w:type="dxa"/>
                  <w:vAlign w:val="center"/>
                </w:tcPr>
                <w:p w14:paraId="63545425">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1</w:t>
                  </w:r>
                </w:p>
              </w:tc>
              <w:tc>
                <w:tcPr>
                  <w:tcW w:w="2020" w:type="dxa"/>
                  <w:vAlign w:val="center"/>
                </w:tcPr>
                <w:p w14:paraId="264C98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rPr>
                  </w:pPr>
                  <w:r>
                    <w:rPr>
                      <w:rFonts w:hint="eastAsia"/>
                      <w:color w:val="auto"/>
                      <w:sz w:val="21"/>
                      <w:szCs w:val="21"/>
                    </w:rPr>
                    <w:t>已建，已验</w:t>
                  </w:r>
                </w:p>
              </w:tc>
            </w:tr>
            <w:tr w14:paraId="174D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1946EF7A">
                  <w:pPr>
                    <w:pStyle w:val="3"/>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kern w:val="44"/>
                      <w:sz w:val="21"/>
                      <w:szCs w:val="21"/>
                      <w:lang w:val="en-US" w:eastAsia="zh-CN" w:bidi="ar-SA"/>
                    </w:rPr>
                  </w:pPr>
                  <w:r>
                    <w:rPr>
                      <w:rFonts w:hint="eastAsia" w:eastAsia="宋体" w:cs="Times New Roman"/>
                      <w:color w:val="auto"/>
                      <w:kern w:val="44"/>
                      <w:sz w:val="21"/>
                      <w:szCs w:val="21"/>
                      <w:lang w:val="en-US" w:eastAsia="zh-CN" w:bidi="ar-SA"/>
                    </w:rPr>
                    <w:t>40</w:t>
                  </w:r>
                </w:p>
              </w:tc>
              <w:tc>
                <w:tcPr>
                  <w:tcW w:w="767" w:type="dxa"/>
                  <w:vMerge w:val="continue"/>
                  <w:vAlign w:val="center"/>
                </w:tcPr>
                <w:p w14:paraId="76976EEF">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3C2C07F0">
                  <w:pPr>
                    <w:pageBreakBefore w:val="0"/>
                    <w:kinsoku/>
                    <w:wordWrap/>
                    <w:overflowPunct/>
                    <w:topLinePunct w:val="0"/>
                    <w:autoSpaceDE/>
                    <w:autoSpaceDN/>
                    <w:bidi w:val="0"/>
                    <w:adjustRightInd/>
                    <w:snapToGrid/>
                    <w:spacing w:line="240" w:lineRule="auto"/>
                    <w:ind w:firstLine="0" w:firstLineChars="0"/>
                    <w:jc w:val="center"/>
                    <w:textAlignment w:val="bottom"/>
                    <w:rPr>
                      <w:rFonts w:hint="default" w:cs="Times New Roman"/>
                      <w:color w:val="auto"/>
                      <w:kern w:val="0"/>
                      <w:sz w:val="21"/>
                      <w:szCs w:val="21"/>
                      <w:lang w:val="en-US" w:eastAsia="zh-CN"/>
                    </w:rPr>
                  </w:pPr>
                  <w:r>
                    <w:rPr>
                      <w:rFonts w:hint="eastAsia" w:cs="Times New Roman"/>
                      <w:color w:val="auto"/>
                      <w:kern w:val="0"/>
                      <w:sz w:val="21"/>
                      <w:szCs w:val="21"/>
                      <w:lang w:val="en-US" w:eastAsia="zh-CN"/>
                    </w:rPr>
                    <w:t>砂石缓存仓</w:t>
                  </w:r>
                </w:p>
              </w:tc>
              <w:tc>
                <w:tcPr>
                  <w:tcW w:w="2046" w:type="dxa"/>
                  <w:vAlign w:val="center"/>
                </w:tcPr>
                <w:p w14:paraId="37FA049B">
                  <w:pPr>
                    <w:pStyle w:val="3"/>
                    <w:pageBreakBefore w:val="0"/>
                    <w:kinsoku/>
                    <w:wordWrap/>
                    <w:overflowPunct/>
                    <w:topLinePunct w:val="0"/>
                    <w:autoSpaceDE/>
                    <w:autoSpaceDN/>
                    <w:bidi w:val="0"/>
                    <w:adjustRightInd/>
                    <w:snapToGrid/>
                    <w:ind w:firstLine="0" w:firstLineChars="0"/>
                    <w:rPr>
                      <w:rFonts w:hint="eastAsia"/>
                      <w:lang w:val="en-US" w:eastAsia="zh-CN"/>
                    </w:rPr>
                  </w:pPr>
                  <w:r>
                    <w:rPr>
                      <w:rFonts w:hint="eastAsia"/>
                      <w:lang w:val="en-US" w:eastAsia="zh-CN"/>
                    </w:rPr>
                    <w:t>80m</w:t>
                  </w:r>
                  <w:r>
                    <w:rPr>
                      <w:rFonts w:hint="eastAsia"/>
                      <w:vertAlign w:val="superscript"/>
                      <w:lang w:val="en-US" w:eastAsia="zh-CN"/>
                    </w:rPr>
                    <w:t>3</w:t>
                  </w:r>
                  <w:r>
                    <w:rPr>
                      <w:rFonts w:hint="eastAsia"/>
                      <w:lang w:val="en-US" w:eastAsia="zh-CN"/>
                    </w:rPr>
                    <w:t>/个</w:t>
                  </w:r>
                </w:p>
              </w:tc>
              <w:tc>
                <w:tcPr>
                  <w:tcW w:w="632" w:type="dxa"/>
                  <w:vAlign w:val="center"/>
                </w:tcPr>
                <w:p w14:paraId="1335D720">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2</w:t>
                  </w:r>
                </w:p>
              </w:tc>
              <w:tc>
                <w:tcPr>
                  <w:tcW w:w="2020" w:type="dxa"/>
                  <w:vAlign w:val="center"/>
                </w:tcPr>
                <w:p w14:paraId="444608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rPr>
                  </w:pPr>
                  <w:r>
                    <w:rPr>
                      <w:rFonts w:hint="eastAsia"/>
                      <w:color w:val="auto"/>
                      <w:sz w:val="21"/>
                      <w:szCs w:val="21"/>
                    </w:rPr>
                    <w:t>已建，已验</w:t>
                  </w:r>
                </w:p>
              </w:tc>
            </w:tr>
            <w:tr w14:paraId="1489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126FC386">
                  <w:pPr>
                    <w:pStyle w:val="3"/>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kern w:val="44"/>
                      <w:sz w:val="21"/>
                      <w:szCs w:val="21"/>
                      <w:lang w:val="en-US" w:eastAsia="zh-CN" w:bidi="ar-SA"/>
                    </w:rPr>
                  </w:pPr>
                  <w:r>
                    <w:rPr>
                      <w:rFonts w:hint="eastAsia" w:eastAsia="宋体" w:cs="Times New Roman"/>
                      <w:color w:val="auto"/>
                      <w:kern w:val="44"/>
                      <w:sz w:val="21"/>
                      <w:szCs w:val="21"/>
                      <w:lang w:val="en-US" w:eastAsia="zh-CN" w:bidi="ar-SA"/>
                    </w:rPr>
                    <w:t>41</w:t>
                  </w:r>
                </w:p>
              </w:tc>
              <w:tc>
                <w:tcPr>
                  <w:tcW w:w="767" w:type="dxa"/>
                  <w:vMerge w:val="continue"/>
                  <w:vAlign w:val="center"/>
                </w:tcPr>
                <w:p w14:paraId="15590BCC">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6F104A19">
                  <w:pPr>
                    <w:pageBreakBefore w:val="0"/>
                    <w:kinsoku/>
                    <w:wordWrap/>
                    <w:overflowPunct/>
                    <w:topLinePunct w:val="0"/>
                    <w:autoSpaceDE/>
                    <w:autoSpaceDN/>
                    <w:bidi w:val="0"/>
                    <w:adjustRightInd/>
                    <w:snapToGrid/>
                    <w:spacing w:line="240" w:lineRule="auto"/>
                    <w:ind w:firstLine="0" w:firstLineChars="0"/>
                    <w:jc w:val="center"/>
                    <w:textAlignment w:val="bottom"/>
                    <w:rPr>
                      <w:rFonts w:hint="default" w:cs="Times New Roman"/>
                      <w:color w:val="auto"/>
                      <w:kern w:val="0"/>
                      <w:sz w:val="21"/>
                      <w:szCs w:val="21"/>
                      <w:lang w:val="en-US" w:eastAsia="zh-CN"/>
                    </w:rPr>
                  </w:pPr>
                  <w:r>
                    <w:rPr>
                      <w:rFonts w:hint="eastAsia" w:cs="Times New Roman"/>
                      <w:color w:val="auto"/>
                      <w:kern w:val="0"/>
                      <w:sz w:val="21"/>
                      <w:szCs w:val="21"/>
                      <w:lang w:val="en-US" w:eastAsia="zh-CN"/>
                    </w:rPr>
                    <w:t>湿料上砂初筛系统</w:t>
                  </w:r>
                </w:p>
              </w:tc>
              <w:tc>
                <w:tcPr>
                  <w:tcW w:w="2046" w:type="dxa"/>
                  <w:vAlign w:val="center"/>
                </w:tcPr>
                <w:p w14:paraId="4CABA93A">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w:t>
                  </w:r>
                </w:p>
              </w:tc>
              <w:tc>
                <w:tcPr>
                  <w:tcW w:w="632" w:type="dxa"/>
                  <w:vAlign w:val="center"/>
                </w:tcPr>
                <w:p w14:paraId="08CA3F08">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1</w:t>
                  </w:r>
                </w:p>
              </w:tc>
              <w:tc>
                <w:tcPr>
                  <w:tcW w:w="2020" w:type="dxa"/>
                  <w:vAlign w:val="center"/>
                </w:tcPr>
                <w:p w14:paraId="0C9584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rPr>
                  </w:pPr>
                  <w:r>
                    <w:rPr>
                      <w:rFonts w:hint="eastAsia"/>
                      <w:color w:val="auto"/>
                      <w:sz w:val="21"/>
                      <w:szCs w:val="21"/>
                    </w:rPr>
                    <w:t>已建，已验</w:t>
                  </w:r>
                </w:p>
              </w:tc>
            </w:tr>
            <w:tr w14:paraId="041F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7D70940F">
                  <w:pPr>
                    <w:pStyle w:val="3"/>
                    <w:pageBreakBefore w:val="0"/>
                    <w:kinsoku/>
                    <w:wordWrap/>
                    <w:overflowPunct/>
                    <w:topLinePunct w:val="0"/>
                    <w:autoSpaceDE/>
                    <w:autoSpaceDN/>
                    <w:bidi w:val="0"/>
                    <w:adjustRightInd/>
                    <w:snapToGrid/>
                    <w:spacing w:line="240" w:lineRule="auto"/>
                    <w:ind w:firstLine="0" w:firstLineChars="0"/>
                    <w:outlineLvl w:val="0"/>
                    <w:rPr>
                      <w:rFonts w:hint="default" w:eastAsia="宋体" w:cs="Times New Roman"/>
                      <w:color w:val="auto"/>
                      <w:kern w:val="44"/>
                      <w:sz w:val="21"/>
                      <w:szCs w:val="21"/>
                      <w:lang w:val="en-US" w:eastAsia="zh-CN" w:bidi="ar-SA"/>
                    </w:rPr>
                  </w:pPr>
                  <w:r>
                    <w:rPr>
                      <w:rFonts w:hint="eastAsia" w:eastAsia="宋体" w:cs="Times New Roman"/>
                      <w:color w:val="auto"/>
                      <w:kern w:val="44"/>
                      <w:sz w:val="21"/>
                      <w:szCs w:val="21"/>
                      <w:lang w:val="en-US" w:eastAsia="zh-CN" w:bidi="ar-SA"/>
                    </w:rPr>
                    <w:t>42</w:t>
                  </w:r>
                </w:p>
              </w:tc>
              <w:tc>
                <w:tcPr>
                  <w:tcW w:w="767" w:type="dxa"/>
                  <w:vMerge w:val="continue"/>
                  <w:vAlign w:val="center"/>
                </w:tcPr>
                <w:p w14:paraId="4578D173">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755B0E45">
                  <w:pPr>
                    <w:pStyle w:val="3"/>
                    <w:pageBreakBefore w:val="0"/>
                    <w:kinsoku/>
                    <w:wordWrap/>
                    <w:overflowPunct/>
                    <w:topLinePunct w:val="0"/>
                    <w:autoSpaceDE/>
                    <w:autoSpaceDN/>
                    <w:bidi w:val="0"/>
                    <w:adjustRightInd/>
                    <w:snapToGrid/>
                    <w:spacing w:line="240" w:lineRule="auto"/>
                    <w:ind w:firstLine="0" w:firstLineChars="0"/>
                    <w:outlineLvl w:val="0"/>
                    <w:rPr>
                      <w:rFonts w:hint="default" w:cs="Times New Roman"/>
                      <w:color w:val="auto"/>
                      <w:kern w:val="0"/>
                      <w:sz w:val="21"/>
                      <w:szCs w:val="21"/>
                      <w:lang w:val="en-US" w:eastAsia="zh-CN"/>
                    </w:rPr>
                  </w:pPr>
                  <w:r>
                    <w:rPr>
                      <w:rFonts w:hint="eastAsia"/>
                      <w:color w:val="auto"/>
                      <w:sz w:val="21"/>
                      <w:szCs w:val="21"/>
                      <w:lang w:val="en-US" w:eastAsia="zh-CN"/>
                    </w:rPr>
                    <w:t>集气罩</w:t>
                  </w:r>
                </w:p>
              </w:tc>
              <w:tc>
                <w:tcPr>
                  <w:tcW w:w="2046" w:type="dxa"/>
                  <w:vAlign w:val="center"/>
                </w:tcPr>
                <w:p w14:paraId="1D0C0CA4">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w:t>
                  </w:r>
                </w:p>
              </w:tc>
              <w:tc>
                <w:tcPr>
                  <w:tcW w:w="632" w:type="dxa"/>
                  <w:vAlign w:val="center"/>
                </w:tcPr>
                <w:p w14:paraId="754820D7">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3</w:t>
                  </w:r>
                </w:p>
              </w:tc>
              <w:tc>
                <w:tcPr>
                  <w:tcW w:w="2020" w:type="dxa"/>
                  <w:vAlign w:val="center"/>
                </w:tcPr>
                <w:p w14:paraId="72DC8A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rPr>
                  </w:pPr>
                  <w:r>
                    <w:rPr>
                      <w:rFonts w:hint="eastAsia"/>
                      <w:color w:val="auto"/>
                      <w:sz w:val="21"/>
                      <w:szCs w:val="21"/>
                    </w:rPr>
                    <w:t>已建，已验</w:t>
                  </w:r>
                </w:p>
              </w:tc>
            </w:tr>
            <w:tr w14:paraId="6901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 w:type="dxa"/>
                  <w:shd w:val="clear" w:color="auto" w:fill="auto"/>
                  <w:vAlign w:val="center"/>
                </w:tcPr>
                <w:p w14:paraId="16F089B0">
                  <w:pPr>
                    <w:pStyle w:val="3"/>
                    <w:pageBreakBefore w:val="0"/>
                    <w:kinsoku/>
                    <w:wordWrap/>
                    <w:overflowPunct/>
                    <w:topLinePunct w:val="0"/>
                    <w:autoSpaceDE/>
                    <w:autoSpaceDN/>
                    <w:bidi w:val="0"/>
                    <w:adjustRightInd/>
                    <w:snapToGrid/>
                    <w:spacing w:line="240" w:lineRule="auto"/>
                    <w:ind w:firstLine="0" w:firstLineChars="0"/>
                    <w:outlineLvl w:val="0"/>
                    <w:rPr>
                      <w:rFonts w:hint="default" w:eastAsia="宋体" w:cs="Times New Roman"/>
                      <w:color w:val="auto"/>
                      <w:kern w:val="44"/>
                      <w:sz w:val="21"/>
                      <w:szCs w:val="21"/>
                      <w:lang w:val="en-US" w:eastAsia="zh-CN" w:bidi="ar-SA"/>
                    </w:rPr>
                  </w:pPr>
                  <w:r>
                    <w:rPr>
                      <w:rFonts w:hint="eastAsia" w:eastAsia="宋体" w:cs="Times New Roman"/>
                      <w:color w:val="auto"/>
                      <w:kern w:val="44"/>
                      <w:sz w:val="21"/>
                      <w:szCs w:val="21"/>
                      <w:lang w:val="en-US" w:eastAsia="zh-CN" w:bidi="ar-SA"/>
                    </w:rPr>
                    <w:t>43</w:t>
                  </w:r>
                </w:p>
              </w:tc>
              <w:tc>
                <w:tcPr>
                  <w:tcW w:w="767" w:type="dxa"/>
                  <w:vMerge w:val="continue"/>
                  <w:vAlign w:val="center"/>
                </w:tcPr>
                <w:p w14:paraId="5692B7C8">
                  <w:pPr>
                    <w:pStyle w:val="3"/>
                    <w:pageBreakBefore w:val="0"/>
                    <w:kinsoku/>
                    <w:wordWrap/>
                    <w:overflowPunct/>
                    <w:topLinePunct w:val="0"/>
                    <w:autoSpaceDE/>
                    <w:autoSpaceDN/>
                    <w:bidi w:val="0"/>
                    <w:adjustRightInd/>
                    <w:snapToGrid/>
                    <w:spacing w:line="240" w:lineRule="auto"/>
                    <w:ind w:firstLine="0" w:firstLineChars="0"/>
                    <w:outlineLvl w:val="0"/>
                    <w:rPr>
                      <w:rFonts w:hint="eastAsia"/>
                      <w:color w:val="auto"/>
                      <w:sz w:val="21"/>
                      <w:szCs w:val="21"/>
                    </w:rPr>
                  </w:pPr>
                </w:p>
              </w:tc>
              <w:tc>
                <w:tcPr>
                  <w:tcW w:w="2059" w:type="dxa"/>
                  <w:vAlign w:val="center"/>
                </w:tcPr>
                <w:p w14:paraId="00479749">
                  <w:pPr>
                    <w:pStyle w:val="3"/>
                    <w:pageBreakBefore w:val="0"/>
                    <w:kinsoku/>
                    <w:wordWrap/>
                    <w:overflowPunct/>
                    <w:topLinePunct w:val="0"/>
                    <w:autoSpaceDE/>
                    <w:autoSpaceDN/>
                    <w:bidi w:val="0"/>
                    <w:adjustRightInd/>
                    <w:snapToGrid/>
                    <w:spacing w:line="240" w:lineRule="auto"/>
                    <w:ind w:firstLine="0" w:firstLineChars="0"/>
                    <w:outlineLvl w:val="0"/>
                    <w:rPr>
                      <w:rFonts w:hint="default" w:cs="Times New Roman"/>
                      <w:color w:val="auto"/>
                      <w:kern w:val="0"/>
                      <w:sz w:val="21"/>
                      <w:szCs w:val="21"/>
                      <w:lang w:val="en-US" w:eastAsia="zh-CN"/>
                    </w:rPr>
                  </w:pPr>
                  <w:r>
                    <w:rPr>
                      <w:rFonts w:hint="eastAsia"/>
                      <w:color w:val="auto"/>
                      <w:sz w:val="21"/>
                      <w:szCs w:val="21"/>
                      <w:lang w:val="en-US" w:eastAsia="zh-CN"/>
                    </w:rPr>
                    <w:t>布袋除尘器</w:t>
                  </w:r>
                </w:p>
              </w:tc>
              <w:tc>
                <w:tcPr>
                  <w:tcW w:w="2046" w:type="dxa"/>
                  <w:vAlign w:val="center"/>
                </w:tcPr>
                <w:p w14:paraId="51114220">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w:t>
                  </w:r>
                </w:p>
              </w:tc>
              <w:tc>
                <w:tcPr>
                  <w:tcW w:w="632" w:type="dxa"/>
                  <w:vAlign w:val="center"/>
                </w:tcPr>
                <w:p w14:paraId="05866FB9">
                  <w:pPr>
                    <w:pStyle w:val="3"/>
                    <w:pageBreakBefore w:val="0"/>
                    <w:kinsoku/>
                    <w:wordWrap/>
                    <w:overflowPunct/>
                    <w:topLinePunct w:val="0"/>
                    <w:autoSpaceDE/>
                    <w:autoSpaceDN/>
                    <w:bidi w:val="0"/>
                    <w:adjustRightInd/>
                    <w:snapToGrid/>
                    <w:ind w:firstLine="0" w:firstLineChars="0"/>
                    <w:rPr>
                      <w:rFonts w:hint="default"/>
                      <w:lang w:val="en-US" w:eastAsia="zh-CN"/>
                    </w:rPr>
                  </w:pPr>
                  <w:r>
                    <w:rPr>
                      <w:rFonts w:hint="eastAsia"/>
                      <w:lang w:val="en-US" w:eastAsia="zh-CN"/>
                    </w:rPr>
                    <w:t>3</w:t>
                  </w:r>
                </w:p>
              </w:tc>
              <w:tc>
                <w:tcPr>
                  <w:tcW w:w="2020" w:type="dxa"/>
                  <w:vAlign w:val="center"/>
                </w:tcPr>
                <w:p w14:paraId="47A82A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rPr>
                  </w:pPr>
                  <w:r>
                    <w:rPr>
                      <w:rFonts w:hint="eastAsia"/>
                      <w:color w:val="auto"/>
                      <w:sz w:val="21"/>
                      <w:szCs w:val="21"/>
                    </w:rPr>
                    <w:t>已建，已验</w:t>
                  </w:r>
                </w:p>
              </w:tc>
            </w:tr>
          </w:tbl>
          <w:p w14:paraId="065951F5">
            <w:pPr>
              <w:widowControl w:val="0"/>
              <w:wordWrap/>
              <w:adjustRightInd/>
              <w:snapToGrid/>
              <w:spacing w:line="360" w:lineRule="auto"/>
              <w:ind w:left="0" w:leftChars="0" w:right="0" w:firstLine="480" w:firstLineChars="200"/>
              <w:jc w:val="both"/>
              <w:textAlignment w:val="auto"/>
              <w:outlineLvl w:val="9"/>
              <w:rPr>
                <w:rFonts w:hint="eastAsia"/>
                <w:bCs/>
                <w:color w:val="auto"/>
                <w:sz w:val="24"/>
                <w:lang w:val="en-US" w:eastAsia="zh-CN"/>
              </w:rPr>
            </w:pPr>
            <w:r>
              <w:rPr>
                <w:rFonts w:hint="eastAsia"/>
                <w:b w:val="0"/>
                <w:bCs w:val="0"/>
                <w:color w:val="auto"/>
                <w:lang w:eastAsia="zh-CN"/>
              </w:rPr>
              <w:t>（</w:t>
            </w:r>
            <w:r>
              <w:rPr>
                <w:rFonts w:hint="eastAsia"/>
                <w:b w:val="0"/>
                <w:bCs w:val="0"/>
                <w:color w:val="auto"/>
                <w:lang w:val="en-US" w:eastAsia="zh-CN"/>
              </w:rPr>
              <w:t>2</w:t>
            </w:r>
            <w:r>
              <w:rPr>
                <w:rFonts w:hint="eastAsia"/>
                <w:b w:val="0"/>
                <w:bCs w:val="0"/>
                <w:color w:val="auto"/>
                <w:lang w:eastAsia="zh-CN"/>
              </w:rPr>
              <w:t>）</w:t>
            </w:r>
            <w:r>
              <w:rPr>
                <w:rFonts w:hint="eastAsia"/>
                <w:bCs/>
                <w:color w:val="auto"/>
                <w:sz w:val="24"/>
                <w:lang w:val="en-US" w:eastAsia="zh-CN"/>
              </w:rPr>
              <w:t>产能核算</w:t>
            </w:r>
          </w:p>
          <w:p w14:paraId="4EC9BC8C">
            <w:pPr>
              <w:spacing w:line="360" w:lineRule="auto"/>
              <w:rPr>
                <w:rFonts w:hint="eastAsia"/>
                <w:bCs/>
                <w:color w:val="auto"/>
                <w:sz w:val="24"/>
                <w:lang w:val="en-US" w:eastAsia="zh-CN"/>
              </w:rPr>
            </w:pPr>
            <w:r>
              <w:rPr>
                <w:rFonts w:hint="eastAsia"/>
                <w:bCs/>
                <w:color w:val="auto"/>
                <w:sz w:val="24"/>
                <w:lang w:val="en-US" w:eastAsia="zh-CN"/>
              </w:rPr>
              <w:t>企业拟设计新增</w:t>
            </w:r>
            <w:r>
              <w:rPr>
                <w:rFonts w:hint="eastAsia"/>
                <w:color w:val="auto"/>
                <w:sz w:val="24"/>
                <w:szCs w:val="24"/>
                <w:lang w:val="en-US" w:eastAsia="zh-CN"/>
              </w:rPr>
              <w:t>1条水稳站生产线</w:t>
            </w:r>
            <w:r>
              <w:rPr>
                <w:rFonts w:hint="eastAsia"/>
                <w:bCs/>
                <w:color w:val="auto"/>
                <w:sz w:val="24"/>
                <w:lang w:val="en-US" w:eastAsia="zh-CN"/>
              </w:rPr>
              <w:t>，每年拟生产300d、每天12h，理论生产能力200t/</w:t>
            </w:r>
            <w:r>
              <w:rPr>
                <w:rFonts w:hint="eastAsia"/>
                <w:color w:val="auto"/>
                <w:lang w:val="en-US" w:eastAsia="zh-CN"/>
              </w:rPr>
              <w:t>h、72</w:t>
            </w:r>
            <w:r>
              <w:rPr>
                <w:rFonts w:hint="eastAsia"/>
                <w:bCs/>
                <w:color w:val="auto"/>
                <w:sz w:val="24"/>
                <w:lang w:val="en-US" w:eastAsia="zh-CN"/>
              </w:rPr>
              <w:t>万t/a，可满足本项目的计划产能（50万t/a）可满足本项目的计划产能（50万t/a）。</w:t>
            </w:r>
          </w:p>
          <w:p w14:paraId="2C67F05E">
            <w:pPr>
              <w:numPr>
                <w:ilvl w:val="0"/>
                <w:numId w:val="1"/>
              </w:numPr>
              <w:ind w:firstLine="0" w:firstLineChars="0"/>
              <w:rPr>
                <w:b/>
                <w:bCs/>
                <w:color w:val="auto"/>
              </w:rPr>
            </w:pPr>
            <w:r>
              <w:rPr>
                <w:rFonts w:hint="eastAsia"/>
                <w:b/>
                <w:bCs/>
                <w:color w:val="auto"/>
              </w:rPr>
              <w:t>原辅料及能源消耗</w:t>
            </w:r>
          </w:p>
          <w:p w14:paraId="3C519075">
            <w:pPr>
              <w:ind w:firstLine="480"/>
              <w:rPr>
                <w:color w:val="auto"/>
              </w:rPr>
            </w:pPr>
            <w:r>
              <w:rPr>
                <w:rFonts w:hint="eastAsia"/>
                <w:color w:val="auto"/>
              </w:rPr>
              <w:t>主要原辅料及能源消耗见下表。</w:t>
            </w:r>
          </w:p>
          <w:p w14:paraId="78AB4F33">
            <w:pPr>
              <w:spacing w:line="240" w:lineRule="auto"/>
              <w:ind w:firstLine="0" w:firstLineChars="0"/>
              <w:jc w:val="center"/>
              <w:rPr>
                <w:rFonts w:hint="default" w:eastAsia="宋体"/>
                <w:b/>
                <w:bCs/>
                <w:color w:val="auto"/>
                <w:lang w:val="en-US" w:eastAsia="zh-CN"/>
              </w:rPr>
            </w:pPr>
            <w:r>
              <w:rPr>
                <w:rFonts w:hint="eastAsia"/>
                <w:b/>
                <w:bCs/>
                <w:color w:val="auto"/>
              </w:rPr>
              <w:t>表2-</w:t>
            </w:r>
            <w:r>
              <w:rPr>
                <w:rFonts w:hint="eastAsia"/>
                <w:b/>
                <w:bCs/>
                <w:color w:val="auto"/>
                <w:lang w:val="en-US" w:eastAsia="zh-CN"/>
              </w:rPr>
              <w:t>5</w:t>
            </w:r>
            <w:r>
              <w:rPr>
                <w:rFonts w:hint="eastAsia"/>
                <w:b/>
                <w:bCs/>
                <w:color w:val="auto"/>
              </w:rPr>
              <w:t xml:space="preserve">  全厂主要原辅料及能源消耗一览表</w:t>
            </w:r>
            <w:r>
              <w:rPr>
                <w:rFonts w:hint="eastAsia"/>
                <w:b/>
                <w:bCs/>
                <w:color w:val="auto"/>
                <w:lang w:val="en-US" w:eastAsia="zh-CN"/>
              </w:rPr>
              <w:t xml:space="preserve">  单位：t/a</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707"/>
              <w:gridCol w:w="902"/>
              <w:gridCol w:w="4165"/>
              <w:gridCol w:w="1700"/>
            </w:tblGrid>
            <w:tr w14:paraId="60A7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70062A5B">
                  <w:pPr>
                    <w:pStyle w:val="3"/>
                    <w:outlineLvl w:val="0"/>
                    <w:rPr>
                      <w:b/>
                      <w:bCs/>
                      <w:color w:val="auto"/>
                    </w:rPr>
                  </w:pPr>
                  <w:r>
                    <w:rPr>
                      <w:rFonts w:hint="eastAsia"/>
                      <w:b/>
                      <w:bCs/>
                      <w:color w:val="auto"/>
                    </w:rPr>
                    <w:t>序号</w:t>
                  </w:r>
                </w:p>
              </w:tc>
              <w:tc>
                <w:tcPr>
                  <w:tcW w:w="658" w:type="dxa"/>
                  <w:vAlign w:val="center"/>
                </w:tcPr>
                <w:p w14:paraId="05528ADC">
                  <w:pPr>
                    <w:pStyle w:val="3"/>
                    <w:outlineLvl w:val="0"/>
                    <w:rPr>
                      <w:b/>
                      <w:bCs/>
                      <w:color w:val="auto"/>
                    </w:rPr>
                  </w:pPr>
                  <w:r>
                    <w:rPr>
                      <w:rFonts w:hint="eastAsia"/>
                      <w:b/>
                      <w:bCs/>
                      <w:color w:val="auto"/>
                    </w:rPr>
                    <w:t>名称</w:t>
                  </w:r>
                </w:p>
              </w:tc>
              <w:tc>
                <w:tcPr>
                  <w:tcW w:w="840" w:type="dxa"/>
                  <w:vAlign w:val="center"/>
                </w:tcPr>
                <w:p w14:paraId="0EAD1C0D">
                  <w:pPr>
                    <w:pStyle w:val="3"/>
                    <w:outlineLvl w:val="0"/>
                    <w:rPr>
                      <w:b/>
                      <w:bCs/>
                      <w:color w:val="auto"/>
                    </w:rPr>
                  </w:pPr>
                  <w:r>
                    <w:rPr>
                      <w:rFonts w:hint="eastAsia"/>
                      <w:b/>
                      <w:bCs/>
                      <w:color w:val="auto"/>
                    </w:rPr>
                    <w:t>用量</w:t>
                  </w:r>
                </w:p>
              </w:tc>
              <w:tc>
                <w:tcPr>
                  <w:tcW w:w="3877" w:type="dxa"/>
                  <w:vAlign w:val="center"/>
                </w:tcPr>
                <w:p w14:paraId="6A6B5722">
                  <w:pPr>
                    <w:pStyle w:val="3"/>
                    <w:outlineLvl w:val="0"/>
                    <w:rPr>
                      <w:b/>
                      <w:bCs/>
                      <w:color w:val="auto"/>
                    </w:rPr>
                  </w:pPr>
                  <w:r>
                    <w:rPr>
                      <w:rFonts w:hint="eastAsia"/>
                      <w:b/>
                      <w:bCs/>
                      <w:color w:val="auto"/>
                    </w:rPr>
                    <w:t>备注</w:t>
                  </w:r>
                </w:p>
              </w:tc>
              <w:tc>
                <w:tcPr>
                  <w:tcW w:w="1582" w:type="dxa"/>
                  <w:vAlign w:val="center"/>
                </w:tcPr>
                <w:p w14:paraId="0E314475">
                  <w:pPr>
                    <w:pStyle w:val="3"/>
                    <w:outlineLvl w:val="0"/>
                    <w:rPr>
                      <w:rFonts w:hint="default" w:eastAsia="宋体"/>
                      <w:b/>
                      <w:bCs/>
                      <w:color w:val="auto"/>
                      <w:lang w:val="en-US" w:eastAsia="zh-CN"/>
                    </w:rPr>
                  </w:pPr>
                  <w:r>
                    <w:rPr>
                      <w:rFonts w:hint="eastAsia"/>
                      <w:b/>
                      <w:bCs/>
                      <w:color w:val="auto"/>
                      <w:lang w:val="en-US" w:eastAsia="zh-CN"/>
                    </w:rPr>
                    <w:t>暂存位置</w:t>
                  </w:r>
                </w:p>
              </w:tc>
            </w:tr>
            <w:tr w14:paraId="770A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1" w:type="dxa"/>
                  <w:gridSpan w:val="5"/>
                  <w:vAlign w:val="center"/>
                </w:tcPr>
                <w:p w14:paraId="619FA8C2">
                  <w:pPr>
                    <w:pStyle w:val="3"/>
                    <w:outlineLvl w:val="0"/>
                    <w:rPr>
                      <w:rFonts w:hint="eastAsia"/>
                      <w:b/>
                      <w:bCs/>
                      <w:color w:val="auto"/>
                      <w:lang w:val="en-US" w:eastAsia="zh-CN"/>
                    </w:rPr>
                  </w:pPr>
                  <w:r>
                    <w:rPr>
                      <w:rFonts w:hint="eastAsia"/>
                      <w:b/>
                      <w:bCs/>
                      <w:color w:val="auto"/>
                      <w:lang w:val="en-US" w:eastAsia="zh-CN"/>
                    </w:rPr>
                    <w:t>本次</w:t>
                  </w:r>
                  <w:r>
                    <w:rPr>
                      <w:rFonts w:hint="eastAsia"/>
                      <w:b/>
                      <w:bCs/>
                      <w:color w:val="auto"/>
                    </w:rPr>
                    <w:t>扩建项目年产</w:t>
                  </w:r>
                  <w:r>
                    <w:rPr>
                      <w:rFonts w:hint="eastAsia"/>
                      <w:b/>
                      <w:bCs/>
                      <w:color w:val="auto"/>
                      <w:lang w:val="en-US" w:eastAsia="zh-CN"/>
                    </w:rPr>
                    <w:t>50</w:t>
                  </w:r>
                  <w:r>
                    <w:rPr>
                      <w:rFonts w:hint="eastAsia"/>
                      <w:b/>
                      <w:bCs/>
                      <w:color w:val="auto"/>
                    </w:rPr>
                    <w:t>万吨水稳</w:t>
                  </w:r>
                  <w:r>
                    <w:rPr>
                      <w:rFonts w:hint="eastAsia"/>
                      <w:b/>
                      <w:bCs/>
                      <w:color w:val="auto"/>
                      <w:lang w:val="en-US" w:eastAsia="zh-CN"/>
                    </w:rPr>
                    <w:t>料</w:t>
                  </w:r>
                </w:p>
              </w:tc>
            </w:tr>
            <w:tr w14:paraId="1894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7D216B39">
                  <w:pPr>
                    <w:pStyle w:val="3"/>
                    <w:outlineLvl w:val="0"/>
                    <w:rPr>
                      <w:color w:val="auto"/>
                    </w:rPr>
                  </w:pPr>
                  <w:r>
                    <w:rPr>
                      <w:rFonts w:hint="eastAsia"/>
                      <w:color w:val="auto"/>
                    </w:rPr>
                    <w:t>1</w:t>
                  </w:r>
                </w:p>
              </w:tc>
              <w:tc>
                <w:tcPr>
                  <w:tcW w:w="658" w:type="dxa"/>
                  <w:vAlign w:val="center"/>
                </w:tcPr>
                <w:p w14:paraId="6DCF2AAC">
                  <w:pPr>
                    <w:pStyle w:val="3"/>
                    <w:outlineLvl w:val="0"/>
                    <w:rPr>
                      <w:color w:val="auto"/>
                    </w:rPr>
                  </w:pPr>
                  <w:r>
                    <w:rPr>
                      <w:rFonts w:hint="eastAsia"/>
                      <w:color w:val="auto"/>
                    </w:rPr>
                    <w:t>石粉</w:t>
                  </w:r>
                </w:p>
              </w:tc>
              <w:tc>
                <w:tcPr>
                  <w:tcW w:w="840" w:type="dxa"/>
                  <w:vAlign w:val="center"/>
                </w:tcPr>
                <w:p w14:paraId="38DFC352">
                  <w:pPr>
                    <w:pStyle w:val="3"/>
                    <w:outlineLvl w:val="0"/>
                    <w:rPr>
                      <w:rFonts w:hint="default" w:eastAsia="宋体"/>
                      <w:color w:val="auto"/>
                      <w:lang w:val="en-US" w:eastAsia="zh-CN"/>
                    </w:rPr>
                  </w:pPr>
                  <w:r>
                    <w:rPr>
                      <w:rFonts w:hint="eastAsia"/>
                      <w:color w:val="auto"/>
                    </w:rPr>
                    <w:t>1</w:t>
                  </w:r>
                  <w:r>
                    <w:rPr>
                      <w:rFonts w:hint="eastAsia"/>
                      <w:color w:val="auto"/>
                      <w:lang w:val="en-US" w:eastAsia="zh-CN"/>
                    </w:rPr>
                    <w:t>3</w:t>
                  </w:r>
                  <w:r>
                    <w:rPr>
                      <w:rFonts w:hint="eastAsia"/>
                      <w:color w:val="auto"/>
                    </w:rPr>
                    <w:t>5000</w:t>
                  </w:r>
                </w:p>
              </w:tc>
              <w:tc>
                <w:tcPr>
                  <w:tcW w:w="3877" w:type="dxa"/>
                  <w:vAlign w:val="center"/>
                </w:tcPr>
                <w:p w14:paraId="54D5201E">
                  <w:pPr>
                    <w:pStyle w:val="3"/>
                    <w:outlineLvl w:val="0"/>
                    <w:rPr>
                      <w:rFonts w:hint="default" w:eastAsia="宋体"/>
                      <w:color w:val="auto"/>
                      <w:lang w:val="en-US" w:eastAsia="zh-CN"/>
                    </w:rPr>
                  </w:pPr>
                  <w:r>
                    <w:rPr>
                      <w:rFonts w:hint="eastAsia"/>
                      <w:color w:val="auto"/>
                    </w:rPr>
                    <w:t>最大暂存量10000吨</w:t>
                  </w:r>
                </w:p>
              </w:tc>
              <w:tc>
                <w:tcPr>
                  <w:tcW w:w="1582" w:type="dxa"/>
                  <w:vAlign w:val="center"/>
                </w:tcPr>
                <w:p w14:paraId="7524CB76">
                  <w:pPr>
                    <w:pStyle w:val="3"/>
                    <w:outlineLvl w:val="0"/>
                    <w:rPr>
                      <w:rFonts w:hint="eastAsia"/>
                      <w:color w:val="auto"/>
                    </w:rPr>
                  </w:pPr>
                  <w:r>
                    <w:rPr>
                      <w:rFonts w:hint="eastAsia"/>
                      <w:color w:val="auto"/>
                    </w:rPr>
                    <w:t>原料区堆放</w:t>
                  </w:r>
                  <w:r>
                    <w:rPr>
                      <w:rFonts w:hint="eastAsia"/>
                      <w:color w:val="auto"/>
                      <w:lang w:val="en-US" w:eastAsia="zh-CN"/>
                    </w:rPr>
                    <w:t>暂存</w:t>
                  </w:r>
                </w:p>
              </w:tc>
            </w:tr>
            <w:tr w14:paraId="5F6F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4E5B383D">
                  <w:pPr>
                    <w:pStyle w:val="3"/>
                    <w:outlineLvl w:val="0"/>
                    <w:rPr>
                      <w:color w:val="auto"/>
                    </w:rPr>
                  </w:pPr>
                  <w:r>
                    <w:rPr>
                      <w:rFonts w:hint="eastAsia"/>
                      <w:color w:val="auto"/>
                    </w:rPr>
                    <w:t>2</w:t>
                  </w:r>
                </w:p>
              </w:tc>
              <w:tc>
                <w:tcPr>
                  <w:tcW w:w="658" w:type="dxa"/>
                  <w:vAlign w:val="center"/>
                </w:tcPr>
                <w:p w14:paraId="2BA24F53">
                  <w:pPr>
                    <w:pStyle w:val="3"/>
                    <w:outlineLvl w:val="0"/>
                    <w:rPr>
                      <w:color w:val="auto"/>
                    </w:rPr>
                  </w:pPr>
                  <w:r>
                    <w:rPr>
                      <w:rFonts w:hint="eastAsia"/>
                      <w:color w:val="auto"/>
                    </w:rPr>
                    <w:t>石子</w:t>
                  </w:r>
                </w:p>
              </w:tc>
              <w:tc>
                <w:tcPr>
                  <w:tcW w:w="840" w:type="dxa"/>
                  <w:vAlign w:val="center"/>
                </w:tcPr>
                <w:p w14:paraId="6FE7A25B">
                  <w:pPr>
                    <w:pStyle w:val="3"/>
                    <w:outlineLvl w:val="0"/>
                    <w:rPr>
                      <w:rFonts w:hint="default" w:eastAsia="宋体"/>
                      <w:color w:val="auto"/>
                      <w:lang w:val="en-US" w:eastAsia="zh-CN"/>
                    </w:rPr>
                  </w:pPr>
                  <w:r>
                    <w:rPr>
                      <w:rFonts w:hint="eastAsia"/>
                      <w:color w:val="auto"/>
                    </w:rPr>
                    <w:t>300000</w:t>
                  </w:r>
                </w:p>
              </w:tc>
              <w:tc>
                <w:tcPr>
                  <w:tcW w:w="3877" w:type="dxa"/>
                  <w:vAlign w:val="center"/>
                </w:tcPr>
                <w:p w14:paraId="310B29C5">
                  <w:pPr>
                    <w:pStyle w:val="3"/>
                    <w:outlineLvl w:val="0"/>
                    <w:rPr>
                      <w:color w:val="auto"/>
                    </w:rPr>
                  </w:pPr>
                  <w:r>
                    <w:rPr>
                      <w:rFonts w:hint="eastAsia"/>
                      <w:color w:val="auto"/>
                      <w:lang w:val="en-US" w:eastAsia="zh-CN"/>
                    </w:rPr>
                    <w:t>粒径为16-31.5mm、10-20mm、1-5mm、5-10mm等；外购新料，不在厂内破碎、</w:t>
                  </w:r>
                  <w:r>
                    <w:rPr>
                      <w:rFonts w:hint="eastAsia"/>
                      <w:color w:val="auto"/>
                    </w:rPr>
                    <w:t>最大暂存量1000吨外购新料</w:t>
                  </w:r>
                </w:p>
              </w:tc>
              <w:tc>
                <w:tcPr>
                  <w:tcW w:w="1582" w:type="dxa"/>
                  <w:vAlign w:val="center"/>
                </w:tcPr>
                <w:p w14:paraId="16D6B7D8">
                  <w:pPr>
                    <w:pStyle w:val="3"/>
                    <w:outlineLvl w:val="0"/>
                    <w:rPr>
                      <w:rFonts w:hint="eastAsia"/>
                      <w:color w:val="auto"/>
                      <w:lang w:val="en-US" w:eastAsia="zh-CN"/>
                    </w:rPr>
                  </w:pPr>
                  <w:r>
                    <w:rPr>
                      <w:rFonts w:hint="eastAsia"/>
                      <w:color w:val="auto"/>
                    </w:rPr>
                    <w:t>原料区堆放</w:t>
                  </w:r>
                  <w:r>
                    <w:rPr>
                      <w:rFonts w:hint="eastAsia"/>
                      <w:color w:val="auto"/>
                      <w:lang w:val="en-US" w:eastAsia="zh-CN"/>
                    </w:rPr>
                    <w:t>暂存</w:t>
                  </w:r>
                </w:p>
              </w:tc>
            </w:tr>
            <w:tr w14:paraId="30CC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31125490">
                  <w:pPr>
                    <w:pStyle w:val="3"/>
                    <w:outlineLvl w:val="0"/>
                    <w:rPr>
                      <w:rFonts w:hint="eastAsia" w:eastAsia="宋体"/>
                      <w:color w:val="auto"/>
                      <w:lang w:eastAsia="zh-CN"/>
                    </w:rPr>
                  </w:pPr>
                  <w:r>
                    <w:rPr>
                      <w:rFonts w:hint="eastAsia"/>
                      <w:color w:val="auto"/>
                      <w:lang w:val="en-US" w:eastAsia="zh-CN"/>
                    </w:rPr>
                    <w:t>3</w:t>
                  </w:r>
                </w:p>
              </w:tc>
              <w:tc>
                <w:tcPr>
                  <w:tcW w:w="658" w:type="dxa"/>
                  <w:vAlign w:val="center"/>
                </w:tcPr>
                <w:p w14:paraId="5DE566EB">
                  <w:pPr>
                    <w:pStyle w:val="3"/>
                    <w:outlineLvl w:val="0"/>
                    <w:rPr>
                      <w:color w:val="auto"/>
                    </w:rPr>
                  </w:pPr>
                  <w:r>
                    <w:rPr>
                      <w:rFonts w:hint="eastAsia"/>
                      <w:color w:val="auto"/>
                    </w:rPr>
                    <w:t>水泥</w:t>
                  </w:r>
                </w:p>
              </w:tc>
              <w:tc>
                <w:tcPr>
                  <w:tcW w:w="840" w:type="dxa"/>
                  <w:vAlign w:val="center"/>
                </w:tcPr>
                <w:p w14:paraId="2F57D36C">
                  <w:pPr>
                    <w:pStyle w:val="3"/>
                    <w:outlineLvl w:val="0"/>
                    <w:rPr>
                      <w:rFonts w:hint="default" w:eastAsia="宋体"/>
                      <w:color w:val="auto"/>
                      <w:lang w:val="en-US" w:eastAsia="zh-CN"/>
                    </w:rPr>
                  </w:pPr>
                  <w:r>
                    <w:rPr>
                      <w:rFonts w:hint="eastAsia"/>
                      <w:color w:val="auto"/>
                    </w:rPr>
                    <w:t>250</w:t>
                  </w:r>
                  <w:r>
                    <w:rPr>
                      <w:rFonts w:hint="eastAsia"/>
                      <w:color w:val="auto"/>
                      <w:lang w:val="en-US" w:eastAsia="zh-CN"/>
                    </w:rPr>
                    <w:t>59.557</w:t>
                  </w:r>
                </w:p>
              </w:tc>
              <w:tc>
                <w:tcPr>
                  <w:tcW w:w="3877" w:type="dxa"/>
                  <w:vAlign w:val="center"/>
                </w:tcPr>
                <w:p w14:paraId="75486DE4">
                  <w:pPr>
                    <w:pStyle w:val="3"/>
                    <w:outlineLvl w:val="0"/>
                    <w:rPr>
                      <w:rFonts w:hint="default" w:eastAsia="宋体"/>
                      <w:color w:val="auto"/>
                      <w:lang w:val="en-US" w:eastAsia="zh-CN"/>
                    </w:rPr>
                  </w:pPr>
                  <w:r>
                    <w:rPr>
                      <w:rFonts w:hint="eastAsia"/>
                      <w:color w:val="auto"/>
                    </w:rPr>
                    <w:t>水泥筒仓暂存，最大储存量为</w:t>
                  </w:r>
                  <w:r>
                    <w:rPr>
                      <w:rFonts w:hint="eastAsia"/>
                      <w:color w:val="auto"/>
                      <w:lang w:val="en-US" w:eastAsia="zh-CN"/>
                    </w:rPr>
                    <w:t>120</w:t>
                  </w:r>
                  <w:r>
                    <w:rPr>
                      <w:rFonts w:hint="eastAsia"/>
                      <w:color w:val="auto"/>
                    </w:rPr>
                    <w:t>t</w:t>
                  </w:r>
                  <w:r>
                    <w:rPr>
                      <w:rFonts w:hint="eastAsia"/>
                      <w:color w:val="auto"/>
                      <w:lang w:eastAsia="zh-CN"/>
                    </w:rPr>
                    <w:t>、</w:t>
                  </w:r>
                  <w:r>
                    <w:rPr>
                      <w:rFonts w:hint="eastAsia"/>
                      <w:color w:val="auto"/>
                      <w:lang w:val="en-US" w:eastAsia="zh-CN"/>
                    </w:rPr>
                    <w:t>设置3个水泥筒仓</w:t>
                  </w:r>
                  <w:r>
                    <w:rPr>
                      <w:rFonts w:hint="eastAsia"/>
                      <w:color w:val="auto"/>
                      <w:lang w:eastAsia="zh-CN"/>
                    </w:rPr>
                    <w:t>、</w:t>
                  </w:r>
                </w:p>
              </w:tc>
              <w:tc>
                <w:tcPr>
                  <w:tcW w:w="1582" w:type="dxa"/>
                  <w:vAlign w:val="center"/>
                </w:tcPr>
                <w:p w14:paraId="31707734">
                  <w:pPr>
                    <w:pStyle w:val="3"/>
                    <w:outlineLvl w:val="0"/>
                    <w:rPr>
                      <w:rFonts w:hint="default" w:eastAsia="宋体"/>
                      <w:color w:val="auto"/>
                      <w:lang w:val="en-US" w:eastAsia="zh-CN"/>
                    </w:rPr>
                  </w:pPr>
                  <w:r>
                    <w:rPr>
                      <w:rFonts w:hint="eastAsia"/>
                      <w:color w:val="auto"/>
                      <w:lang w:val="en-US" w:eastAsia="zh-CN"/>
                    </w:rPr>
                    <w:t>水泥筒仓暂存</w:t>
                  </w:r>
                </w:p>
              </w:tc>
            </w:tr>
            <w:tr w14:paraId="1B05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7FFC39FE">
                  <w:pPr>
                    <w:pStyle w:val="3"/>
                    <w:outlineLvl w:val="0"/>
                    <w:rPr>
                      <w:rFonts w:hint="eastAsia" w:eastAsia="宋体"/>
                      <w:color w:val="auto"/>
                      <w:lang w:val="en-US" w:eastAsia="zh-CN"/>
                    </w:rPr>
                  </w:pPr>
                  <w:r>
                    <w:rPr>
                      <w:rFonts w:hint="eastAsia"/>
                      <w:color w:val="auto"/>
                      <w:lang w:val="en-US" w:eastAsia="zh-CN"/>
                    </w:rPr>
                    <w:t>4</w:t>
                  </w:r>
                </w:p>
              </w:tc>
              <w:tc>
                <w:tcPr>
                  <w:tcW w:w="658" w:type="dxa"/>
                  <w:vAlign w:val="center"/>
                </w:tcPr>
                <w:p w14:paraId="7C45D6A8">
                  <w:pPr>
                    <w:pStyle w:val="3"/>
                    <w:outlineLvl w:val="0"/>
                    <w:rPr>
                      <w:rFonts w:hint="eastAsia" w:eastAsia="宋体"/>
                      <w:color w:val="auto"/>
                      <w:lang w:val="en-US" w:eastAsia="zh-CN"/>
                    </w:rPr>
                  </w:pPr>
                  <w:r>
                    <w:rPr>
                      <w:rFonts w:hint="eastAsia"/>
                      <w:color w:val="auto"/>
                      <w:lang w:val="en-US" w:eastAsia="zh-CN"/>
                    </w:rPr>
                    <w:t>机油</w:t>
                  </w:r>
                </w:p>
              </w:tc>
              <w:tc>
                <w:tcPr>
                  <w:tcW w:w="840" w:type="dxa"/>
                  <w:vAlign w:val="center"/>
                </w:tcPr>
                <w:p w14:paraId="197F2D0C">
                  <w:pPr>
                    <w:pStyle w:val="3"/>
                    <w:outlineLvl w:val="0"/>
                    <w:rPr>
                      <w:rFonts w:hint="default" w:eastAsia="宋体"/>
                      <w:color w:val="auto"/>
                      <w:lang w:val="en-US" w:eastAsia="zh-CN"/>
                    </w:rPr>
                  </w:pPr>
                  <w:r>
                    <w:rPr>
                      <w:rFonts w:hint="eastAsia"/>
                      <w:color w:val="auto"/>
                      <w:lang w:val="en-US" w:eastAsia="zh-CN"/>
                    </w:rPr>
                    <w:t>0.5</w:t>
                  </w:r>
                </w:p>
              </w:tc>
              <w:tc>
                <w:tcPr>
                  <w:tcW w:w="3877" w:type="dxa"/>
                  <w:vAlign w:val="center"/>
                </w:tcPr>
                <w:p w14:paraId="478BEFD3">
                  <w:pPr>
                    <w:pStyle w:val="3"/>
                    <w:outlineLvl w:val="0"/>
                    <w:rPr>
                      <w:rFonts w:hint="default" w:eastAsia="宋体"/>
                      <w:color w:val="auto"/>
                      <w:lang w:val="en-US" w:eastAsia="zh-CN"/>
                    </w:rPr>
                  </w:pPr>
                  <w:r>
                    <w:rPr>
                      <w:rFonts w:hint="eastAsia"/>
                      <w:color w:val="auto"/>
                      <w:sz w:val="21"/>
                      <w:szCs w:val="21"/>
                      <w:lang w:val="en-US" w:eastAsia="zh-CN"/>
                    </w:rPr>
                    <w:t>液体、16L/桶约等于13kg</w:t>
                  </w:r>
                  <w:r>
                    <w:rPr>
                      <w:rFonts w:hint="eastAsia"/>
                      <w:color w:val="auto"/>
                      <w:lang w:val="en-US" w:eastAsia="zh-CN"/>
                    </w:rPr>
                    <w:t>，最大暂存量为0.3t/a</w:t>
                  </w:r>
                </w:p>
              </w:tc>
              <w:tc>
                <w:tcPr>
                  <w:tcW w:w="1582" w:type="dxa"/>
                  <w:vAlign w:val="center"/>
                </w:tcPr>
                <w:p w14:paraId="6F797DB0">
                  <w:pPr>
                    <w:pStyle w:val="3"/>
                    <w:outlineLvl w:val="0"/>
                    <w:rPr>
                      <w:rFonts w:hint="default"/>
                      <w:color w:val="auto"/>
                      <w:lang w:val="en-US" w:eastAsia="zh-CN"/>
                    </w:rPr>
                  </w:pPr>
                  <w:r>
                    <w:rPr>
                      <w:rFonts w:hint="eastAsia"/>
                      <w:color w:val="auto"/>
                      <w:lang w:val="en-US" w:eastAsia="zh-CN"/>
                    </w:rPr>
                    <w:t>原料区暂存</w:t>
                  </w:r>
                </w:p>
              </w:tc>
            </w:tr>
            <w:tr w14:paraId="489E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2D004514">
                  <w:pPr>
                    <w:pStyle w:val="3"/>
                    <w:outlineLvl w:val="0"/>
                    <w:rPr>
                      <w:rFonts w:hint="default"/>
                      <w:color w:val="auto"/>
                      <w:lang w:val="en-US" w:eastAsia="zh-CN"/>
                    </w:rPr>
                  </w:pPr>
                  <w:r>
                    <w:rPr>
                      <w:rFonts w:hint="eastAsia"/>
                      <w:color w:val="auto"/>
                      <w:lang w:val="en-US" w:eastAsia="zh-CN"/>
                    </w:rPr>
                    <w:t>5</w:t>
                  </w:r>
                </w:p>
              </w:tc>
              <w:tc>
                <w:tcPr>
                  <w:tcW w:w="658" w:type="dxa"/>
                  <w:vAlign w:val="center"/>
                </w:tcPr>
                <w:p w14:paraId="36B98B45">
                  <w:pPr>
                    <w:pStyle w:val="3"/>
                    <w:outlineLvl w:val="0"/>
                    <w:rPr>
                      <w:rFonts w:hint="default"/>
                      <w:color w:val="auto"/>
                      <w:lang w:val="en-US" w:eastAsia="zh-CN"/>
                    </w:rPr>
                  </w:pPr>
                  <w:r>
                    <w:rPr>
                      <w:rFonts w:hint="eastAsia"/>
                      <w:color w:val="auto"/>
                      <w:lang w:val="en-US" w:eastAsia="zh-CN"/>
                    </w:rPr>
                    <w:t>生产用水</w:t>
                  </w:r>
                </w:p>
              </w:tc>
              <w:tc>
                <w:tcPr>
                  <w:tcW w:w="840" w:type="dxa"/>
                  <w:vAlign w:val="center"/>
                </w:tcPr>
                <w:p w14:paraId="7862993A">
                  <w:pPr>
                    <w:pStyle w:val="3"/>
                    <w:outlineLvl w:val="0"/>
                    <w:rPr>
                      <w:rFonts w:hint="default"/>
                      <w:color w:val="auto"/>
                      <w:lang w:val="en-US" w:eastAsia="zh-CN"/>
                    </w:rPr>
                  </w:pPr>
                  <w:r>
                    <w:rPr>
                      <w:rFonts w:hint="eastAsia"/>
                      <w:color w:val="auto"/>
                      <w:lang w:val="en-US" w:eastAsia="zh-CN"/>
                    </w:rPr>
                    <w:t>40000m</w:t>
                  </w:r>
                  <w:r>
                    <w:rPr>
                      <w:rFonts w:hint="eastAsia"/>
                      <w:color w:val="auto"/>
                      <w:vertAlign w:val="superscript"/>
                      <w:lang w:val="en-US" w:eastAsia="zh-CN"/>
                    </w:rPr>
                    <w:t>3</w:t>
                  </w:r>
                  <w:r>
                    <w:rPr>
                      <w:rFonts w:hint="eastAsia"/>
                      <w:color w:val="auto"/>
                      <w:lang w:val="en-US" w:eastAsia="zh-CN"/>
                    </w:rPr>
                    <w:t>/a</w:t>
                  </w:r>
                </w:p>
              </w:tc>
              <w:tc>
                <w:tcPr>
                  <w:tcW w:w="3877" w:type="dxa"/>
                  <w:vAlign w:val="center"/>
                </w:tcPr>
                <w:p w14:paraId="0106CC31">
                  <w:pPr>
                    <w:pStyle w:val="3"/>
                    <w:outlineLvl w:val="0"/>
                    <w:rPr>
                      <w:rFonts w:hint="eastAsia"/>
                      <w:color w:val="auto"/>
                      <w:sz w:val="21"/>
                      <w:szCs w:val="21"/>
                      <w:lang w:val="en-US" w:eastAsia="zh-CN"/>
                    </w:rPr>
                  </w:pPr>
                  <w:r>
                    <w:rPr>
                      <w:rFonts w:hint="default"/>
                      <w:color w:val="auto"/>
                    </w:rPr>
                    <w:t>乡镇供水管网供给</w:t>
                  </w:r>
                </w:p>
              </w:tc>
              <w:tc>
                <w:tcPr>
                  <w:tcW w:w="1582" w:type="dxa"/>
                  <w:vAlign w:val="center"/>
                </w:tcPr>
                <w:p w14:paraId="0DD733A6">
                  <w:pPr>
                    <w:pStyle w:val="3"/>
                    <w:outlineLvl w:val="0"/>
                    <w:rPr>
                      <w:rFonts w:hint="eastAsia"/>
                      <w:color w:val="auto"/>
                      <w:lang w:val="en-US" w:eastAsia="zh-CN"/>
                    </w:rPr>
                  </w:pPr>
                  <w:r>
                    <w:rPr>
                      <w:rFonts w:hint="default"/>
                      <w:color w:val="auto"/>
                    </w:rPr>
                    <w:t>管网</w:t>
                  </w:r>
                  <w:r>
                    <w:rPr>
                      <w:rFonts w:hint="eastAsia"/>
                      <w:color w:val="auto"/>
                      <w:lang w:val="en-US" w:eastAsia="zh-CN"/>
                    </w:rPr>
                    <w:t>暂存</w:t>
                  </w:r>
                </w:p>
              </w:tc>
            </w:tr>
            <w:tr w14:paraId="0F5A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1" w:type="dxa"/>
                  <w:gridSpan w:val="5"/>
                  <w:vAlign w:val="center"/>
                </w:tcPr>
                <w:p w14:paraId="5954D9F8">
                  <w:pPr>
                    <w:pStyle w:val="3"/>
                    <w:outlineLvl w:val="0"/>
                    <w:rPr>
                      <w:rFonts w:hint="eastAsia" w:eastAsiaTheme="minorEastAsia"/>
                      <w:b/>
                      <w:bCs/>
                      <w:color w:val="auto"/>
                      <w:sz w:val="21"/>
                      <w:szCs w:val="21"/>
                      <w:lang w:val="en-US" w:eastAsia="zh-CN"/>
                    </w:rPr>
                  </w:pPr>
                  <w:r>
                    <w:rPr>
                      <w:rFonts w:hint="eastAsia" w:eastAsiaTheme="minorEastAsia"/>
                      <w:b/>
                      <w:bCs/>
                      <w:color w:val="auto"/>
                      <w:sz w:val="21"/>
                      <w:szCs w:val="21"/>
                      <w:lang w:val="en-US" w:eastAsia="zh-CN"/>
                    </w:rPr>
                    <w:t>年产50万吨机制砂</w:t>
                  </w:r>
                  <w:r>
                    <w:rPr>
                      <w:rFonts w:hint="eastAsia" w:eastAsiaTheme="minorEastAsia"/>
                      <w:b/>
                      <w:bCs/>
                      <w:color w:val="auto"/>
                      <w:sz w:val="21"/>
                      <w:szCs w:val="21"/>
                    </w:rPr>
                    <w:t>生产线</w:t>
                  </w:r>
                  <w:r>
                    <w:rPr>
                      <w:rFonts w:hint="eastAsia" w:eastAsiaTheme="minorEastAsia"/>
                      <w:b/>
                      <w:bCs/>
                      <w:color w:val="auto"/>
                      <w:sz w:val="21"/>
                      <w:szCs w:val="21"/>
                      <w:lang w:eastAsia="zh-CN"/>
                    </w:rPr>
                    <w:t>、</w:t>
                  </w:r>
                  <w:r>
                    <w:rPr>
                      <w:rFonts w:hint="eastAsia" w:eastAsiaTheme="minorEastAsia"/>
                      <w:b/>
                      <w:bCs/>
                      <w:color w:val="auto"/>
                      <w:sz w:val="21"/>
                      <w:szCs w:val="21"/>
                      <w:lang w:val="en-US" w:eastAsia="zh-CN"/>
                    </w:rPr>
                    <w:t>干混砂浆</w:t>
                  </w:r>
                  <w:r>
                    <w:rPr>
                      <w:rFonts w:hint="eastAsia" w:eastAsiaTheme="minorEastAsia"/>
                      <w:b/>
                      <w:bCs/>
                      <w:color w:val="auto"/>
                      <w:sz w:val="21"/>
                      <w:szCs w:val="21"/>
                    </w:rPr>
                    <w:t>生产线</w:t>
                  </w:r>
                  <w:r>
                    <w:rPr>
                      <w:rFonts w:hint="eastAsia" w:eastAsiaTheme="minorEastAsia"/>
                      <w:b/>
                      <w:bCs/>
                      <w:color w:val="auto"/>
                      <w:sz w:val="21"/>
                      <w:szCs w:val="21"/>
                      <w:lang w:eastAsia="zh-CN"/>
                    </w:rPr>
                    <w:t>（</w:t>
                  </w:r>
                  <w:r>
                    <w:rPr>
                      <w:rFonts w:hint="eastAsia" w:eastAsiaTheme="minorEastAsia"/>
                      <w:b/>
                      <w:bCs/>
                      <w:color w:val="auto"/>
                      <w:sz w:val="21"/>
                      <w:szCs w:val="21"/>
                      <w:lang w:val="en-US" w:eastAsia="zh-CN"/>
                    </w:rPr>
                    <w:t>已建已验</w:t>
                  </w:r>
                  <w:r>
                    <w:rPr>
                      <w:rFonts w:hint="eastAsia" w:eastAsiaTheme="minorEastAsia"/>
                      <w:b/>
                      <w:bCs/>
                      <w:color w:val="auto"/>
                      <w:sz w:val="21"/>
                      <w:szCs w:val="21"/>
                      <w:lang w:eastAsia="zh-CN"/>
                    </w:rPr>
                    <w:t>）</w:t>
                  </w:r>
                </w:p>
              </w:tc>
            </w:tr>
            <w:tr w14:paraId="4C01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38DB8B28">
                  <w:pPr>
                    <w:pStyle w:val="3"/>
                    <w:pageBreakBefore w:val="0"/>
                    <w:kinsoku/>
                    <w:wordWrap/>
                    <w:overflowPunct/>
                    <w:topLinePunct w:val="0"/>
                    <w:autoSpaceDE/>
                    <w:autoSpaceDN/>
                    <w:bidi w:val="0"/>
                    <w:spacing w:line="240" w:lineRule="auto"/>
                    <w:ind w:firstLine="0" w:firstLineChars="0"/>
                    <w:outlineLvl w:val="0"/>
                    <w:rPr>
                      <w:rFonts w:hint="eastAsia" w:eastAsia="宋体"/>
                      <w:color w:val="auto"/>
                      <w:sz w:val="21"/>
                      <w:szCs w:val="21"/>
                      <w:lang w:eastAsia="zh-CN"/>
                    </w:rPr>
                  </w:pPr>
                  <w:r>
                    <w:rPr>
                      <w:rFonts w:hint="eastAsia"/>
                      <w:color w:val="auto"/>
                      <w:sz w:val="21"/>
                      <w:szCs w:val="21"/>
                      <w:lang w:val="en-US" w:eastAsia="zh-CN"/>
                    </w:rPr>
                    <w:t>6</w:t>
                  </w:r>
                </w:p>
              </w:tc>
              <w:tc>
                <w:tcPr>
                  <w:tcW w:w="658" w:type="dxa"/>
                  <w:vAlign w:val="center"/>
                </w:tcPr>
                <w:p w14:paraId="2367E6CB">
                  <w:pPr>
                    <w:pageBreakBefore w:val="0"/>
                    <w:kinsoku/>
                    <w:wordWrap/>
                    <w:overflowPunct/>
                    <w:topLinePunct w:val="0"/>
                    <w:autoSpaceDE/>
                    <w:autoSpaceDN/>
                    <w:bidi w:val="0"/>
                    <w:adjustRightInd w:val="0"/>
                    <w:snapToGrid w:val="0"/>
                    <w:spacing w:line="240" w:lineRule="auto"/>
                    <w:ind w:firstLine="0" w:firstLineChars="0"/>
                    <w:jc w:val="center"/>
                    <w:rPr>
                      <w:rFonts w:eastAsiaTheme="minorEastAsia"/>
                      <w:color w:val="auto"/>
                      <w:sz w:val="21"/>
                      <w:szCs w:val="21"/>
                    </w:rPr>
                  </w:pPr>
                  <w:r>
                    <w:rPr>
                      <w:rFonts w:hint="default" w:ascii="Times New Roman" w:hAnsi="Times New Roman" w:cs="Times New Roman"/>
                      <w:color w:val="auto"/>
                      <w:sz w:val="21"/>
                      <w:szCs w:val="21"/>
                    </w:rPr>
                    <w:t>建筑垃圾</w:t>
                  </w:r>
                </w:p>
              </w:tc>
              <w:tc>
                <w:tcPr>
                  <w:tcW w:w="840" w:type="dxa"/>
                  <w:vAlign w:val="center"/>
                </w:tcPr>
                <w:p w14:paraId="45173148">
                  <w:pPr>
                    <w:pageBreakBefore w:val="0"/>
                    <w:widowControl/>
                    <w:kinsoku/>
                    <w:wordWrap/>
                    <w:overflowPunct/>
                    <w:topLinePunct w:val="0"/>
                    <w:autoSpaceDE/>
                    <w:autoSpaceDN/>
                    <w:bidi w:val="0"/>
                    <w:spacing w:line="240" w:lineRule="auto"/>
                    <w:ind w:firstLine="0" w:firstLineChars="0"/>
                    <w:jc w:val="center"/>
                    <w:textAlignment w:val="center"/>
                    <w:rPr>
                      <w:rFonts w:eastAsiaTheme="minorEastAsia"/>
                      <w:color w:val="auto"/>
                      <w:sz w:val="21"/>
                      <w:szCs w:val="21"/>
                    </w:rPr>
                  </w:pPr>
                  <w:r>
                    <w:rPr>
                      <w:rFonts w:hint="eastAsia" w:ascii="Times New Roman" w:hAnsi="Times New Roman" w:cs="Times New Roman"/>
                      <w:color w:val="auto"/>
                      <w:sz w:val="21"/>
                      <w:szCs w:val="21"/>
                      <w:lang w:val="en-US" w:eastAsia="zh-CN"/>
                    </w:rPr>
                    <w:t>400700</w:t>
                  </w:r>
                </w:p>
              </w:tc>
              <w:tc>
                <w:tcPr>
                  <w:tcW w:w="3877" w:type="dxa"/>
                  <w:vAlign w:val="center"/>
                </w:tcPr>
                <w:p w14:paraId="5A4238A1">
                  <w:pPr>
                    <w:pageBreakBefore w:val="0"/>
                    <w:kinsoku/>
                    <w:wordWrap/>
                    <w:overflowPunct/>
                    <w:topLinePunct w:val="0"/>
                    <w:autoSpaceDE/>
                    <w:autoSpaceDN/>
                    <w:bidi w:val="0"/>
                    <w:adjustRightInd w:val="0"/>
                    <w:snapToGrid w:val="0"/>
                    <w:spacing w:line="240" w:lineRule="auto"/>
                    <w:ind w:firstLine="0" w:firstLineChars="0"/>
                    <w:jc w:val="center"/>
                    <w:rPr>
                      <w:rFonts w:hint="default" w:eastAsiaTheme="minorEastAsia"/>
                      <w:color w:val="auto"/>
                      <w:sz w:val="21"/>
                      <w:szCs w:val="21"/>
                      <w:lang w:val="en-US"/>
                    </w:rPr>
                  </w:pPr>
                  <w:r>
                    <w:rPr>
                      <w:rFonts w:hint="default" w:ascii="Times New Roman" w:hAnsi="Times New Roman" w:cs="Times New Roman"/>
                      <w:color w:val="auto"/>
                      <w:sz w:val="21"/>
                      <w:szCs w:val="21"/>
                      <w:lang w:eastAsia="zh-CN"/>
                    </w:rPr>
                    <w:t>外购，来自于</w:t>
                  </w:r>
                  <w:r>
                    <w:rPr>
                      <w:rFonts w:hint="default" w:ascii="Times New Roman" w:hAnsi="Times New Roman" w:cs="Times New Roman"/>
                      <w:color w:val="auto"/>
                      <w:sz w:val="21"/>
                      <w:szCs w:val="21"/>
                    </w:rPr>
                    <w:t>棚户区改造时</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拆除民房及混凝土道路</w:t>
                  </w:r>
                  <w:r>
                    <w:rPr>
                      <w:rFonts w:hint="default" w:ascii="Times New Roman" w:hAnsi="Times New Roman" w:cs="Times New Roman"/>
                      <w:color w:val="auto"/>
                      <w:sz w:val="21"/>
                      <w:szCs w:val="21"/>
                      <w:lang w:eastAsia="zh-CN"/>
                    </w:rPr>
                    <w:t>以及房地产建设</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最大暂存量20000t</w:t>
                  </w:r>
                </w:p>
              </w:tc>
              <w:tc>
                <w:tcPr>
                  <w:tcW w:w="1582" w:type="dxa"/>
                  <w:vAlign w:val="center"/>
                </w:tcPr>
                <w:p w14:paraId="6E21AC40">
                  <w:pPr>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lang w:eastAsia="zh-CN"/>
                    </w:rPr>
                  </w:pPr>
                  <w:r>
                    <w:rPr>
                      <w:rFonts w:hint="eastAsia"/>
                      <w:color w:val="auto"/>
                      <w:sz w:val="21"/>
                      <w:szCs w:val="21"/>
                    </w:rPr>
                    <w:t>原料区堆放</w:t>
                  </w:r>
                  <w:r>
                    <w:rPr>
                      <w:rFonts w:hint="eastAsia"/>
                      <w:color w:val="auto"/>
                      <w:sz w:val="21"/>
                      <w:szCs w:val="21"/>
                      <w:lang w:val="en-US" w:eastAsia="zh-CN"/>
                    </w:rPr>
                    <w:t>暂存</w:t>
                  </w:r>
                </w:p>
              </w:tc>
            </w:tr>
            <w:tr w14:paraId="0E78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1A35CE33">
                  <w:pPr>
                    <w:pStyle w:val="3"/>
                    <w:pageBreakBefore w:val="0"/>
                    <w:kinsoku/>
                    <w:wordWrap/>
                    <w:overflowPunct/>
                    <w:topLinePunct w:val="0"/>
                    <w:autoSpaceDE/>
                    <w:autoSpaceDN/>
                    <w:bidi w:val="0"/>
                    <w:spacing w:line="240" w:lineRule="auto"/>
                    <w:ind w:firstLine="0" w:firstLineChars="0"/>
                    <w:outlineLvl w:val="0"/>
                    <w:rPr>
                      <w:rFonts w:hint="eastAsia" w:eastAsia="宋体"/>
                      <w:color w:val="auto"/>
                      <w:sz w:val="21"/>
                      <w:szCs w:val="21"/>
                      <w:lang w:eastAsia="zh-CN"/>
                    </w:rPr>
                  </w:pPr>
                  <w:r>
                    <w:rPr>
                      <w:rFonts w:hint="eastAsia"/>
                      <w:color w:val="auto"/>
                      <w:sz w:val="21"/>
                      <w:szCs w:val="21"/>
                      <w:lang w:val="en-US" w:eastAsia="zh-CN"/>
                    </w:rPr>
                    <w:t>7</w:t>
                  </w:r>
                </w:p>
              </w:tc>
              <w:tc>
                <w:tcPr>
                  <w:tcW w:w="658" w:type="dxa"/>
                  <w:vAlign w:val="center"/>
                </w:tcPr>
                <w:p w14:paraId="48D05574">
                  <w:pPr>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rFonts w:hint="default" w:ascii="Times New Roman" w:hAnsi="Times New Roman" w:cs="Times New Roman"/>
                      <w:color w:val="auto"/>
                      <w:sz w:val="21"/>
                      <w:szCs w:val="21"/>
                    </w:rPr>
                    <w:t>煤矸石</w:t>
                  </w:r>
                </w:p>
              </w:tc>
              <w:tc>
                <w:tcPr>
                  <w:tcW w:w="840" w:type="dxa"/>
                  <w:vAlign w:val="center"/>
                </w:tcPr>
                <w:p w14:paraId="3A183C7F">
                  <w:pPr>
                    <w:pageBreakBefore w:val="0"/>
                    <w:widowControl/>
                    <w:kinsoku/>
                    <w:wordWrap/>
                    <w:overflowPunct/>
                    <w:topLinePunct w:val="0"/>
                    <w:autoSpaceDE/>
                    <w:autoSpaceDN/>
                    <w:bidi w:val="0"/>
                    <w:spacing w:line="240" w:lineRule="auto"/>
                    <w:ind w:firstLine="0" w:firstLineChars="0"/>
                    <w:jc w:val="center"/>
                    <w:textAlignment w:val="center"/>
                    <w:rPr>
                      <w:color w:val="auto"/>
                      <w:sz w:val="21"/>
                      <w:szCs w:val="21"/>
                    </w:rPr>
                  </w:pP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0000</w:t>
                  </w:r>
                </w:p>
              </w:tc>
              <w:tc>
                <w:tcPr>
                  <w:tcW w:w="3877" w:type="dxa"/>
                  <w:vAlign w:val="center"/>
                </w:tcPr>
                <w:p w14:paraId="50E06E28">
                  <w:pPr>
                    <w:pageBreakBefore w:val="0"/>
                    <w:kinsoku/>
                    <w:wordWrap/>
                    <w:overflowPunct/>
                    <w:topLinePunct w:val="0"/>
                    <w:autoSpaceDE/>
                    <w:autoSpaceDN/>
                    <w:bidi w:val="0"/>
                    <w:adjustRightInd w:val="0"/>
                    <w:snapToGrid w:val="0"/>
                    <w:spacing w:line="240" w:lineRule="auto"/>
                    <w:ind w:firstLine="0" w:firstLineChars="0"/>
                    <w:jc w:val="center"/>
                    <w:rPr>
                      <w:rFonts w:hint="default"/>
                      <w:color w:val="auto"/>
                      <w:sz w:val="21"/>
                      <w:szCs w:val="21"/>
                      <w:lang w:val="en-US"/>
                    </w:rPr>
                  </w:pPr>
                  <w:r>
                    <w:rPr>
                      <w:rFonts w:hint="default" w:ascii="Times New Roman" w:hAnsi="Times New Roman" w:cs="Times New Roman"/>
                      <w:color w:val="auto"/>
                      <w:sz w:val="21"/>
                      <w:szCs w:val="21"/>
                      <w:lang w:eastAsia="zh-CN"/>
                    </w:rPr>
                    <w:t>外购，来自于周边尾矿</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最大暂存量</w:t>
                  </w:r>
                  <w:r>
                    <w:rPr>
                      <w:rFonts w:hint="default" w:ascii="Times New Roman" w:hAnsi="Times New Roman" w:cs="Times New Roman"/>
                      <w:color w:val="auto"/>
                      <w:sz w:val="21"/>
                      <w:szCs w:val="21"/>
                    </w:rPr>
                    <w:t>10000t</w:t>
                  </w:r>
                </w:p>
              </w:tc>
              <w:tc>
                <w:tcPr>
                  <w:tcW w:w="1582" w:type="dxa"/>
                  <w:vAlign w:val="center"/>
                </w:tcPr>
                <w:p w14:paraId="2513974A">
                  <w:pPr>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lang w:eastAsia="zh-CN"/>
                    </w:rPr>
                  </w:pPr>
                  <w:r>
                    <w:rPr>
                      <w:rFonts w:hint="eastAsia"/>
                      <w:color w:val="auto"/>
                      <w:sz w:val="21"/>
                      <w:szCs w:val="21"/>
                    </w:rPr>
                    <w:t>原料区堆放</w:t>
                  </w:r>
                  <w:r>
                    <w:rPr>
                      <w:rFonts w:hint="eastAsia"/>
                      <w:color w:val="auto"/>
                      <w:sz w:val="21"/>
                      <w:szCs w:val="21"/>
                      <w:lang w:val="en-US" w:eastAsia="zh-CN"/>
                    </w:rPr>
                    <w:t>暂存</w:t>
                  </w:r>
                </w:p>
              </w:tc>
            </w:tr>
            <w:tr w14:paraId="2B0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72564011">
                  <w:pPr>
                    <w:pStyle w:val="3"/>
                    <w:pageBreakBefore w:val="0"/>
                    <w:kinsoku/>
                    <w:wordWrap/>
                    <w:overflowPunct/>
                    <w:topLinePunct w:val="0"/>
                    <w:autoSpaceDE/>
                    <w:autoSpaceDN/>
                    <w:bidi w:val="0"/>
                    <w:spacing w:line="240" w:lineRule="auto"/>
                    <w:ind w:firstLine="0" w:firstLineChars="0"/>
                    <w:outlineLvl w:val="0"/>
                    <w:rPr>
                      <w:rFonts w:hint="eastAsia" w:eastAsia="宋体"/>
                      <w:color w:val="auto"/>
                      <w:sz w:val="21"/>
                      <w:szCs w:val="21"/>
                      <w:lang w:eastAsia="zh-CN"/>
                    </w:rPr>
                  </w:pPr>
                  <w:r>
                    <w:rPr>
                      <w:rFonts w:hint="eastAsia"/>
                      <w:color w:val="auto"/>
                      <w:sz w:val="21"/>
                      <w:szCs w:val="21"/>
                      <w:lang w:val="en-US" w:eastAsia="zh-CN"/>
                    </w:rPr>
                    <w:t>8</w:t>
                  </w:r>
                </w:p>
              </w:tc>
              <w:tc>
                <w:tcPr>
                  <w:tcW w:w="658" w:type="dxa"/>
                  <w:vAlign w:val="center"/>
                </w:tcPr>
                <w:p w14:paraId="524CBADC">
                  <w:pPr>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rFonts w:hint="eastAsia" w:ascii="Times New Roman" w:hAnsi="Times New Roman" w:cs="Times New Roman"/>
                      <w:color w:val="auto"/>
                      <w:sz w:val="21"/>
                      <w:szCs w:val="21"/>
                      <w:lang w:val="en-US" w:eastAsia="zh-CN"/>
                    </w:rPr>
                    <w:t>硬质</w:t>
                  </w:r>
                  <w:r>
                    <w:rPr>
                      <w:rFonts w:hint="default" w:ascii="Times New Roman" w:hAnsi="Times New Roman" w:cs="Times New Roman"/>
                      <w:color w:val="auto"/>
                      <w:sz w:val="21"/>
                      <w:szCs w:val="21"/>
                      <w:lang w:eastAsia="zh-CN"/>
                    </w:rPr>
                    <w:t>石灰石</w:t>
                  </w:r>
                </w:p>
              </w:tc>
              <w:tc>
                <w:tcPr>
                  <w:tcW w:w="840" w:type="dxa"/>
                  <w:vAlign w:val="center"/>
                </w:tcPr>
                <w:p w14:paraId="52C42A10">
                  <w:pPr>
                    <w:pageBreakBefore w:val="0"/>
                    <w:widowControl/>
                    <w:kinsoku/>
                    <w:wordWrap/>
                    <w:overflowPunct/>
                    <w:topLinePunct w:val="0"/>
                    <w:autoSpaceDE/>
                    <w:autoSpaceDN/>
                    <w:bidi w:val="0"/>
                    <w:spacing w:line="240" w:lineRule="auto"/>
                    <w:ind w:firstLine="0" w:firstLineChars="0"/>
                    <w:jc w:val="center"/>
                    <w:textAlignment w:val="center"/>
                    <w:rPr>
                      <w:color w:val="auto"/>
                      <w:sz w:val="21"/>
                      <w:szCs w:val="21"/>
                    </w:rPr>
                  </w:pP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0000</w:t>
                  </w:r>
                </w:p>
              </w:tc>
              <w:tc>
                <w:tcPr>
                  <w:tcW w:w="3877" w:type="dxa"/>
                  <w:vAlign w:val="center"/>
                </w:tcPr>
                <w:p w14:paraId="4A3F5C11">
                  <w:pPr>
                    <w:pageBreakBefore w:val="0"/>
                    <w:kinsoku/>
                    <w:wordWrap/>
                    <w:overflowPunct/>
                    <w:topLinePunct w:val="0"/>
                    <w:autoSpaceDE/>
                    <w:autoSpaceDN/>
                    <w:bidi w:val="0"/>
                    <w:adjustRightInd w:val="0"/>
                    <w:snapToGrid w:val="0"/>
                    <w:spacing w:line="240" w:lineRule="auto"/>
                    <w:ind w:firstLine="0" w:firstLineChars="0"/>
                    <w:jc w:val="center"/>
                    <w:rPr>
                      <w:rFonts w:hint="default"/>
                      <w:color w:val="auto"/>
                      <w:sz w:val="21"/>
                      <w:szCs w:val="21"/>
                      <w:lang w:val="en-US"/>
                    </w:rPr>
                  </w:pPr>
                  <w:r>
                    <w:rPr>
                      <w:rFonts w:hint="default" w:ascii="Times New Roman" w:hAnsi="Times New Roman" w:cs="Times New Roman"/>
                      <w:color w:val="auto"/>
                      <w:sz w:val="21"/>
                      <w:szCs w:val="21"/>
                      <w:lang w:eastAsia="zh-CN"/>
                    </w:rPr>
                    <w:t>外购，来自于当地青石矿</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最大暂存量</w:t>
                  </w:r>
                  <w:r>
                    <w:rPr>
                      <w:rFonts w:hint="default" w:ascii="Times New Roman" w:hAnsi="Times New Roman" w:cs="Times New Roman"/>
                      <w:color w:val="auto"/>
                      <w:sz w:val="21"/>
                      <w:szCs w:val="21"/>
                    </w:rPr>
                    <w:t>10000t</w:t>
                  </w:r>
                </w:p>
              </w:tc>
              <w:tc>
                <w:tcPr>
                  <w:tcW w:w="1582" w:type="dxa"/>
                  <w:vAlign w:val="center"/>
                </w:tcPr>
                <w:p w14:paraId="5D3064EE">
                  <w:pPr>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lang w:eastAsia="zh-CN"/>
                    </w:rPr>
                  </w:pPr>
                  <w:r>
                    <w:rPr>
                      <w:rFonts w:hint="eastAsia"/>
                      <w:color w:val="auto"/>
                      <w:sz w:val="21"/>
                      <w:szCs w:val="21"/>
                    </w:rPr>
                    <w:t>原料区堆放</w:t>
                  </w:r>
                  <w:r>
                    <w:rPr>
                      <w:rFonts w:hint="eastAsia"/>
                      <w:color w:val="auto"/>
                      <w:sz w:val="21"/>
                      <w:szCs w:val="21"/>
                      <w:lang w:val="en-US" w:eastAsia="zh-CN"/>
                    </w:rPr>
                    <w:t>暂存</w:t>
                  </w:r>
                </w:p>
              </w:tc>
            </w:tr>
            <w:tr w14:paraId="1F96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2D799A42">
                  <w:pPr>
                    <w:pStyle w:val="3"/>
                    <w:pageBreakBefore w:val="0"/>
                    <w:kinsoku/>
                    <w:wordWrap/>
                    <w:overflowPunct/>
                    <w:topLinePunct w:val="0"/>
                    <w:autoSpaceDE/>
                    <w:autoSpaceDN/>
                    <w:bidi w:val="0"/>
                    <w:spacing w:line="240" w:lineRule="auto"/>
                    <w:ind w:firstLine="0" w:firstLineChars="0"/>
                    <w:outlineLvl w:val="0"/>
                    <w:rPr>
                      <w:rFonts w:hint="eastAsia" w:eastAsia="宋体"/>
                      <w:color w:val="auto"/>
                      <w:sz w:val="21"/>
                      <w:szCs w:val="21"/>
                      <w:lang w:eastAsia="zh-CN"/>
                    </w:rPr>
                  </w:pPr>
                  <w:r>
                    <w:rPr>
                      <w:rFonts w:hint="eastAsia"/>
                      <w:color w:val="auto"/>
                      <w:sz w:val="21"/>
                      <w:szCs w:val="21"/>
                      <w:lang w:val="en-US" w:eastAsia="zh-CN"/>
                    </w:rPr>
                    <w:t>9</w:t>
                  </w:r>
                </w:p>
              </w:tc>
              <w:tc>
                <w:tcPr>
                  <w:tcW w:w="658" w:type="dxa"/>
                  <w:vAlign w:val="center"/>
                </w:tcPr>
                <w:p w14:paraId="174CE7B8">
                  <w:pPr>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rFonts w:hint="default" w:ascii="Times New Roman" w:hAnsi="Times New Roman" w:cs="Times New Roman"/>
                      <w:color w:val="auto"/>
                      <w:sz w:val="21"/>
                      <w:szCs w:val="21"/>
                    </w:rPr>
                    <w:t>机制砂</w:t>
                  </w:r>
                </w:p>
              </w:tc>
              <w:tc>
                <w:tcPr>
                  <w:tcW w:w="840" w:type="dxa"/>
                  <w:vAlign w:val="center"/>
                </w:tcPr>
                <w:p w14:paraId="0541DC42">
                  <w:pPr>
                    <w:pageBreakBefore w:val="0"/>
                    <w:widowControl/>
                    <w:kinsoku/>
                    <w:wordWrap/>
                    <w:overflowPunct/>
                    <w:topLinePunct w:val="0"/>
                    <w:autoSpaceDE/>
                    <w:autoSpaceDN/>
                    <w:bidi w:val="0"/>
                    <w:spacing w:line="240" w:lineRule="auto"/>
                    <w:ind w:firstLine="0" w:firstLineChars="0"/>
                    <w:jc w:val="center"/>
                    <w:textAlignment w:val="center"/>
                    <w:rPr>
                      <w:color w:val="auto"/>
                      <w:sz w:val="21"/>
                      <w:szCs w:val="21"/>
                    </w:rPr>
                  </w:pPr>
                  <w:r>
                    <w:rPr>
                      <w:rFonts w:hint="eastAsia" w:ascii="Times New Roman" w:hAnsi="Times New Roman" w:cs="Times New Roman"/>
                      <w:color w:val="auto"/>
                      <w:sz w:val="21"/>
                      <w:szCs w:val="21"/>
                      <w:lang w:val="en-US" w:eastAsia="zh-CN"/>
                    </w:rPr>
                    <w:t>288765</w:t>
                  </w:r>
                </w:p>
              </w:tc>
              <w:tc>
                <w:tcPr>
                  <w:tcW w:w="3877" w:type="dxa"/>
                  <w:vAlign w:val="center"/>
                </w:tcPr>
                <w:p w14:paraId="5FAB2C82">
                  <w:pPr>
                    <w:pageBreakBefore w:val="0"/>
                    <w:kinsoku/>
                    <w:wordWrap/>
                    <w:overflowPunct/>
                    <w:topLinePunct w:val="0"/>
                    <w:autoSpaceDE/>
                    <w:autoSpaceDN/>
                    <w:bidi w:val="0"/>
                    <w:adjustRightInd w:val="0"/>
                    <w:snapToGrid w:val="0"/>
                    <w:spacing w:line="240" w:lineRule="auto"/>
                    <w:ind w:firstLine="0" w:firstLineChars="0"/>
                    <w:jc w:val="center"/>
                    <w:rPr>
                      <w:rFonts w:hint="default"/>
                      <w:color w:val="auto"/>
                      <w:sz w:val="21"/>
                      <w:szCs w:val="21"/>
                      <w:lang w:val="en-US"/>
                    </w:rPr>
                  </w:pPr>
                  <w:r>
                    <w:rPr>
                      <w:rFonts w:hint="default" w:ascii="Times New Roman" w:hAnsi="Times New Roman" w:cs="Times New Roman"/>
                      <w:color w:val="auto"/>
                      <w:sz w:val="21"/>
                      <w:szCs w:val="21"/>
                      <w:lang w:eastAsia="zh-CN"/>
                    </w:rPr>
                    <w:t>厂内产品</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最大暂存量</w:t>
                  </w:r>
                  <w:r>
                    <w:rPr>
                      <w:rFonts w:hint="default" w:ascii="Times New Roman" w:hAnsi="Times New Roman" w:cs="Times New Roman"/>
                      <w:color w:val="auto"/>
                      <w:sz w:val="21"/>
                      <w:szCs w:val="21"/>
                      <w:lang w:val="en-US" w:eastAsia="zh-CN"/>
                    </w:rPr>
                    <w:t>1200</w:t>
                  </w:r>
                  <w:r>
                    <w:rPr>
                      <w:rFonts w:hint="default" w:ascii="Times New Roman" w:hAnsi="Times New Roman" w:cs="Times New Roman"/>
                      <w:color w:val="auto"/>
                      <w:sz w:val="21"/>
                      <w:szCs w:val="21"/>
                    </w:rPr>
                    <w:t>t</w:t>
                  </w:r>
                </w:p>
              </w:tc>
              <w:tc>
                <w:tcPr>
                  <w:tcW w:w="1582" w:type="dxa"/>
                  <w:vAlign w:val="center"/>
                </w:tcPr>
                <w:p w14:paraId="5DAE3263">
                  <w:pPr>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lang w:eastAsia="zh-CN"/>
                    </w:rPr>
                  </w:pPr>
                  <w:r>
                    <w:rPr>
                      <w:rFonts w:hint="eastAsia"/>
                      <w:color w:val="auto"/>
                      <w:sz w:val="21"/>
                      <w:szCs w:val="21"/>
                    </w:rPr>
                    <w:t>原料区堆放</w:t>
                  </w:r>
                  <w:r>
                    <w:rPr>
                      <w:rFonts w:hint="eastAsia"/>
                      <w:color w:val="auto"/>
                      <w:sz w:val="21"/>
                      <w:szCs w:val="21"/>
                      <w:lang w:val="en-US" w:eastAsia="zh-CN"/>
                    </w:rPr>
                    <w:t>暂存</w:t>
                  </w:r>
                </w:p>
              </w:tc>
            </w:tr>
            <w:tr w14:paraId="6DDF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4B153AD3">
                  <w:pPr>
                    <w:pStyle w:val="3"/>
                    <w:pageBreakBefore w:val="0"/>
                    <w:kinsoku/>
                    <w:wordWrap/>
                    <w:overflowPunct/>
                    <w:topLinePunct w:val="0"/>
                    <w:autoSpaceDE/>
                    <w:autoSpaceDN/>
                    <w:bidi w:val="0"/>
                    <w:spacing w:line="240" w:lineRule="auto"/>
                    <w:ind w:firstLine="0" w:firstLineChars="0"/>
                    <w:outlineLvl w:val="0"/>
                    <w:rPr>
                      <w:rFonts w:hint="default" w:eastAsia="宋体"/>
                      <w:color w:val="auto"/>
                      <w:sz w:val="21"/>
                      <w:szCs w:val="21"/>
                      <w:lang w:val="en-US" w:eastAsia="zh-CN"/>
                    </w:rPr>
                  </w:pPr>
                  <w:r>
                    <w:rPr>
                      <w:rFonts w:hint="eastAsia"/>
                      <w:color w:val="auto"/>
                      <w:sz w:val="21"/>
                      <w:szCs w:val="21"/>
                      <w:lang w:val="en-US" w:eastAsia="zh-CN"/>
                    </w:rPr>
                    <w:t>10</w:t>
                  </w:r>
                </w:p>
              </w:tc>
              <w:tc>
                <w:tcPr>
                  <w:tcW w:w="658" w:type="dxa"/>
                  <w:vAlign w:val="center"/>
                </w:tcPr>
                <w:p w14:paraId="4936F394">
                  <w:pPr>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rFonts w:hint="default" w:ascii="Times New Roman" w:hAnsi="Times New Roman" w:cs="Times New Roman"/>
                      <w:color w:val="auto"/>
                      <w:sz w:val="21"/>
                      <w:szCs w:val="21"/>
                    </w:rPr>
                    <w:t>水泥</w:t>
                  </w:r>
                </w:p>
              </w:tc>
              <w:tc>
                <w:tcPr>
                  <w:tcW w:w="840" w:type="dxa"/>
                  <w:vAlign w:val="center"/>
                </w:tcPr>
                <w:p w14:paraId="7A5FF4CF">
                  <w:pPr>
                    <w:pageBreakBefore w:val="0"/>
                    <w:widowControl/>
                    <w:kinsoku/>
                    <w:wordWrap/>
                    <w:overflowPunct/>
                    <w:topLinePunct w:val="0"/>
                    <w:autoSpaceDE/>
                    <w:autoSpaceDN/>
                    <w:bidi w:val="0"/>
                    <w:spacing w:line="240" w:lineRule="auto"/>
                    <w:ind w:firstLine="0" w:firstLineChars="0"/>
                    <w:jc w:val="center"/>
                    <w:textAlignment w:val="center"/>
                    <w:rPr>
                      <w:color w:val="auto"/>
                      <w:sz w:val="21"/>
                      <w:szCs w:val="21"/>
                    </w:rPr>
                  </w:pPr>
                  <w:r>
                    <w:rPr>
                      <w:rFonts w:hint="eastAsia" w:ascii="Times New Roman" w:hAnsi="Times New Roman" w:cs="Times New Roman"/>
                      <w:color w:val="auto"/>
                      <w:sz w:val="21"/>
                      <w:szCs w:val="21"/>
                      <w:lang w:val="en-US" w:eastAsia="zh-CN"/>
                    </w:rPr>
                    <w:t>35000</w:t>
                  </w:r>
                </w:p>
              </w:tc>
              <w:tc>
                <w:tcPr>
                  <w:tcW w:w="3877" w:type="dxa"/>
                  <w:vAlign w:val="center"/>
                </w:tcPr>
                <w:p w14:paraId="6280A234">
                  <w:pPr>
                    <w:pageBreakBefore w:val="0"/>
                    <w:widowControl/>
                    <w:kinsoku/>
                    <w:wordWrap/>
                    <w:overflowPunct/>
                    <w:topLinePunct w:val="0"/>
                    <w:autoSpaceDE/>
                    <w:autoSpaceDN/>
                    <w:bidi w:val="0"/>
                    <w:spacing w:line="240" w:lineRule="auto"/>
                    <w:ind w:firstLine="0" w:firstLineChars="0"/>
                    <w:jc w:val="center"/>
                    <w:textAlignment w:val="center"/>
                    <w:rPr>
                      <w:color w:val="auto"/>
                      <w:sz w:val="21"/>
                      <w:szCs w:val="21"/>
                    </w:rPr>
                  </w:pPr>
                  <w:r>
                    <w:rPr>
                      <w:rFonts w:hint="default" w:ascii="Times New Roman" w:hAnsi="Times New Roman" w:cs="Times New Roman"/>
                      <w:color w:val="auto"/>
                      <w:sz w:val="21"/>
                      <w:szCs w:val="21"/>
                      <w:lang w:eastAsia="zh-CN"/>
                    </w:rPr>
                    <w:t>外购，来源与周边地区</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最大暂存量</w:t>
                  </w:r>
                  <w:r>
                    <w:rPr>
                      <w:rFonts w:hint="default" w:ascii="Times New Roman" w:hAnsi="Times New Roman" w:cs="Times New Roman"/>
                      <w:color w:val="auto"/>
                      <w:sz w:val="21"/>
                      <w:szCs w:val="21"/>
                      <w:lang w:val="en-US" w:eastAsia="zh-CN"/>
                    </w:rPr>
                    <w:t>240</w:t>
                  </w:r>
                  <w:r>
                    <w:rPr>
                      <w:rFonts w:hint="default" w:ascii="Times New Roman" w:hAnsi="Times New Roman" w:cs="Times New Roman"/>
                      <w:color w:val="auto"/>
                      <w:sz w:val="21"/>
                      <w:szCs w:val="21"/>
                    </w:rPr>
                    <w:t>t</w:t>
                  </w:r>
                </w:p>
              </w:tc>
              <w:tc>
                <w:tcPr>
                  <w:tcW w:w="1582" w:type="dxa"/>
                  <w:vAlign w:val="center"/>
                </w:tcPr>
                <w:p w14:paraId="29E3D364">
                  <w:pPr>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auto"/>
                      <w:sz w:val="21"/>
                      <w:szCs w:val="21"/>
                      <w:lang w:eastAsia="zh-CN"/>
                    </w:rPr>
                  </w:pPr>
                  <w:r>
                    <w:rPr>
                      <w:rFonts w:hint="eastAsia"/>
                      <w:color w:val="auto"/>
                      <w:sz w:val="21"/>
                      <w:szCs w:val="21"/>
                      <w:lang w:val="en-US" w:eastAsia="zh-CN"/>
                    </w:rPr>
                    <w:t>筒仓暂存</w:t>
                  </w:r>
                </w:p>
              </w:tc>
            </w:tr>
            <w:tr w14:paraId="23FA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753EB79F">
                  <w:pPr>
                    <w:pStyle w:val="3"/>
                    <w:pageBreakBefore w:val="0"/>
                    <w:kinsoku/>
                    <w:wordWrap/>
                    <w:overflowPunct/>
                    <w:topLinePunct w:val="0"/>
                    <w:autoSpaceDE/>
                    <w:autoSpaceDN/>
                    <w:bidi w:val="0"/>
                    <w:spacing w:line="240" w:lineRule="auto"/>
                    <w:ind w:firstLine="0" w:firstLineChars="0"/>
                    <w:outlineLvl w:val="0"/>
                    <w:rPr>
                      <w:rFonts w:hint="default" w:eastAsia="宋体"/>
                      <w:color w:val="auto"/>
                      <w:sz w:val="21"/>
                      <w:szCs w:val="21"/>
                      <w:lang w:val="en-US" w:eastAsia="zh-CN"/>
                    </w:rPr>
                  </w:pPr>
                  <w:r>
                    <w:rPr>
                      <w:rFonts w:hint="eastAsia"/>
                      <w:color w:val="auto"/>
                      <w:sz w:val="21"/>
                      <w:szCs w:val="21"/>
                      <w:lang w:val="en-US" w:eastAsia="zh-CN"/>
                    </w:rPr>
                    <w:t>11</w:t>
                  </w:r>
                </w:p>
              </w:tc>
              <w:tc>
                <w:tcPr>
                  <w:tcW w:w="658" w:type="dxa"/>
                  <w:vAlign w:val="center"/>
                </w:tcPr>
                <w:p w14:paraId="43451F09">
                  <w:pPr>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rFonts w:hint="default" w:ascii="Times New Roman" w:hAnsi="Times New Roman" w:cs="Times New Roman"/>
                      <w:color w:val="auto"/>
                      <w:sz w:val="21"/>
                      <w:szCs w:val="21"/>
                    </w:rPr>
                    <w:t>粉煤灰</w:t>
                  </w:r>
                </w:p>
              </w:tc>
              <w:tc>
                <w:tcPr>
                  <w:tcW w:w="840" w:type="dxa"/>
                  <w:vAlign w:val="center"/>
                </w:tcPr>
                <w:p w14:paraId="0D2E1AA5">
                  <w:pPr>
                    <w:pageBreakBefore w:val="0"/>
                    <w:widowControl/>
                    <w:kinsoku/>
                    <w:wordWrap/>
                    <w:overflowPunct/>
                    <w:topLinePunct w:val="0"/>
                    <w:autoSpaceDE/>
                    <w:autoSpaceDN/>
                    <w:bidi w:val="0"/>
                    <w:spacing w:line="240" w:lineRule="auto"/>
                    <w:ind w:firstLine="0" w:firstLineChars="0"/>
                    <w:jc w:val="center"/>
                    <w:textAlignment w:val="center"/>
                    <w:rPr>
                      <w:rFonts w:hint="default" w:eastAsia="宋体"/>
                      <w:color w:val="auto"/>
                      <w:sz w:val="21"/>
                      <w:szCs w:val="21"/>
                      <w:lang w:val="en-US" w:eastAsia="zh-CN"/>
                    </w:rPr>
                  </w:pPr>
                  <w:r>
                    <w:rPr>
                      <w:rFonts w:hint="eastAsia" w:ascii="Times New Roman" w:hAnsi="Times New Roman" w:cs="Times New Roman"/>
                      <w:color w:val="auto"/>
                      <w:sz w:val="21"/>
                      <w:szCs w:val="21"/>
                      <w:lang w:val="en-US" w:eastAsia="zh-CN"/>
                    </w:rPr>
                    <w:t>23450</w:t>
                  </w:r>
                </w:p>
              </w:tc>
              <w:tc>
                <w:tcPr>
                  <w:tcW w:w="3877" w:type="dxa"/>
                  <w:vAlign w:val="center"/>
                </w:tcPr>
                <w:p w14:paraId="2295DF53">
                  <w:pPr>
                    <w:pageBreakBefore w:val="0"/>
                    <w:widowControl/>
                    <w:kinsoku/>
                    <w:wordWrap/>
                    <w:overflowPunct/>
                    <w:topLinePunct w:val="0"/>
                    <w:autoSpaceDE/>
                    <w:autoSpaceDN/>
                    <w:bidi w:val="0"/>
                    <w:spacing w:line="240" w:lineRule="auto"/>
                    <w:ind w:firstLine="0" w:firstLineChars="0"/>
                    <w:jc w:val="center"/>
                    <w:textAlignment w:val="center"/>
                    <w:rPr>
                      <w:color w:val="auto"/>
                      <w:sz w:val="21"/>
                      <w:szCs w:val="21"/>
                    </w:rPr>
                  </w:pPr>
                  <w:r>
                    <w:rPr>
                      <w:rFonts w:hint="default" w:ascii="Times New Roman" w:hAnsi="Times New Roman" w:cs="Times New Roman"/>
                      <w:color w:val="auto"/>
                      <w:sz w:val="21"/>
                      <w:szCs w:val="21"/>
                      <w:lang w:eastAsia="zh-CN"/>
                    </w:rPr>
                    <w:t>外购，来源与周边地区</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最大暂存量</w:t>
                  </w:r>
                  <w:r>
                    <w:rPr>
                      <w:rFonts w:hint="default" w:ascii="Times New Roman" w:hAnsi="Times New Roman" w:cs="Times New Roman"/>
                      <w:color w:val="auto"/>
                      <w:sz w:val="21"/>
                      <w:szCs w:val="21"/>
                      <w:lang w:val="en-US" w:eastAsia="zh-CN"/>
                    </w:rPr>
                    <w:t>56</w:t>
                  </w:r>
                  <w:r>
                    <w:rPr>
                      <w:rFonts w:hint="default" w:ascii="Times New Roman" w:hAnsi="Times New Roman" w:cs="Times New Roman"/>
                      <w:color w:val="auto"/>
                      <w:sz w:val="21"/>
                      <w:szCs w:val="21"/>
                    </w:rPr>
                    <w:t>t</w:t>
                  </w:r>
                </w:p>
              </w:tc>
              <w:tc>
                <w:tcPr>
                  <w:tcW w:w="1582" w:type="dxa"/>
                  <w:vAlign w:val="center"/>
                </w:tcPr>
                <w:p w14:paraId="0093461D">
                  <w:pPr>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auto"/>
                      <w:sz w:val="21"/>
                      <w:szCs w:val="21"/>
                      <w:lang w:eastAsia="zh-CN"/>
                    </w:rPr>
                  </w:pPr>
                  <w:r>
                    <w:rPr>
                      <w:rFonts w:hint="eastAsia"/>
                      <w:color w:val="auto"/>
                      <w:sz w:val="21"/>
                      <w:szCs w:val="21"/>
                      <w:lang w:val="en-US" w:eastAsia="zh-CN"/>
                    </w:rPr>
                    <w:t>筒仓暂存</w:t>
                  </w:r>
                </w:p>
              </w:tc>
            </w:tr>
            <w:tr w14:paraId="1D1B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415AA938">
                  <w:pPr>
                    <w:pStyle w:val="3"/>
                    <w:pageBreakBefore w:val="0"/>
                    <w:kinsoku/>
                    <w:wordWrap/>
                    <w:overflowPunct/>
                    <w:topLinePunct w:val="0"/>
                    <w:autoSpaceDE/>
                    <w:autoSpaceDN/>
                    <w:bidi w:val="0"/>
                    <w:spacing w:line="240" w:lineRule="auto"/>
                    <w:ind w:firstLine="0" w:firstLineChars="0"/>
                    <w:outlineLvl w:val="0"/>
                    <w:rPr>
                      <w:rFonts w:hint="default" w:eastAsia="宋体"/>
                      <w:color w:val="auto"/>
                      <w:sz w:val="21"/>
                      <w:szCs w:val="21"/>
                      <w:lang w:val="en-US" w:eastAsia="zh-CN"/>
                    </w:rPr>
                  </w:pPr>
                  <w:r>
                    <w:rPr>
                      <w:rFonts w:hint="eastAsia"/>
                      <w:color w:val="auto"/>
                      <w:sz w:val="21"/>
                      <w:szCs w:val="21"/>
                      <w:lang w:val="en-US" w:eastAsia="zh-CN"/>
                    </w:rPr>
                    <w:t>12</w:t>
                  </w:r>
                </w:p>
              </w:tc>
              <w:tc>
                <w:tcPr>
                  <w:tcW w:w="658" w:type="dxa"/>
                  <w:vAlign w:val="center"/>
                </w:tcPr>
                <w:p w14:paraId="426DE08F">
                  <w:pPr>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rFonts w:hint="default" w:ascii="Times New Roman" w:hAnsi="Times New Roman" w:cs="Times New Roman"/>
                      <w:color w:val="auto"/>
                      <w:sz w:val="21"/>
                      <w:szCs w:val="21"/>
                    </w:rPr>
                    <w:t>添加剂</w:t>
                  </w:r>
                </w:p>
              </w:tc>
              <w:tc>
                <w:tcPr>
                  <w:tcW w:w="840" w:type="dxa"/>
                  <w:vAlign w:val="center"/>
                </w:tcPr>
                <w:p w14:paraId="48279FF2">
                  <w:pPr>
                    <w:pageBreakBefore w:val="0"/>
                    <w:widowControl/>
                    <w:kinsoku/>
                    <w:wordWrap/>
                    <w:overflowPunct/>
                    <w:topLinePunct w:val="0"/>
                    <w:autoSpaceDE/>
                    <w:autoSpaceDN/>
                    <w:bidi w:val="0"/>
                    <w:spacing w:line="240" w:lineRule="auto"/>
                    <w:ind w:firstLine="0" w:firstLineChars="0"/>
                    <w:jc w:val="center"/>
                    <w:textAlignment w:val="center"/>
                    <w:rPr>
                      <w:rFonts w:eastAsiaTheme="minorEastAsia"/>
                      <w:color w:val="auto"/>
                      <w:sz w:val="21"/>
                      <w:szCs w:val="21"/>
                    </w:rPr>
                  </w:pPr>
                  <w:r>
                    <w:rPr>
                      <w:rFonts w:hint="eastAsia" w:ascii="Times New Roman" w:hAnsi="Times New Roman" w:cs="Times New Roman"/>
                      <w:color w:val="auto"/>
                      <w:sz w:val="21"/>
                      <w:szCs w:val="21"/>
                      <w:lang w:val="en-US" w:eastAsia="zh-CN"/>
                    </w:rPr>
                    <w:t>2800</w:t>
                  </w:r>
                </w:p>
              </w:tc>
              <w:tc>
                <w:tcPr>
                  <w:tcW w:w="3877" w:type="dxa"/>
                  <w:vAlign w:val="center"/>
                </w:tcPr>
                <w:p w14:paraId="4A32FECA">
                  <w:pPr>
                    <w:pageBreakBefore w:val="0"/>
                    <w:widowControl/>
                    <w:kinsoku/>
                    <w:wordWrap/>
                    <w:overflowPunct/>
                    <w:topLinePunct w:val="0"/>
                    <w:autoSpaceDE/>
                    <w:autoSpaceDN/>
                    <w:bidi w:val="0"/>
                    <w:spacing w:line="240" w:lineRule="auto"/>
                    <w:ind w:firstLine="0" w:firstLineChars="0"/>
                    <w:jc w:val="center"/>
                    <w:textAlignment w:val="center"/>
                    <w:rPr>
                      <w:color w:val="auto"/>
                      <w:sz w:val="21"/>
                      <w:szCs w:val="21"/>
                    </w:rPr>
                  </w:pPr>
                  <w:r>
                    <w:rPr>
                      <w:rFonts w:hint="default" w:ascii="Times New Roman" w:hAnsi="Times New Roman" w:cs="Times New Roman"/>
                      <w:color w:val="auto"/>
                      <w:sz w:val="21"/>
                      <w:szCs w:val="21"/>
                      <w:lang w:eastAsia="zh-CN"/>
                    </w:rPr>
                    <w:t>外购，来源与周边地区</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最大暂存量</w:t>
                  </w:r>
                  <w:r>
                    <w:rPr>
                      <w:rFonts w:hint="default" w:ascii="Times New Roman" w:hAnsi="Times New Roman" w:cs="Times New Roman"/>
                      <w:color w:val="auto"/>
                      <w:sz w:val="21"/>
                      <w:szCs w:val="21"/>
                      <w:lang w:val="en-US" w:eastAsia="zh-CN"/>
                    </w:rPr>
                    <w:t>40</w:t>
                  </w:r>
                  <w:r>
                    <w:rPr>
                      <w:rFonts w:hint="default" w:ascii="Times New Roman" w:hAnsi="Times New Roman" w:cs="Times New Roman"/>
                      <w:color w:val="auto"/>
                      <w:sz w:val="21"/>
                      <w:szCs w:val="21"/>
                    </w:rPr>
                    <w:t>t</w:t>
                  </w:r>
                </w:p>
              </w:tc>
              <w:tc>
                <w:tcPr>
                  <w:tcW w:w="1582" w:type="dxa"/>
                  <w:vAlign w:val="center"/>
                </w:tcPr>
                <w:p w14:paraId="7D843D7E">
                  <w:pPr>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auto"/>
                      <w:sz w:val="21"/>
                      <w:szCs w:val="21"/>
                      <w:lang w:eastAsia="zh-CN"/>
                    </w:rPr>
                  </w:pPr>
                  <w:r>
                    <w:rPr>
                      <w:rFonts w:hint="eastAsia"/>
                      <w:color w:val="auto"/>
                      <w:sz w:val="21"/>
                      <w:szCs w:val="21"/>
                      <w:lang w:val="en-US" w:eastAsia="zh-CN"/>
                    </w:rPr>
                    <w:t>筒仓暂存</w:t>
                  </w:r>
                </w:p>
              </w:tc>
            </w:tr>
            <w:tr w14:paraId="7FAE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14:paraId="5C5E1E9F">
                  <w:pPr>
                    <w:pStyle w:val="3"/>
                    <w:pageBreakBefore w:val="0"/>
                    <w:kinsoku/>
                    <w:wordWrap/>
                    <w:overflowPunct/>
                    <w:topLinePunct w:val="0"/>
                    <w:autoSpaceDE/>
                    <w:autoSpaceDN/>
                    <w:bidi w:val="0"/>
                    <w:spacing w:line="240" w:lineRule="auto"/>
                    <w:ind w:firstLine="0" w:firstLineChars="0"/>
                    <w:outlineLvl w:val="0"/>
                    <w:rPr>
                      <w:rFonts w:hint="default" w:eastAsia="宋体"/>
                      <w:color w:val="auto"/>
                      <w:sz w:val="21"/>
                      <w:szCs w:val="21"/>
                      <w:lang w:val="en-US" w:eastAsia="zh-CN"/>
                    </w:rPr>
                  </w:pPr>
                  <w:r>
                    <w:rPr>
                      <w:rFonts w:hint="eastAsia"/>
                      <w:color w:val="auto"/>
                      <w:sz w:val="21"/>
                      <w:szCs w:val="21"/>
                      <w:lang w:val="en-US" w:eastAsia="zh-CN"/>
                    </w:rPr>
                    <w:t>13</w:t>
                  </w:r>
                </w:p>
              </w:tc>
              <w:tc>
                <w:tcPr>
                  <w:tcW w:w="658" w:type="dxa"/>
                  <w:vAlign w:val="center"/>
                </w:tcPr>
                <w:p w14:paraId="396CEA54">
                  <w:pPr>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rFonts w:hint="default" w:ascii="Times New Roman" w:hAnsi="Times New Roman" w:cs="Times New Roman"/>
                      <w:color w:val="auto"/>
                      <w:sz w:val="21"/>
                      <w:szCs w:val="21"/>
                      <w:lang w:eastAsia="zh-CN"/>
                    </w:rPr>
                    <w:t>机油</w:t>
                  </w:r>
                </w:p>
              </w:tc>
              <w:tc>
                <w:tcPr>
                  <w:tcW w:w="840" w:type="dxa"/>
                  <w:vAlign w:val="center"/>
                </w:tcPr>
                <w:p w14:paraId="20D58A47">
                  <w:pPr>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5</w:t>
                  </w:r>
                </w:p>
              </w:tc>
              <w:tc>
                <w:tcPr>
                  <w:tcW w:w="3877" w:type="dxa"/>
                  <w:vAlign w:val="center"/>
                </w:tcPr>
                <w:p w14:paraId="425CE0A1">
                  <w:pPr>
                    <w:pageBreakBefore w:val="0"/>
                    <w:kinsoku/>
                    <w:wordWrap/>
                    <w:overflowPunct/>
                    <w:topLinePunct w:val="0"/>
                    <w:autoSpaceDE/>
                    <w:autoSpaceDN/>
                    <w:bidi w:val="0"/>
                    <w:adjustRightInd w:val="0"/>
                    <w:snapToGrid w:val="0"/>
                    <w:spacing w:line="240" w:lineRule="auto"/>
                    <w:ind w:firstLine="0" w:firstLineChars="0"/>
                    <w:jc w:val="center"/>
                    <w:rPr>
                      <w:color w:val="auto"/>
                      <w:sz w:val="21"/>
                      <w:szCs w:val="21"/>
                    </w:rPr>
                  </w:pPr>
                  <w:r>
                    <w:rPr>
                      <w:rFonts w:hint="eastAsia"/>
                      <w:color w:val="auto"/>
                      <w:sz w:val="21"/>
                      <w:szCs w:val="21"/>
                      <w:lang w:val="en-US" w:eastAsia="zh-CN"/>
                    </w:rPr>
                    <w:t>液体、16L/桶约等于13kg</w:t>
                  </w:r>
                </w:p>
              </w:tc>
              <w:tc>
                <w:tcPr>
                  <w:tcW w:w="1582" w:type="dxa"/>
                  <w:vAlign w:val="center"/>
                </w:tcPr>
                <w:p w14:paraId="2B52AA52">
                  <w:pPr>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lang w:eastAsia="zh-CN"/>
                    </w:rPr>
                  </w:pPr>
                  <w:r>
                    <w:rPr>
                      <w:rFonts w:hint="eastAsia"/>
                      <w:color w:val="auto"/>
                      <w:sz w:val="21"/>
                      <w:szCs w:val="21"/>
                      <w:lang w:val="en-US" w:eastAsia="zh-CN"/>
                    </w:rPr>
                    <w:t>原料区暂存</w:t>
                  </w:r>
                </w:p>
              </w:tc>
            </w:tr>
          </w:tbl>
          <w:p w14:paraId="2C39003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color w:val="auto"/>
                <w:sz w:val="21"/>
                <w:szCs w:val="21"/>
                <w:lang w:val="en-US" w:eastAsia="zh-CN"/>
              </w:rPr>
            </w:pPr>
            <w:r>
              <w:rPr>
                <w:rFonts w:hint="eastAsia"/>
                <w:color w:val="auto"/>
                <w:sz w:val="21"/>
                <w:szCs w:val="21"/>
                <w:lang w:val="en-US" w:eastAsia="zh-CN"/>
              </w:rPr>
              <w:t>注：</w:t>
            </w:r>
            <w:r>
              <w:rPr>
                <w:rFonts w:hint="eastAsia"/>
                <w:color w:val="auto"/>
                <w:sz w:val="21"/>
                <w:szCs w:val="21"/>
              </w:rPr>
              <w:t>本项目产品为水稳料，所用原材料中无危险化学药品。</w:t>
            </w:r>
            <w:r>
              <w:rPr>
                <w:rFonts w:hint="eastAsia"/>
                <w:color w:val="auto"/>
                <w:sz w:val="21"/>
                <w:szCs w:val="21"/>
                <w:lang w:val="en-US" w:eastAsia="zh-CN"/>
              </w:rPr>
              <w:t>本</w:t>
            </w:r>
            <w:r>
              <w:rPr>
                <w:rFonts w:hint="eastAsia"/>
                <w:color w:val="auto"/>
                <w:sz w:val="21"/>
                <w:szCs w:val="21"/>
              </w:rPr>
              <w:t>项目中水泥储存于密闭筒仓中，石子和石粉等储存于原料区</w:t>
            </w:r>
            <w:r>
              <w:rPr>
                <w:rFonts w:hint="eastAsia"/>
                <w:color w:val="auto"/>
                <w:sz w:val="21"/>
                <w:szCs w:val="21"/>
                <w:lang w:eastAsia="zh-CN"/>
              </w:rPr>
              <w:t>，</w:t>
            </w:r>
            <w:r>
              <w:rPr>
                <w:rFonts w:hint="eastAsia"/>
                <w:color w:val="auto"/>
                <w:sz w:val="21"/>
                <w:szCs w:val="21"/>
                <w:lang w:val="en-US" w:eastAsia="zh-CN"/>
              </w:rPr>
              <w:t>本项目石子均为外购新料，不在厂内破碎。</w:t>
            </w:r>
          </w:p>
          <w:p w14:paraId="1AABA7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lang w:val="en-US" w:eastAsia="zh-CN"/>
              </w:rPr>
            </w:pPr>
            <w:r>
              <w:rPr>
                <w:rFonts w:hint="eastAsia"/>
                <w:b/>
                <w:bCs/>
                <w:color w:val="auto"/>
                <w:lang w:val="en-US" w:eastAsia="zh-CN"/>
              </w:rPr>
              <w:t>表2-6  全厂能源消耗一览表</w:t>
            </w:r>
          </w:p>
          <w:tbl>
            <w:tblPr>
              <w:tblStyle w:val="27"/>
              <w:tblW w:w="8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45"/>
              <w:gridCol w:w="1725"/>
              <w:gridCol w:w="1365"/>
              <w:gridCol w:w="1425"/>
              <w:gridCol w:w="1957"/>
            </w:tblGrid>
            <w:tr w14:paraId="3381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9" w:type="dxa"/>
                  <w:vAlign w:val="center"/>
                </w:tcPr>
                <w:p w14:paraId="3BC512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序号</w:t>
                  </w:r>
                </w:p>
              </w:tc>
              <w:tc>
                <w:tcPr>
                  <w:tcW w:w="945" w:type="dxa"/>
                  <w:vAlign w:val="center"/>
                </w:tcPr>
                <w:p w14:paraId="694663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名称</w:t>
                  </w:r>
                </w:p>
              </w:tc>
              <w:tc>
                <w:tcPr>
                  <w:tcW w:w="1725" w:type="dxa"/>
                  <w:vAlign w:val="center"/>
                </w:tcPr>
                <w:p w14:paraId="3FA75F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本次扩建</w:t>
                  </w:r>
                </w:p>
              </w:tc>
              <w:tc>
                <w:tcPr>
                  <w:tcW w:w="1365" w:type="dxa"/>
                  <w:vAlign w:val="center"/>
                </w:tcPr>
                <w:p w14:paraId="05D988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现有工程</w:t>
                  </w:r>
                </w:p>
              </w:tc>
              <w:tc>
                <w:tcPr>
                  <w:tcW w:w="1425" w:type="dxa"/>
                  <w:vAlign w:val="center"/>
                </w:tcPr>
                <w:p w14:paraId="6C02DE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全厂用量</w:t>
                  </w:r>
                </w:p>
              </w:tc>
              <w:tc>
                <w:tcPr>
                  <w:tcW w:w="1957" w:type="dxa"/>
                  <w:vAlign w:val="center"/>
                </w:tcPr>
                <w:p w14:paraId="2BD1D0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rPr>
                    <w:t>备注</w:t>
                  </w:r>
                </w:p>
              </w:tc>
            </w:tr>
            <w:tr w14:paraId="5CFD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9" w:type="dxa"/>
                  <w:vAlign w:val="center"/>
                </w:tcPr>
                <w:p w14:paraId="539E09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945" w:type="dxa"/>
                  <w:vAlign w:val="center"/>
                </w:tcPr>
                <w:p w14:paraId="567F7E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水</w:t>
                  </w:r>
                </w:p>
              </w:tc>
              <w:tc>
                <w:tcPr>
                  <w:tcW w:w="1725" w:type="dxa"/>
                  <w:shd w:val="clear" w:color="auto" w:fill="auto"/>
                  <w:vAlign w:val="center"/>
                </w:tcPr>
                <w:p w14:paraId="7431B7AD">
                  <w:pPr>
                    <w:pStyle w:val="3"/>
                    <w:ind w:firstLine="0" w:firstLineChars="0"/>
                    <w:outlineLvl w:val="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41517.9</w:t>
                  </w:r>
                  <w:r>
                    <w:rPr>
                      <w:rFonts w:hint="eastAsia"/>
                      <w:color w:val="auto"/>
                    </w:rPr>
                    <w:t>m</w:t>
                  </w:r>
                  <w:r>
                    <w:rPr>
                      <w:rFonts w:hint="eastAsia"/>
                      <w:color w:val="auto"/>
                      <w:vertAlign w:val="superscript"/>
                    </w:rPr>
                    <w:t>3</w:t>
                  </w:r>
                  <w:r>
                    <w:rPr>
                      <w:rFonts w:hint="eastAsia"/>
                      <w:color w:val="auto"/>
                    </w:rPr>
                    <w:t>/a</w:t>
                  </w:r>
                </w:p>
              </w:tc>
              <w:tc>
                <w:tcPr>
                  <w:tcW w:w="1365" w:type="dxa"/>
                  <w:shd w:val="clear" w:color="auto" w:fill="auto"/>
                  <w:vAlign w:val="center"/>
                </w:tcPr>
                <w:p w14:paraId="6E955B46">
                  <w:pPr>
                    <w:pStyle w:val="3"/>
                    <w:bidi w:val="0"/>
                    <w:ind w:firstLine="0" w:firstLineChars="0"/>
                    <w:rPr>
                      <w:rFonts w:hint="eastAsia" w:ascii="Times New Roman" w:hAnsi="Times New Roman" w:eastAsia="宋体" w:cs="Times New Roman"/>
                      <w:kern w:val="44"/>
                      <w:sz w:val="21"/>
                      <w:szCs w:val="24"/>
                      <w:lang w:val="en-US" w:eastAsia="zh-CN" w:bidi="ar-SA"/>
                    </w:rPr>
                  </w:pPr>
                  <w:r>
                    <w:rPr>
                      <w:rFonts w:hint="eastAsia"/>
                      <w:color w:val="auto"/>
                      <w:lang w:val="en-US" w:eastAsia="zh-CN"/>
                    </w:rPr>
                    <w:t>654</w:t>
                  </w:r>
                  <w:r>
                    <w:rPr>
                      <w:rFonts w:hint="eastAsia"/>
                      <w:color w:val="auto"/>
                    </w:rPr>
                    <w:t>m</w:t>
                  </w:r>
                  <w:r>
                    <w:rPr>
                      <w:rFonts w:hint="eastAsia"/>
                      <w:color w:val="auto"/>
                      <w:vertAlign w:val="superscript"/>
                    </w:rPr>
                    <w:t>3</w:t>
                  </w:r>
                  <w:r>
                    <w:rPr>
                      <w:rFonts w:hint="eastAsia"/>
                      <w:color w:val="auto"/>
                    </w:rPr>
                    <w:t>/a</w:t>
                  </w:r>
                </w:p>
              </w:tc>
              <w:tc>
                <w:tcPr>
                  <w:tcW w:w="1425" w:type="dxa"/>
                  <w:vAlign w:val="center"/>
                </w:tcPr>
                <w:p w14:paraId="0D8C02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rPr>
                  </w:pPr>
                  <w:r>
                    <w:rPr>
                      <w:rFonts w:hint="eastAsia"/>
                      <w:b w:val="0"/>
                      <w:bCs w:val="0"/>
                      <w:color w:val="auto"/>
                      <w:sz w:val="21"/>
                      <w:szCs w:val="21"/>
                      <w:vertAlign w:val="baseline"/>
                      <w:lang w:val="en-US" w:eastAsia="zh-CN"/>
                    </w:rPr>
                    <w:t>42171.9</w:t>
                  </w:r>
                  <w:r>
                    <w:rPr>
                      <w:rFonts w:hint="eastAsia"/>
                      <w:color w:val="auto"/>
                    </w:rPr>
                    <w:t>m</w:t>
                  </w:r>
                  <w:r>
                    <w:rPr>
                      <w:rFonts w:hint="eastAsia"/>
                      <w:color w:val="auto"/>
                      <w:vertAlign w:val="superscript"/>
                    </w:rPr>
                    <w:t>3</w:t>
                  </w:r>
                  <w:r>
                    <w:rPr>
                      <w:rFonts w:hint="eastAsia"/>
                      <w:color w:val="auto"/>
                    </w:rPr>
                    <w:t>/a</w:t>
                  </w:r>
                </w:p>
              </w:tc>
              <w:tc>
                <w:tcPr>
                  <w:tcW w:w="1957" w:type="dxa"/>
                  <w:shd w:val="clear" w:color="auto" w:fill="auto"/>
                  <w:vAlign w:val="center"/>
                </w:tcPr>
                <w:p w14:paraId="27738634">
                  <w:pPr>
                    <w:pStyle w:val="3"/>
                    <w:bidi w:val="0"/>
                    <w:ind w:firstLine="0" w:firstLineChars="0"/>
                    <w:rPr>
                      <w:rFonts w:hint="eastAsia" w:ascii="Times New Roman" w:hAnsi="Times New Roman" w:eastAsia="宋体" w:cs="Times New Roman"/>
                      <w:kern w:val="44"/>
                      <w:sz w:val="21"/>
                      <w:szCs w:val="24"/>
                      <w:lang w:val="en-US" w:eastAsia="zh-CN" w:bidi="ar-SA"/>
                    </w:rPr>
                  </w:pPr>
                  <w:r>
                    <w:rPr>
                      <w:rFonts w:hint="default"/>
                    </w:rPr>
                    <w:t>乡镇供水管网供给</w:t>
                  </w:r>
                </w:p>
              </w:tc>
            </w:tr>
            <w:tr w14:paraId="3A4D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9" w:type="dxa"/>
                  <w:vAlign w:val="center"/>
                </w:tcPr>
                <w:p w14:paraId="1FC844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2</w:t>
                  </w:r>
                </w:p>
              </w:tc>
              <w:tc>
                <w:tcPr>
                  <w:tcW w:w="945" w:type="dxa"/>
                  <w:vAlign w:val="center"/>
                </w:tcPr>
                <w:p w14:paraId="00E758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电</w:t>
                  </w:r>
                </w:p>
              </w:tc>
              <w:tc>
                <w:tcPr>
                  <w:tcW w:w="1725" w:type="dxa"/>
                  <w:shd w:val="clear" w:color="auto" w:fill="auto"/>
                  <w:vAlign w:val="center"/>
                </w:tcPr>
                <w:p w14:paraId="32B891E8">
                  <w:pPr>
                    <w:pStyle w:val="3"/>
                    <w:ind w:firstLine="0" w:firstLineChars="0"/>
                    <w:outlineLvl w:val="0"/>
                    <w:rPr>
                      <w:rFonts w:hint="eastAsia" w:ascii="Times New Roman" w:hAnsi="Times New Roman" w:eastAsia="宋体" w:cs="Times New Roman"/>
                      <w:color w:val="auto"/>
                      <w:kern w:val="44"/>
                      <w:sz w:val="21"/>
                      <w:szCs w:val="24"/>
                      <w:lang w:val="en-US" w:eastAsia="zh-CN" w:bidi="ar-SA"/>
                    </w:rPr>
                  </w:pPr>
                  <w:r>
                    <w:rPr>
                      <w:rFonts w:hint="eastAsia"/>
                      <w:color w:val="auto"/>
                    </w:rPr>
                    <w:t>1</w:t>
                  </w:r>
                  <w:r>
                    <w:rPr>
                      <w:rFonts w:hint="eastAsia"/>
                      <w:color w:val="auto"/>
                      <w:lang w:val="en-US" w:eastAsia="zh-CN"/>
                    </w:rPr>
                    <w:t>00</w:t>
                  </w:r>
                  <w:r>
                    <w:rPr>
                      <w:rFonts w:hint="eastAsia"/>
                      <w:color w:val="auto"/>
                    </w:rPr>
                    <w:t>万kw/a</w:t>
                  </w:r>
                </w:p>
              </w:tc>
              <w:tc>
                <w:tcPr>
                  <w:tcW w:w="1365" w:type="dxa"/>
                  <w:shd w:val="clear" w:color="auto" w:fill="auto"/>
                  <w:vAlign w:val="center"/>
                </w:tcPr>
                <w:p w14:paraId="25232AD6">
                  <w:pPr>
                    <w:pStyle w:val="3"/>
                    <w:bidi w:val="0"/>
                    <w:ind w:firstLine="0" w:firstLineChars="0"/>
                    <w:rPr>
                      <w:rFonts w:hint="eastAsia" w:ascii="Times New Roman" w:hAnsi="Times New Roman" w:eastAsia="宋体" w:cs="Times New Roman"/>
                      <w:kern w:val="44"/>
                      <w:sz w:val="21"/>
                      <w:szCs w:val="24"/>
                      <w:lang w:val="en-US" w:eastAsia="zh-CN" w:bidi="ar-SA"/>
                    </w:rPr>
                  </w:pPr>
                  <w:r>
                    <w:rPr>
                      <w:rFonts w:hint="eastAsia"/>
                      <w:lang w:val="en-US" w:eastAsia="zh-CN"/>
                    </w:rPr>
                    <w:t>120</w:t>
                  </w:r>
                  <w:r>
                    <w:rPr>
                      <w:rFonts w:hint="default"/>
                    </w:rPr>
                    <w:t>万</w:t>
                  </w:r>
                  <w:r>
                    <w:rPr>
                      <w:rFonts w:hint="eastAsia"/>
                      <w:color w:val="auto"/>
                    </w:rPr>
                    <w:t>kw/a</w:t>
                  </w:r>
                </w:p>
              </w:tc>
              <w:tc>
                <w:tcPr>
                  <w:tcW w:w="1425" w:type="dxa"/>
                  <w:vAlign w:val="center"/>
                </w:tcPr>
                <w:p w14:paraId="4F7F9A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220</w:t>
                  </w:r>
                  <w:r>
                    <w:rPr>
                      <w:rFonts w:hint="eastAsia"/>
                      <w:color w:val="auto"/>
                    </w:rPr>
                    <w:t>万kw/a</w:t>
                  </w:r>
                </w:p>
              </w:tc>
              <w:tc>
                <w:tcPr>
                  <w:tcW w:w="1957" w:type="dxa"/>
                  <w:shd w:val="clear" w:color="auto" w:fill="auto"/>
                  <w:vAlign w:val="center"/>
                </w:tcPr>
                <w:p w14:paraId="1BA891BE">
                  <w:pPr>
                    <w:pStyle w:val="3"/>
                    <w:bidi w:val="0"/>
                    <w:ind w:firstLine="0" w:firstLineChars="0"/>
                    <w:rPr>
                      <w:rFonts w:hint="default" w:ascii="Times New Roman" w:hAnsi="Times New Roman" w:eastAsia="宋体" w:cs="Times New Roman"/>
                      <w:kern w:val="44"/>
                      <w:sz w:val="21"/>
                      <w:szCs w:val="24"/>
                      <w:lang w:val="en-US" w:eastAsia="zh-CN" w:bidi="ar-SA"/>
                    </w:rPr>
                  </w:pPr>
                  <w:r>
                    <w:rPr>
                      <w:rFonts w:hint="eastAsia" w:cs="Times New Roman"/>
                      <w:kern w:val="44"/>
                      <w:sz w:val="21"/>
                      <w:szCs w:val="24"/>
                      <w:lang w:val="en-US" w:eastAsia="zh-CN" w:bidi="ar-SA"/>
                    </w:rPr>
                    <w:t>乡镇供电管网供给</w:t>
                  </w:r>
                </w:p>
              </w:tc>
            </w:tr>
          </w:tbl>
          <w:p w14:paraId="05C26BDB">
            <w:pPr>
              <w:ind w:firstLine="0" w:firstLineChars="0"/>
              <w:rPr>
                <w:rFonts w:cs="宋体"/>
                <w:b/>
                <w:bCs/>
                <w:color w:val="auto"/>
              </w:rPr>
            </w:pPr>
            <w:r>
              <w:rPr>
                <w:rFonts w:hint="eastAsia" w:cs="宋体"/>
                <w:b/>
                <w:bCs/>
                <w:color w:val="auto"/>
              </w:rPr>
              <w:t>6、公用工程</w:t>
            </w:r>
          </w:p>
          <w:p w14:paraId="5FB55979">
            <w:pPr>
              <w:ind w:firstLine="0" w:firstLineChars="0"/>
              <w:rPr>
                <w:rFonts w:cs="宋体"/>
                <w:b/>
                <w:bCs/>
                <w:color w:val="auto"/>
              </w:rPr>
            </w:pPr>
            <w:r>
              <w:rPr>
                <w:rFonts w:hint="eastAsia" w:cs="宋体"/>
                <w:b/>
                <w:bCs/>
                <w:color w:val="auto"/>
              </w:rPr>
              <w:t>6.1用水量核算</w:t>
            </w:r>
          </w:p>
          <w:p w14:paraId="2604E915">
            <w:pPr>
              <w:ind w:firstLine="480"/>
              <w:rPr>
                <w:color w:val="auto"/>
              </w:rPr>
            </w:pPr>
            <w:r>
              <w:rPr>
                <w:rFonts w:hint="eastAsia"/>
                <w:color w:val="auto"/>
              </w:rPr>
              <w:t>本项目用水主要为员工生活用水、生产用水、车辆、道路冲洗用水、降尘用水等。</w:t>
            </w:r>
          </w:p>
          <w:p w14:paraId="4EAD3853">
            <w:pPr>
              <w:numPr>
                <w:ilvl w:val="0"/>
                <w:numId w:val="2"/>
              </w:numPr>
              <w:ind w:firstLine="482"/>
              <w:rPr>
                <w:b/>
                <w:color w:val="auto"/>
              </w:rPr>
            </w:pPr>
            <w:r>
              <w:rPr>
                <w:rFonts w:hint="eastAsia"/>
                <w:b/>
                <w:color w:val="auto"/>
              </w:rPr>
              <w:t>生活用水</w:t>
            </w:r>
          </w:p>
          <w:p w14:paraId="24321DB8">
            <w:pPr>
              <w:ind w:firstLine="480"/>
              <w:rPr>
                <w:color w:val="auto"/>
              </w:rPr>
            </w:pPr>
            <w:r>
              <w:rPr>
                <w:rFonts w:hint="eastAsia"/>
                <w:color w:val="auto"/>
              </w:rPr>
              <w:t>本项目新增工人</w:t>
            </w:r>
            <w:r>
              <w:rPr>
                <w:rFonts w:hint="eastAsia"/>
                <w:color w:val="auto"/>
                <w:lang w:val="en-US" w:eastAsia="zh-CN"/>
              </w:rPr>
              <w:t>12</w:t>
            </w:r>
            <w:r>
              <w:rPr>
                <w:rFonts w:hint="eastAsia"/>
                <w:color w:val="auto"/>
              </w:rPr>
              <w:t>人，</w:t>
            </w:r>
            <w:r>
              <w:rPr>
                <w:bCs/>
                <w:color w:val="auto"/>
              </w:rPr>
              <w:t>根据</w:t>
            </w:r>
            <w:r>
              <w:rPr>
                <w:color w:val="auto"/>
              </w:rPr>
              <w:t>《安徽省行业用水定额》（DB34/T 679-</w:t>
            </w:r>
            <w:r>
              <w:rPr>
                <w:rFonts w:hint="eastAsia"/>
                <w:color w:val="auto"/>
              </w:rPr>
              <w:t>2019</w:t>
            </w:r>
            <w:r>
              <w:rPr>
                <w:color w:val="auto"/>
              </w:rPr>
              <w:t>）</w:t>
            </w:r>
            <w:r>
              <w:rPr>
                <w:rFonts w:hint="eastAsia"/>
                <w:color w:val="auto"/>
              </w:rPr>
              <w:t>中的相关规定</w:t>
            </w:r>
            <w:r>
              <w:rPr>
                <w:color w:val="auto"/>
              </w:rPr>
              <w:t>，生活用水定额</w:t>
            </w:r>
            <w:r>
              <w:rPr>
                <w:rFonts w:hint="eastAsia"/>
                <w:color w:val="auto"/>
                <w:lang w:val="en-US" w:eastAsia="zh-CN"/>
              </w:rPr>
              <w:t>为60</w:t>
            </w:r>
            <w:r>
              <w:rPr>
                <w:color w:val="auto"/>
              </w:rPr>
              <w:t>L/人，则生活用水量</w:t>
            </w:r>
            <w:r>
              <w:rPr>
                <w:rFonts w:hint="eastAsia"/>
                <w:color w:val="auto"/>
                <w:lang w:val="en-US" w:eastAsia="zh-CN"/>
              </w:rPr>
              <w:t>0.72</w:t>
            </w:r>
            <w:r>
              <w:rPr>
                <w:color w:val="auto"/>
                <w:kern w:val="0"/>
              </w:rPr>
              <w:t>m</w:t>
            </w:r>
            <w:r>
              <w:rPr>
                <w:color w:val="auto"/>
                <w:kern w:val="0"/>
                <w:vertAlign w:val="superscript"/>
              </w:rPr>
              <w:t>3</w:t>
            </w:r>
            <w:r>
              <w:rPr>
                <w:color w:val="auto"/>
              </w:rPr>
              <w:t>/d、</w:t>
            </w:r>
            <w:r>
              <w:rPr>
                <w:rFonts w:hint="eastAsia"/>
                <w:color w:val="auto"/>
                <w:lang w:val="en-US" w:eastAsia="zh-CN"/>
              </w:rPr>
              <w:t>216</w:t>
            </w:r>
            <w:r>
              <w:rPr>
                <w:color w:val="auto"/>
                <w:kern w:val="0"/>
              </w:rPr>
              <w:t>m</w:t>
            </w:r>
            <w:r>
              <w:rPr>
                <w:color w:val="auto"/>
                <w:kern w:val="0"/>
                <w:vertAlign w:val="superscript"/>
              </w:rPr>
              <w:t>3</w:t>
            </w:r>
            <w:r>
              <w:rPr>
                <w:color w:val="auto"/>
              </w:rPr>
              <w:t>/a。生活污水产生系数按</w:t>
            </w:r>
            <w:r>
              <w:rPr>
                <w:rFonts w:hint="eastAsia"/>
                <w:color w:val="auto"/>
              </w:rPr>
              <w:t>80%</w:t>
            </w:r>
            <w:r>
              <w:rPr>
                <w:color w:val="auto"/>
              </w:rPr>
              <w:t>计，即</w:t>
            </w:r>
            <w:r>
              <w:rPr>
                <w:rFonts w:hint="eastAsia"/>
                <w:color w:val="auto"/>
                <w:lang w:val="en-US" w:eastAsia="zh-CN"/>
              </w:rPr>
              <w:t>0.576</w:t>
            </w:r>
            <w:r>
              <w:rPr>
                <w:color w:val="auto"/>
              </w:rPr>
              <w:t>m</w:t>
            </w:r>
            <w:r>
              <w:rPr>
                <w:color w:val="auto"/>
                <w:vertAlign w:val="superscript"/>
              </w:rPr>
              <w:t>3</w:t>
            </w:r>
            <w:r>
              <w:rPr>
                <w:color w:val="auto"/>
              </w:rPr>
              <w:t>/d</w:t>
            </w:r>
            <w:r>
              <w:rPr>
                <w:rFonts w:hint="eastAsia"/>
                <w:color w:val="auto"/>
              </w:rPr>
              <w:t>、</w:t>
            </w:r>
            <w:r>
              <w:rPr>
                <w:rFonts w:hint="eastAsia"/>
                <w:color w:val="auto"/>
                <w:lang w:val="en-US" w:eastAsia="zh-CN"/>
              </w:rPr>
              <w:t>172.8</w:t>
            </w:r>
            <w:r>
              <w:rPr>
                <w:color w:val="auto"/>
              </w:rPr>
              <w:t>m</w:t>
            </w:r>
            <w:r>
              <w:rPr>
                <w:color w:val="auto"/>
                <w:vertAlign w:val="superscript"/>
              </w:rPr>
              <w:t>3</w:t>
            </w:r>
            <w:r>
              <w:rPr>
                <w:color w:val="auto"/>
              </w:rPr>
              <w:t>/a。</w:t>
            </w:r>
          </w:p>
          <w:p w14:paraId="03EF81A3">
            <w:pPr>
              <w:ind w:firstLine="482"/>
              <w:rPr>
                <w:b/>
                <w:bCs/>
                <w:color w:val="auto"/>
              </w:rPr>
            </w:pPr>
            <w:r>
              <w:rPr>
                <w:rFonts w:hint="eastAsia"/>
                <w:b/>
                <w:bCs/>
                <w:color w:val="auto"/>
              </w:rPr>
              <w:t>（2）食堂用水</w:t>
            </w:r>
          </w:p>
          <w:p w14:paraId="49C7323A">
            <w:pPr>
              <w:ind w:firstLine="480"/>
              <w:rPr>
                <w:b/>
                <w:bCs/>
                <w:color w:val="auto"/>
              </w:rPr>
            </w:pPr>
            <w:r>
              <w:rPr>
                <w:color w:val="auto"/>
              </w:rPr>
              <w:t>根据《安徽省行业用水定额》（DB34/T679-</w:t>
            </w:r>
            <w:r>
              <w:rPr>
                <w:rFonts w:hint="eastAsia"/>
                <w:color w:val="auto"/>
              </w:rPr>
              <w:t>2019</w:t>
            </w:r>
            <w:r>
              <w:rPr>
                <w:color w:val="auto"/>
              </w:rPr>
              <w:t>）</w:t>
            </w:r>
            <w:r>
              <w:rPr>
                <w:rFonts w:hint="eastAsia"/>
                <w:color w:val="auto"/>
              </w:rPr>
              <w:t>可知，本项目食堂用水取50</w:t>
            </w:r>
            <w:r>
              <w:rPr>
                <w:color w:val="auto"/>
              </w:rPr>
              <w:t>L/（人·日）</w:t>
            </w:r>
            <w:r>
              <w:rPr>
                <w:rFonts w:hint="eastAsia"/>
                <w:color w:val="auto"/>
                <w:lang w:eastAsia="zh-CN"/>
              </w:rPr>
              <w:t>。</w:t>
            </w:r>
            <w:r>
              <w:rPr>
                <w:rFonts w:hint="eastAsia"/>
                <w:color w:val="auto"/>
              </w:rPr>
              <w:t>因此</w:t>
            </w:r>
            <w:r>
              <w:rPr>
                <w:rFonts w:hint="eastAsia"/>
                <w:color w:val="auto"/>
                <w:lang w:eastAsia="zh-CN"/>
              </w:rPr>
              <w:t>，</w:t>
            </w:r>
            <w:r>
              <w:rPr>
                <w:rFonts w:hint="eastAsia"/>
                <w:color w:val="auto"/>
              </w:rPr>
              <w:t>本项目食堂用水为</w:t>
            </w:r>
            <w:r>
              <w:rPr>
                <w:rFonts w:hint="eastAsia"/>
                <w:color w:val="auto"/>
                <w:lang w:val="en-US" w:eastAsia="zh-CN"/>
              </w:rPr>
              <w:t>0.6</w:t>
            </w:r>
            <w:r>
              <w:rPr>
                <w:rFonts w:hint="eastAsia"/>
                <w:color w:val="auto"/>
              </w:rPr>
              <w:t>m</w:t>
            </w:r>
            <w:r>
              <w:rPr>
                <w:rFonts w:hint="eastAsia"/>
                <w:color w:val="auto"/>
                <w:vertAlign w:val="superscript"/>
              </w:rPr>
              <w:t>3</w:t>
            </w:r>
            <w:r>
              <w:rPr>
                <w:rFonts w:hint="eastAsia"/>
                <w:color w:val="auto"/>
              </w:rPr>
              <w:t>/d、</w:t>
            </w:r>
            <w:r>
              <w:rPr>
                <w:rFonts w:hint="eastAsia"/>
                <w:color w:val="auto"/>
                <w:lang w:val="en-US" w:eastAsia="zh-CN"/>
              </w:rPr>
              <w:t>180</w:t>
            </w:r>
            <w:r>
              <w:rPr>
                <w:rFonts w:hint="eastAsia"/>
                <w:color w:val="auto"/>
              </w:rPr>
              <w:t>m</w:t>
            </w:r>
            <w:r>
              <w:rPr>
                <w:rFonts w:hint="eastAsia"/>
                <w:color w:val="auto"/>
                <w:vertAlign w:val="superscript"/>
              </w:rPr>
              <w:t>3</w:t>
            </w:r>
            <w:r>
              <w:rPr>
                <w:rFonts w:hint="eastAsia"/>
                <w:color w:val="auto"/>
              </w:rPr>
              <w:t>/a。</w:t>
            </w:r>
            <w:r>
              <w:rPr>
                <w:color w:val="auto"/>
              </w:rPr>
              <w:t>污水排放系数按</w:t>
            </w:r>
            <w:r>
              <w:rPr>
                <w:rFonts w:hint="eastAsia"/>
                <w:color w:val="auto"/>
              </w:rPr>
              <w:t>80%</w:t>
            </w:r>
            <w:r>
              <w:rPr>
                <w:color w:val="auto"/>
              </w:rPr>
              <w:t>计，则</w:t>
            </w:r>
            <w:r>
              <w:rPr>
                <w:rFonts w:hint="eastAsia"/>
                <w:color w:val="auto"/>
              </w:rPr>
              <w:t>员工食堂废水产生量为</w:t>
            </w:r>
            <w:r>
              <w:rPr>
                <w:rFonts w:hint="eastAsia"/>
                <w:color w:val="auto"/>
                <w:lang w:val="en-US" w:eastAsia="zh-CN"/>
              </w:rPr>
              <w:t>0.48</w:t>
            </w:r>
            <w:r>
              <w:rPr>
                <w:rFonts w:hint="eastAsia"/>
                <w:color w:val="auto"/>
              </w:rPr>
              <w:t>m</w:t>
            </w:r>
            <w:r>
              <w:rPr>
                <w:rFonts w:hint="eastAsia"/>
                <w:color w:val="auto"/>
                <w:vertAlign w:val="superscript"/>
              </w:rPr>
              <w:t>3</w:t>
            </w:r>
            <w:r>
              <w:rPr>
                <w:rFonts w:hint="eastAsia"/>
                <w:color w:val="auto"/>
              </w:rPr>
              <w:t>/d、</w:t>
            </w:r>
            <w:r>
              <w:rPr>
                <w:rFonts w:hint="eastAsia"/>
                <w:color w:val="auto"/>
                <w:lang w:val="en-US" w:eastAsia="zh-CN"/>
              </w:rPr>
              <w:t>144</w:t>
            </w:r>
            <w:r>
              <w:rPr>
                <w:rFonts w:hint="eastAsia"/>
                <w:color w:val="auto"/>
              </w:rPr>
              <w:t>m</w:t>
            </w:r>
            <w:r>
              <w:rPr>
                <w:rFonts w:hint="eastAsia"/>
                <w:color w:val="auto"/>
                <w:vertAlign w:val="superscript"/>
              </w:rPr>
              <w:t>3</w:t>
            </w:r>
            <w:r>
              <w:rPr>
                <w:rFonts w:hint="eastAsia"/>
                <w:color w:val="auto"/>
              </w:rPr>
              <w:t>/a。</w:t>
            </w:r>
          </w:p>
          <w:p w14:paraId="78A763EE">
            <w:pPr>
              <w:ind w:firstLine="482"/>
              <w:rPr>
                <w:b/>
                <w:bCs/>
                <w:color w:val="auto"/>
              </w:rPr>
            </w:pPr>
            <w:r>
              <w:rPr>
                <w:rFonts w:hint="eastAsia"/>
                <w:b/>
                <w:bCs/>
                <w:color w:val="auto"/>
              </w:rPr>
              <w:t>（3）搅拌用水</w:t>
            </w:r>
          </w:p>
          <w:p w14:paraId="3801A08D">
            <w:pPr>
              <w:keepNext w:val="0"/>
              <w:keepLines w:val="0"/>
              <w:pageBreakBefore w:val="0"/>
              <w:widowControl/>
              <w:kinsoku/>
              <w:wordWrap/>
              <w:overflowPunct/>
              <w:topLinePunct w:val="0"/>
              <w:autoSpaceDE/>
              <w:autoSpaceDN/>
              <w:bidi w:val="0"/>
              <w:adjustRightInd/>
              <w:snapToGrid/>
              <w:ind w:firstLine="480"/>
              <w:jc w:val="left"/>
              <w:textAlignment w:val="auto"/>
              <w:rPr>
                <w:color w:val="auto"/>
              </w:rPr>
            </w:pPr>
            <w:r>
              <w:rPr>
                <w:rFonts w:hint="eastAsia" w:ascii="宋体" w:hAnsi="宋体" w:cs="宋体"/>
                <w:color w:val="auto"/>
                <w:kern w:val="0"/>
                <w:lang w:bidi="ar"/>
              </w:rPr>
              <w:t>根据业主提供的水稳料生产的配料比，水稳料生产中水占比为</w:t>
            </w:r>
            <w:r>
              <w:rPr>
                <w:rFonts w:hint="eastAsia"/>
                <w:color w:val="auto"/>
                <w:kern w:val="0"/>
                <w:lang w:val="en-US" w:eastAsia="zh-CN" w:bidi="ar"/>
              </w:rPr>
              <w:t>8</w:t>
            </w:r>
            <w:r>
              <w:rPr>
                <w:rFonts w:hint="eastAsia"/>
                <w:color w:val="auto"/>
                <w:kern w:val="0"/>
                <w:lang w:bidi="ar"/>
              </w:rPr>
              <w:t>%</w:t>
            </w:r>
            <w:r>
              <w:rPr>
                <w:rFonts w:hint="eastAsia" w:ascii="宋体" w:hAnsi="宋体" w:cs="宋体"/>
                <w:color w:val="auto"/>
                <w:kern w:val="0"/>
                <w:lang w:bidi="ar"/>
              </w:rPr>
              <w:t>，水稳料年生产量为</w:t>
            </w:r>
            <w:r>
              <w:rPr>
                <w:rFonts w:hint="eastAsia"/>
                <w:color w:val="auto"/>
                <w:kern w:val="0"/>
                <w:lang w:val="en-US" w:eastAsia="zh-CN" w:bidi="ar"/>
              </w:rPr>
              <w:t>50</w:t>
            </w:r>
            <w:r>
              <w:rPr>
                <w:rFonts w:hint="eastAsia" w:ascii="宋体" w:hAnsi="宋体" w:cs="宋体"/>
                <w:color w:val="auto"/>
                <w:kern w:val="0"/>
                <w:lang w:bidi="ar"/>
              </w:rPr>
              <w:t>万</w:t>
            </w:r>
            <w:r>
              <w:rPr>
                <w:color w:val="auto"/>
                <w:kern w:val="0"/>
                <w:lang w:bidi="ar"/>
              </w:rPr>
              <w:t>t/a</w:t>
            </w:r>
            <w:r>
              <w:rPr>
                <w:rFonts w:hint="eastAsia" w:ascii="宋体" w:hAnsi="宋体" w:cs="宋体"/>
                <w:color w:val="auto"/>
                <w:kern w:val="0"/>
                <w:lang w:bidi="ar"/>
              </w:rPr>
              <w:t>，则用水量为</w:t>
            </w:r>
            <w:r>
              <w:rPr>
                <w:rFonts w:hint="eastAsia"/>
                <w:color w:val="auto"/>
                <w:kern w:val="0"/>
                <w:lang w:val="en-US" w:eastAsia="zh-CN" w:bidi="ar"/>
              </w:rPr>
              <w:t>133.333</w:t>
            </w:r>
            <w:r>
              <w:rPr>
                <w:color w:val="auto"/>
                <w:kern w:val="0"/>
                <w:lang w:bidi="ar"/>
              </w:rPr>
              <w:t>m</w:t>
            </w:r>
            <w:r>
              <w:rPr>
                <w:color w:val="auto"/>
                <w:kern w:val="0"/>
                <w:vertAlign w:val="superscript"/>
                <w:lang w:bidi="ar"/>
              </w:rPr>
              <w:t>3</w:t>
            </w:r>
            <w:r>
              <w:rPr>
                <w:color w:val="auto"/>
                <w:kern w:val="0"/>
                <w:lang w:bidi="ar"/>
              </w:rPr>
              <w:t>/d</w:t>
            </w:r>
            <w:r>
              <w:rPr>
                <w:rFonts w:hint="eastAsia" w:ascii="宋体" w:hAnsi="宋体" w:cs="宋体"/>
                <w:color w:val="auto"/>
                <w:kern w:val="0"/>
                <w:lang w:bidi="ar"/>
              </w:rPr>
              <w:t>、</w:t>
            </w:r>
            <w:r>
              <w:rPr>
                <w:rFonts w:hint="eastAsia"/>
                <w:color w:val="auto"/>
                <w:kern w:val="0"/>
                <w:lang w:val="en-US" w:eastAsia="zh-CN" w:bidi="ar"/>
              </w:rPr>
              <w:t>40000</w:t>
            </w:r>
            <w:r>
              <w:rPr>
                <w:color w:val="auto"/>
                <w:kern w:val="0"/>
                <w:lang w:bidi="ar"/>
              </w:rPr>
              <w:t>m</w:t>
            </w:r>
            <w:r>
              <w:rPr>
                <w:color w:val="auto"/>
                <w:kern w:val="0"/>
                <w:vertAlign w:val="superscript"/>
                <w:lang w:bidi="ar"/>
              </w:rPr>
              <w:t>3</w:t>
            </w:r>
            <w:r>
              <w:rPr>
                <w:color w:val="auto"/>
                <w:kern w:val="0"/>
                <w:lang w:bidi="ar"/>
              </w:rPr>
              <w:t>/a</w:t>
            </w:r>
            <w:r>
              <w:rPr>
                <w:rFonts w:hint="eastAsia" w:ascii="宋体" w:hAnsi="宋体" w:cs="宋体"/>
                <w:color w:val="auto"/>
                <w:kern w:val="0"/>
                <w:lang w:bidi="ar"/>
              </w:rPr>
              <w:t xml:space="preserve">。水全部用于产品中，无生产废水产生。 </w:t>
            </w:r>
          </w:p>
          <w:p w14:paraId="7A854354">
            <w:pPr>
              <w:ind w:firstLine="482"/>
              <w:rPr>
                <w:b/>
                <w:bCs/>
                <w:color w:val="auto"/>
              </w:rPr>
            </w:pPr>
            <w:r>
              <w:rPr>
                <w:rFonts w:hint="eastAsia"/>
                <w:b/>
                <w:bCs/>
                <w:color w:val="auto"/>
              </w:rPr>
              <w:t>（4）车辆冲洗用水</w:t>
            </w:r>
          </w:p>
          <w:p w14:paraId="52159842">
            <w:pPr>
              <w:pStyle w:val="10"/>
              <w:rPr>
                <w:color w:val="auto"/>
              </w:rPr>
            </w:pPr>
            <w:r>
              <w:rPr>
                <w:color w:val="auto"/>
              </w:rPr>
              <w:t>根据项目原料用量和产品产量核算得项目平均每天出厂区的车次约为</w:t>
            </w:r>
            <w:r>
              <w:rPr>
                <w:rFonts w:hint="eastAsia"/>
                <w:color w:val="auto"/>
              </w:rPr>
              <w:t>50</w:t>
            </w:r>
            <w:r>
              <w:rPr>
                <w:color w:val="auto"/>
              </w:rPr>
              <w:t>次，为防止外出车辆将粉尘带出厂区污染沿线环境，需对出厂区运输车辆进行清洗，减少运输扬尘产生。根据《建筑给水排水标准》( GB50015-2009)中汽车冲洗用水定额。载重汽车冲</w:t>
            </w:r>
            <w:r>
              <w:rPr>
                <w:rFonts w:hint="eastAsia"/>
                <w:lang w:val="en-US" w:eastAsia="zh-CN"/>
              </w:rPr>
              <w:t>洗</w:t>
            </w:r>
            <w:r>
              <w:rPr>
                <w:color w:val="auto"/>
              </w:rPr>
              <w:t>用水量为80~ 120L/辆.次，本次评价取平均值100L/辆</w:t>
            </w:r>
            <w:r>
              <w:rPr>
                <w:rFonts w:hint="eastAsia" w:ascii="宋体" w:hAnsi="宋体" w:cs="宋体"/>
                <w:color w:val="auto"/>
              </w:rPr>
              <w:t>·</w:t>
            </w:r>
            <w:r>
              <w:rPr>
                <w:color w:val="auto"/>
              </w:rPr>
              <w:t>次，经计算车辆冲洗</w:t>
            </w:r>
            <w:r>
              <w:rPr>
                <w:rFonts w:hint="eastAsia"/>
                <w:color w:val="auto"/>
              </w:rPr>
              <w:t>用</w:t>
            </w:r>
            <w:r>
              <w:rPr>
                <w:color w:val="auto"/>
              </w:rPr>
              <w:t>水量为</w:t>
            </w:r>
            <w:r>
              <w:rPr>
                <w:rFonts w:hint="eastAsia"/>
                <w:color w:val="auto"/>
              </w:rPr>
              <w:t>5</w:t>
            </w:r>
            <w:r>
              <w:rPr>
                <w:color w:val="auto"/>
              </w:rPr>
              <w:t>m</w:t>
            </w:r>
            <w:r>
              <w:rPr>
                <w:color w:val="auto"/>
                <w:vertAlign w:val="superscript"/>
              </w:rPr>
              <w:t>3</w:t>
            </w:r>
            <w:r>
              <w:rPr>
                <w:color w:val="auto"/>
              </w:rPr>
              <w:t>/d</w:t>
            </w:r>
            <w:r>
              <w:rPr>
                <w:rFonts w:hint="eastAsia"/>
                <w:color w:val="auto"/>
              </w:rPr>
              <w:t>、1500</w:t>
            </w:r>
            <w:r>
              <w:rPr>
                <w:color w:val="auto"/>
              </w:rPr>
              <w:t>m</w:t>
            </w:r>
            <w:r>
              <w:rPr>
                <w:rFonts w:hint="eastAsia"/>
                <w:color w:val="auto"/>
                <w:vertAlign w:val="superscript"/>
              </w:rPr>
              <w:t>3</w:t>
            </w:r>
            <w:r>
              <w:rPr>
                <w:color w:val="auto"/>
              </w:rPr>
              <w:t>/a，损耗水量按20%计，则损耗水量为</w:t>
            </w:r>
            <w:r>
              <w:rPr>
                <w:rFonts w:hint="eastAsia"/>
                <w:color w:val="auto"/>
              </w:rPr>
              <w:t>1</w:t>
            </w:r>
            <w:r>
              <w:rPr>
                <w:color w:val="auto"/>
              </w:rPr>
              <w:t>m</w:t>
            </w:r>
            <w:r>
              <w:rPr>
                <w:rFonts w:hint="eastAsia"/>
                <w:color w:val="auto"/>
                <w:vertAlign w:val="superscript"/>
              </w:rPr>
              <w:t>3</w:t>
            </w:r>
            <w:r>
              <w:rPr>
                <w:color w:val="auto"/>
              </w:rPr>
              <w:t>/d</w:t>
            </w:r>
            <w:r>
              <w:rPr>
                <w:rFonts w:hint="eastAsia"/>
                <w:color w:val="auto"/>
              </w:rPr>
              <w:t>、300</w:t>
            </w:r>
            <w:r>
              <w:rPr>
                <w:color w:val="auto"/>
              </w:rPr>
              <w:t>m</w:t>
            </w:r>
            <w:r>
              <w:rPr>
                <w:rFonts w:hint="eastAsia"/>
                <w:color w:val="auto"/>
                <w:vertAlign w:val="superscript"/>
              </w:rPr>
              <w:t>3</w:t>
            </w:r>
            <w:r>
              <w:rPr>
                <w:color w:val="auto"/>
              </w:rPr>
              <w:t>/a</w:t>
            </w:r>
            <w:r>
              <w:rPr>
                <w:rFonts w:hint="eastAsia"/>
                <w:color w:val="auto"/>
                <w:lang w:eastAsia="zh-CN"/>
              </w:rPr>
              <w:t>。</w:t>
            </w:r>
            <w:r>
              <w:rPr>
                <w:color w:val="auto"/>
              </w:rPr>
              <w:t>因此</w:t>
            </w:r>
            <w:r>
              <w:rPr>
                <w:rFonts w:hint="eastAsia"/>
                <w:color w:val="auto"/>
                <w:lang w:eastAsia="zh-CN"/>
              </w:rPr>
              <w:t>，</w:t>
            </w:r>
            <w:r>
              <w:rPr>
                <w:color w:val="auto"/>
              </w:rPr>
              <w:t>车辆废水产生量为</w:t>
            </w:r>
            <w:r>
              <w:rPr>
                <w:rFonts w:hint="eastAsia"/>
                <w:color w:val="auto"/>
              </w:rPr>
              <w:t>4</w:t>
            </w:r>
            <w:r>
              <w:rPr>
                <w:color w:val="auto"/>
              </w:rPr>
              <w:t>m</w:t>
            </w:r>
            <w:r>
              <w:rPr>
                <w:rFonts w:hint="eastAsia"/>
                <w:color w:val="auto"/>
                <w:vertAlign w:val="superscript"/>
              </w:rPr>
              <w:t>3</w:t>
            </w:r>
            <w:r>
              <w:rPr>
                <w:color w:val="auto"/>
              </w:rPr>
              <w:t>/d</w:t>
            </w:r>
            <w:r>
              <w:rPr>
                <w:rFonts w:hint="eastAsia"/>
                <w:color w:val="auto"/>
              </w:rPr>
              <w:t>、1200</w:t>
            </w:r>
            <w:r>
              <w:rPr>
                <w:color w:val="auto"/>
              </w:rPr>
              <w:t>m</w:t>
            </w:r>
            <w:r>
              <w:rPr>
                <w:rFonts w:hint="eastAsia"/>
                <w:color w:val="auto"/>
                <w:vertAlign w:val="superscript"/>
              </w:rPr>
              <w:t>3</w:t>
            </w:r>
            <w:r>
              <w:rPr>
                <w:color w:val="auto"/>
              </w:rPr>
              <w:t>/a。项目车辆冲洗废水经</w:t>
            </w:r>
            <w:r>
              <w:rPr>
                <w:rFonts w:hint="eastAsia"/>
                <w:color w:val="auto"/>
              </w:rPr>
              <w:t>二级</w:t>
            </w:r>
            <w:r>
              <w:rPr>
                <w:color w:val="auto"/>
              </w:rPr>
              <w:t>沉淀池沉淀后回用于车辆冲洗工序，不外排。</w:t>
            </w:r>
          </w:p>
          <w:p w14:paraId="16A27CB1">
            <w:pPr>
              <w:pStyle w:val="9"/>
              <w:spacing w:line="360" w:lineRule="auto"/>
              <w:ind w:firstLine="482"/>
              <w:rPr>
                <w:b/>
                <w:bCs/>
                <w:color w:val="auto"/>
              </w:rPr>
            </w:pPr>
            <w:r>
              <w:rPr>
                <w:rFonts w:hint="eastAsia"/>
                <w:b/>
                <w:bCs/>
                <w:color w:val="auto"/>
              </w:rPr>
              <w:t>（5）</w:t>
            </w:r>
            <w:r>
              <w:rPr>
                <w:b/>
                <w:bCs/>
                <w:color w:val="auto"/>
              </w:rPr>
              <w:t>道路</w:t>
            </w:r>
            <w:r>
              <w:rPr>
                <w:rFonts w:hint="eastAsia"/>
                <w:b/>
                <w:bCs/>
                <w:color w:val="auto"/>
                <w:lang w:val="en-US" w:eastAsia="zh-CN"/>
              </w:rPr>
              <w:t>冲洗</w:t>
            </w:r>
            <w:r>
              <w:rPr>
                <w:b/>
                <w:bCs/>
                <w:color w:val="auto"/>
              </w:rPr>
              <w:t>用水</w:t>
            </w:r>
          </w:p>
          <w:p w14:paraId="0ED7E218">
            <w:pPr>
              <w:pStyle w:val="10"/>
              <w:ind w:firstLine="480"/>
              <w:rPr>
                <w:color w:val="auto"/>
              </w:rPr>
            </w:pPr>
            <w:r>
              <w:rPr>
                <w:bCs/>
                <w:color w:val="auto"/>
              </w:rPr>
              <w:t>本项目道路面积约</w:t>
            </w:r>
            <w:r>
              <w:rPr>
                <w:rFonts w:hint="eastAsia"/>
                <w:bCs/>
                <w:color w:val="auto"/>
              </w:rPr>
              <w:t>6</w:t>
            </w:r>
            <w:r>
              <w:rPr>
                <w:bCs/>
                <w:color w:val="auto"/>
              </w:rPr>
              <w:t>00m</w:t>
            </w:r>
            <w:r>
              <w:rPr>
                <w:bCs/>
                <w:color w:val="auto"/>
                <w:vertAlign w:val="superscript"/>
              </w:rPr>
              <w:t>2</w:t>
            </w:r>
            <w:r>
              <w:rPr>
                <w:bCs/>
                <w:color w:val="auto"/>
              </w:rPr>
              <w:t>，根据</w:t>
            </w:r>
            <w:r>
              <w:rPr>
                <w:color w:val="auto"/>
              </w:rPr>
              <w:t>《安徽省行业用水定额》（DB34/T679—2019 ）中的相关规定</w:t>
            </w:r>
            <w:bookmarkStart w:id="2" w:name="OLE_LINK37"/>
            <w:r>
              <w:rPr>
                <w:color w:val="auto"/>
              </w:rPr>
              <w:t>（用水系数</w:t>
            </w:r>
            <w:r>
              <w:rPr>
                <w:rFonts w:hint="eastAsia"/>
                <w:bCs/>
                <w:color w:val="auto"/>
              </w:rPr>
              <w:t>0.55</w:t>
            </w:r>
            <w:r>
              <w:rPr>
                <w:bCs/>
                <w:color w:val="auto"/>
              </w:rPr>
              <w:t>m</w:t>
            </w:r>
            <w:r>
              <w:rPr>
                <w:bCs/>
                <w:color w:val="auto"/>
                <w:vertAlign w:val="superscript"/>
              </w:rPr>
              <w:t>2</w:t>
            </w:r>
            <w:r>
              <w:rPr>
                <w:bCs/>
                <w:color w:val="auto"/>
              </w:rPr>
              <w:t>·</w:t>
            </w:r>
            <w:bookmarkEnd w:id="2"/>
            <w:r>
              <w:rPr>
                <w:rFonts w:hint="eastAsia"/>
                <w:bCs/>
                <w:color w:val="auto"/>
              </w:rPr>
              <w:t>a</w:t>
            </w:r>
            <w:r>
              <w:rPr>
                <w:color w:val="auto"/>
              </w:rPr>
              <w:t>）</w:t>
            </w:r>
            <w:r>
              <w:rPr>
                <w:bCs/>
                <w:color w:val="auto"/>
              </w:rPr>
              <w:t>，则该部分用水量为</w:t>
            </w:r>
            <w:r>
              <w:rPr>
                <w:rFonts w:hint="eastAsia"/>
                <w:bCs/>
                <w:color w:val="auto"/>
              </w:rPr>
              <w:t>1.1m</w:t>
            </w:r>
            <w:r>
              <w:rPr>
                <w:rFonts w:hint="eastAsia"/>
                <w:bCs/>
                <w:color w:val="auto"/>
                <w:vertAlign w:val="superscript"/>
              </w:rPr>
              <w:t>3</w:t>
            </w:r>
            <w:r>
              <w:rPr>
                <w:bCs/>
                <w:color w:val="auto"/>
              </w:rPr>
              <w:t>/</w:t>
            </w:r>
            <w:r>
              <w:rPr>
                <w:rFonts w:hint="eastAsia"/>
                <w:bCs/>
                <w:color w:val="auto"/>
              </w:rPr>
              <w:t>d、330m</w:t>
            </w:r>
            <w:r>
              <w:rPr>
                <w:rFonts w:hint="eastAsia"/>
                <w:bCs/>
                <w:color w:val="auto"/>
                <w:vertAlign w:val="superscript"/>
              </w:rPr>
              <w:t>3</w:t>
            </w:r>
            <w:r>
              <w:rPr>
                <w:bCs/>
                <w:color w:val="auto"/>
              </w:rPr>
              <w:t>/a</w:t>
            </w:r>
            <w:r>
              <w:rPr>
                <w:color w:val="auto"/>
              </w:rPr>
              <w:t>。其中约40%蒸发</w:t>
            </w:r>
            <w:r>
              <w:rPr>
                <w:rFonts w:hint="eastAsia"/>
                <w:color w:val="auto"/>
              </w:rPr>
              <w:t>（0.44</w:t>
            </w:r>
            <w:r>
              <w:rPr>
                <w:rFonts w:hint="eastAsia"/>
                <w:bCs/>
                <w:color w:val="auto"/>
              </w:rPr>
              <w:t>m</w:t>
            </w:r>
            <w:r>
              <w:rPr>
                <w:rFonts w:hint="eastAsia"/>
                <w:bCs/>
                <w:color w:val="auto"/>
                <w:vertAlign w:val="superscript"/>
              </w:rPr>
              <w:t>3</w:t>
            </w:r>
            <w:r>
              <w:rPr>
                <w:bCs/>
                <w:color w:val="auto"/>
              </w:rPr>
              <w:t>/</w:t>
            </w:r>
            <w:r>
              <w:rPr>
                <w:rFonts w:hint="eastAsia"/>
                <w:bCs/>
                <w:color w:val="auto"/>
              </w:rPr>
              <w:t>d、132m</w:t>
            </w:r>
            <w:r>
              <w:rPr>
                <w:rFonts w:hint="eastAsia"/>
                <w:bCs/>
                <w:color w:val="auto"/>
                <w:vertAlign w:val="superscript"/>
              </w:rPr>
              <w:t>3</w:t>
            </w:r>
            <w:r>
              <w:rPr>
                <w:bCs/>
                <w:color w:val="auto"/>
              </w:rPr>
              <w:t>/a</w:t>
            </w:r>
            <w:r>
              <w:rPr>
                <w:rFonts w:hint="eastAsia"/>
                <w:color w:val="auto"/>
              </w:rPr>
              <w:t>）</w:t>
            </w:r>
            <w:r>
              <w:rPr>
                <w:color w:val="auto"/>
              </w:rPr>
              <w:t>，60%</w:t>
            </w:r>
            <w:r>
              <w:rPr>
                <w:rFonts w:hint="eastAsia"/>
                <w:color w:val="auto"/>
              </w:rPr>
              <w:t>（0.66</w:t>
            </w:r>
            <w:r>
              <w:rPr>
                <w:rFonts w:hint="eastAsia"/>
                <w:bCs/>
                <w:color w:val="auto"/>
              </w:rPr>
              <w:t>m</w:t>
            </w:r>
            <w:r>
              <w:rPr>
                <w:rFonts w:hint="eastAsia"/>
                <w:bCs/>
                <w:color w:val="auto"/>
                <w:vertAlign w:val="superscript"/>
              </w:rPr>
              <w:t>3</w:t>
            </w:r>
            <w:r>
              <w:rPr>
                <w:bCs/>
                <w:color w:val="auto"/>
              </w:rPr>
              <w:t>/</w:t>
            </w:r>
            <w:r>
              <w:rPr>
                <w:rFonts w:hint="eastAsia"/>
                <w:bCs/>
                <w:color w:val="auto"/>
              </w:rPr>
              <w:t>d、198m</w:t>
            </w:r>
            <w:r>
              <w:rPr>
                <w:rFonts w:hint="eastAsia"/>
                <w:bCs/>
                <w:color w:val="auto"/>
                <w:vertAlign w:val="superscript"/>
              </w:rPr>
              <w:t>3</w:t>
            </w:r>
            <w:r>
              <w:rPr>
                <w:bCs/>
                <w:color w:val="auto"/>
              </w:rPr>
              <w:t>/a</w:t>
            </w:r>
            <w:r>
              <w:rPr>
                <w:rFonts w:hint="eastAsia"/>
                <w:color w:val="auto"/>
              </w:rPr>
              <w:t>）</w:t>
            </w:r>
            <w:r>
              <w:rPr>
                <w:color w:val="auto"/>
              </w:rPr>
              <w:t>进入二级沉淀池沉淀后循环使用</w:t>
            </w:r>
            <w:r>
              <w:rPr>
                <w:rFonts w:hint="eastAsia"/>
                <w:color w:val="auto"/>
              </w:rPr>
              <w:t>，不外排。</w:t>
            </w:r>
          </w:p>
          <w:p w14:paraId="6ACDFB8A">
            <w:pPr>
              <w:numPr>
                <w:ilvl w:val="0"/>
                <w:numId w:val="3"/>
              </w:numPr>
              <w:ind w:firstLine="482"/>
              <w:rPr>
                <w:rFonts w:hint="eastAsia"/>
                <w:b/>
                <w:bCs/>
                <w:color w:val="auto"/>
                <w:lang w:val="en-US" w:eastAsia="zh-CN"/>
              </w:rPr>
            </w:pPr>
            <w:r>
              <w:rPr>
                <w:rFonts w:hint="eastAsia"/>
                <w:b/>
                <w:bCs/>
                <w:color w:val="auto"/>
                <w:lang w:val="en-US" w:eastAsia="zh-CN"/>
              </w:rPr>
              <w:t>设备冲洗用水</w:t>
            </w:r>
          </w:p>
          <w:p w14:paraId="6C746DAB">
            <w:pPr>
              <w:ind w:firstLine="480"/>
              <w:rPr>
                <w:color w:val="auto"/>
              </w:rPr>
            </w:pPr>
            <w:r>
              <w:rPr>
                <w:rFonts w:hint="eastAsia"/>
                <w:color w:val="auto"/>
              </w:rPr>
              <w:t>本</w:t>
            </w:r>
            <w:r>
              <w:rPr>
                <w:color w:val="auto"/>
              </w:rPr>
              <w:t>项目搅拌</w:t>
            </w:r>
            <w:r>
              <w:rPr>
                <w:rFonts w:hint="eastAsia"/>
                <w:color w:val="auto"/>
                <w:lang w:val="en-US" w:eastAsia="zh-CN"/>
              </w:rPr>
              <w:t>器</w:t>
            </w:r>
            <w:r>
              <w:rPr>
                <w:rFonts w:hint="eastAsia"/>
                <w:color w:val="auto"/>
              </w:rPr>
              <w:t>每天生产结束后</w:t>
            </w:r>
            <w:r>
              <w:rPr>
                <w:color w:val="auto"/>
              </w:rPr>
              <w:t>需要清洗，</w:t>
            </w:r>
            <w:r>
              <w:rPr>
                <w:rFonts w:hint="eastAsia"/>
                <w:color w:val="auto"/>
              </w:rPr>
              <w:t>项目设置</w:t>
            </w:r>
            <w:r>
              <w:rPr>
                <w:rFonts w:hint="eastAsia"/>
                <w:color w:val="auto"/>
                <w:lang w:val="en-US" w:eastAsia="zh-CN"/>
              </w:rPr>
              <w:t>1</w:t>
            </w:r>
            <w:r>
              <w:rPr>
                <w:color w:val="auto"/>
              </w:rPr>
              <w:t>个搅拌</w:t>
            </w:r>
            <w:r>
              <w:rPr>
                <w:rFonts w:hint="eastAsia"/>
                <w:color w:val="auto"/>
                <w:lang w:val="en-US" w:eastAsia="zh-CN"/>
              </w:rPr>
              <w:t>器</w:t>
            </w:r>
            <w:r>
              <w:rPr>
                <w:color w:val="auto"/>
              </w:rPr>
              <w:t>，每次搅拌</w:t>
            </w:r>
            <w:r>
              <w:rPr>
                <w:rFonts w:hint="eastAsia"/>
                <w:color w:val="auto"/>
                <w:lang w:val="en-US" w:eastAsia="zh-CN"/>
              </w:rPr>
              <w:t>器</w:t>
            </w:r>
            <w:r>
              <w:rPr>
                <w:color w:val="auto"/>
              </w:rPr>
              <w:t>清洗耗水量约为1.5m</w:t>
            </w:r>
            <w:r>
              <w:rPr>
                <w:color w:val="auto"/>
                <w:vertAlign w:val="superscript"/>
              </w:rPr>
              <w:t>3</w:t>
            </w:r>
            <w:r>
              <w:rPr>
                <w:color w:val="auto"/>
              </w:rPr>
              <w:t>，每天冲洗一次，则搅拌机冲洗用水量为</w:t>
            </w:r>
            <w:r>
              <w:rPr>
                <w:rFonts w:hint="eastAsia"/>
                <w:color w:val="auto"/>
                <w:lang w:val="en-US" w:eastAsia="zh-CN"/>
              </w:rPr>
              <w:t>1.5</w:t>
            </w:r>
            <w:r>
              <w:rPr>
                <w:color w:val="auto"/>
              </w:rPr>
              <w:t>m</w:t>
            </w:r>
            <w:r>
              <w:rPr>
                <w:color w:val="auto"/>
                <w:vertAlign w:val="superscript"/>
              </w:rPr>
              <w:t>3</w:t>
            </w:r>
            <w:r>
              <w:rPr>
                <w:color w:val="auto"/>
              </w:rPr>
              <w:t>/d</w:t>
            </w:r>
            <w:r>
              <w:rPr>
                <w:rFonts w:hint="eastAsia"/>
                <w:color w:val="auto"/>
              </w:rPr>
              <w:t>、</w:t>
            </w:r>
            <w:r>
              <w:rPr>
                <w:rFonts w:hint="eastAsia"/>
                <w:color w:val="auto"/>
                <w:lang w:val="en-US" w:eastAsia="zh-CN"/>
              </w:rPr>
              <w:t>450</w:t>
            </w:r>
            <w:r>
              <w:rPr>
                <w:color w:val="auto"/>
              </w:rPr>
              <w:t>m</w:t>
            </w:r>
            <w:r>
              <w:rPr>
                <w:color w:val="auto"/>
                <w:vertAlign w:val="superscript"/>
              </w:rPr>
              <w:t>3</w:t>
            </w:r>
            <w:r>
              <w:rPr>
                <w:color w:val="auto"/>
              </w:rPr>
              <w:t>/a。损耗水量按</w:t>
            </w:r>
            <w:r>
              <w:rPr>
                <w:rFonts w:hint="eastAsia"/>
                <w:color w:val="auto"/>
              </w:rPr>
              <w:t>20%计，则损耗水量为0.</w:t>
            </w:r>
            <w:r>
              <w:rPr>
                <w:rFonts w:hint="eastAsia"/>
                <w:color w:val="auto"/>
                <w:lang w:val="en-US" w:eastAsia="zh-CN"/>
              </w:rPr>
              <w:t>3</w:t>
            </w:r>
            <w:r>
              <w:rPr>
                <w:color w:val="auto"/>
              </w:rPr>
              <w:t>m</w:t>
            </w:r>
            <w:r>
              <w:rPr>
                <w:color w:val="auto"/>
                <w:vertAlign w:val="superscript"/>
              </w:rPr>
              <w:t>3</w:t>
            </w:r>
            <w:r>
              <w:rPr>
                <w:color w:val="auto"/>
              </w:rPr>
              <w:t>/d</w:t>
            </w:r>
            <w:r>
              <w:rPr>
                <w:rFonts w:hint="eastAsia"/>
                <w:color w:val="auto"/>
                <w:lang w:eastAsia="zh-CN"/>
              </w:rPr>
              <w:t>、</w:t>
            </w:r>
            <w:r>
              <w:rPr>
                <w:rFonts w:hint="eastAsia"/>
                <w:color w:val="auto"/>
                <w:lang w:val="en-US" w:eastAsia="zh-CN"/>
              </w:rPr>
              <w:t>90</w:t>
            </w:r>
            <w:r>
              <w:rPr>
                <w:rFonts w:hint="eastAsia"/>
                <w:color w:val="auto"/>
              </w:rPr>
              <w:t>m</w:t>
            </w:r>
            <w:r>
              <w:rPr>
                <w:rFonts w:hint="eastAsia"/>
                <w:color w:val="auto"/>
                <w:vertAlign w:val="superscript"/>
              </w:rPr>
              <w:t>3</w:t>
            </w:r>
            <w:r>
              <w:rPr>
                <w:rFonts w:hint="eastAsia"/>
                <w:color w:val="auto"/>
              </w:rPr>
              <w:t>/a，</w:t>
            </w:r>
            <w:r>
              <w:rPr>
                <w:color w:val="auto"/>
              </w:rPr>
              <w:t>污水产生量按用水量的0.8计，污水产生量为</w:t>
            </w:r>
            <w:r>
              <w:rPr>
                <w:rFonts w:hint="eastAsia"/>
                <w:color w:val="auto"/>
                <w:lang w:val="en-US" w:eastAsia="zh-CN"/>
              </w:rPr>
              <w:t>1.2</w:t>
            </w:r>
            <w:r>
              <w:rPr>
                <w:color w:val="auto"/>
              </w:rPr>
              <w:t>m</w:t>
            </w:r>
            <w:r>
              <w:rPr>
                <w:color w:val="auto"/>
                <w:vertAlign w:val="superscript"/>
              </w:rPr>
              <w:t>3</w:t>
            </w:r>
            <w:r>
              <w:rPr>
                <w:color w:val="auto"/>
              </w:rPr>
              <w:t>/d</w:t>
            </w:r>
            <w:r>
              <w:rPr>
                <w:rFonts w:hint="eastAsia"/>
                <w:color w:val="auto"/>
              </w:rPr>
              <w:t>、</w:t>
            </w:r>
            <w:r>
              <w:rPr>
                <w:rFonts w:hint="eastAsia"/>
                <w:color w:val="auto"/>
                <w:lang w:val="en-US" w:eastAsia="zh-CN"/>
              </w:rPr>
              <w:t>360</w:t>
            </w:r>
            <w:r>
              <w:rPr>
                <w:color w:val="auto"/>
              </w:rPr>
              <w:t>m</w:t>
            </w:r>
            <w:r>
              <w:rPr>
                <w:color w:val="auto"/>
                <w:vertAlign w:val="superscript"/>
              </w:rPr>
              <w:t>3</w:t>
            </w:r>
            <w:r>
              <w:rPr>
                <w:color w:val="auto"/>
              </w:rPr>
              <w:t>/a</w:t>
            </w:r>
            <w:r>
              <w:rPr>
                <w:rFonts w:hint="eastAsia"/>
                <w:color w:val="auto"/>
              </w:rPr>
              <w:t>，项目设备清洗废水</w:t>
            </w:r>
            <w:r>
              <w:rPr>
                <w:rFonts w:hint="eastAsia"/>
                <w:color w:val="auto"/>
                <w:lang w:val="en-US" w:eastAsia="zh-CN"/>
              </w:rPr>
              <w:t>经厂内水渠进入</w:t>
            </w:r>
            <w:r>
              <w:rPr>
                <w:rFonts w:hint="eastAsia"/>
                <w:color w:val="auto"/>
              </w:rPr>
              <w:t>二级沉淀池处理后，循环使用，不外排。</w:t>
            </w:r>
          </w:p>
          <w:p w14:paraId="66CCDC08">
            <w:pPr>
              <w:ind w:firstLine="482"/>
              <w:rPr>
                <w:b/>
                <w:bCs/>
                <w:color w:val="auto"/>
              </w:rPr>
            </w:pPr>
            <w:r>
              <w:rPr>
                <w:rFonts w:hint="eastAsia"/>
                <w:b/>
                <w:bCs/>
                <w:color w:val="auto"/>
              </w:rPr>
              <w:t>（</w:t>
            </w:r>
            <w:r>
              <w:rPr>
                <w:rFonts w:hint="eastAsia"/>
                <w:b/>
                <w:bCs/>
                <w:color w:val="auto"/>
                <w:lang w:val="en-US" w:eastAsia="zh-CN"/>
              </w:rPr>
              <w:t>7</w:t>
            </w:r>
            <w:r>
              <w:rPr>
                <w:rFonts w:hint="eastAsia"/>
                <w:b/>
                <w:bCs/>
                <w:color w:val="auto"/>
              </w:rPr>
              <w:t>）喷淋降尘用水</w:t>
            </w:r>
          </w:p>
          <w:p w14:paraId="7359F43E">
            <w:pPr>
              <w:ind w:firstLine="480"/>
              <w:rPr>
                <w:rFonts w:hint="eastAsia" w:eastAsia="宋体"/>
                <w:color w:val="auto"/>
                <w:lang w:val="en-US" w:eastAsia="zh-CN"/>
              </w:rPr>
            </w:pPr>
            <w:r>
              <w:rPr>
                <w:rFonts w:hint="eastAsia"/>
                <w:color w:val="auto"/>
              </w:rPr>
              <w:t>为控制扬尘产生，厂区在原料仓库、上料斗及料场作业面均设置喷淋装置。喷淋用水按</w:t>
            </w:r>
            <w:r>
              <w:rPr>
                <w:rFonts w:hint="eastAsia"/>
                <w:color w:val="auto"/>
                <w:lang w:val="en-US" w:eastAsia="zh-CN"/>
              </w:rPr>
              <w:t>0.05</w:t>
            </w:r>
            <w:r>
              <w:rPr>
                <w:color w:val="auto"/>
              </w:rPr>
              <w:t>m</w:t>
            </w:r>
            <w:r>
              <w:rPr>
                <w:color w:val="auto"/>
                <w:vertAlign w:val="superscript"/>
              </w:rPr>
              <w:t>3</w:t>
            </w:r>
            <w:r>
              <w:rPr>
                <w:color w:val="auto"/>
              </w:rPr>
              <w:t>/d</w:t>
            </w:r>
            <w:r>
              <w:rPr>
                <w:rFonts w:hint="eastAsia"/>
                <w:color w:val="auto"/>
              </w:rPr>
              <w:t>/次计，</w:t>
            </w:r>
            <w:r>
              <w:rPr>
                <w:rFonts w:hint="eastAsia"/>
                <w:color w:val="auto"/>
                <w:lang w:val="en-US" w:eastAsia="zh-CN"/>
              </w:rPr>
              <w:t>设置4套喷淋装置，</w:t>
            </w:r>
            <w:r>
              <w:rPr>
                <w:rFonts w:hint="eastAsia"/>
                <w:color w:val="auto"/>
              </w:rPr>
              <w:t>每天定时喷淋2次，共计用水</w:t>
            </w:r>
            <w:r>
              <w:rPr>
                <w:rFonts w:hint="eastAsia"/>
                <w:color w:val="auto"/>
                <w:lang w:val="en-US" w:eastAsia="zh-CN"/>
              </w:rPr>
              <w:t>0.4</w:t>
            </w:r>
            <w:r>
              <w:rPr>
                <w:color w:val="auto"/>
              </w:rPr>
              <w:t>m</w:t>
            </w:r>
            <w:r>
              <w:rPr>
                <w:color w:val="auto"/>
                <w:vertAlign w:val="superscript"/>
              </w:rPr>
              <w:t>3</w:t>
            </w:r>
            <w:r>
              <w:rPr>
                <w:color w:val="auto"/>
              </w:rPr>
              <w:t>/d</w:t>
            </w:r>
            <w:r>
              <w:rPr>
                <w:rFonts w:hint="eastAsia"/>
                <w:color w:val="auto"/>
              </w:rPr>
              <w:t>，</w:t>
            </w:r>
            <w:r>
              <w:rPr>
                <w:rFonts w:hint="eastAsia"/>
                <w:color w:val="auto"/>
                <w:lang w:val="en-US" w:eastAsia="zh-CN"/>
              </w:rPr>
              <w:t>120</w:t>
            </w:r>
            <w:r>
              <w:rPr>
                <w:color w:val="auto"/>
              </w:rPr>
              <w:t>m</w:t>
            </w:r>
            <w:r>
              <w:rPr>
                <w:color w:val="auto"/>
                <w:vertAlign w:val="superscript"/>
              </w:rPr>
              <w:t>3</w:t>
            </w:r>
            <w:r>
              <w:rPr>
                <w:color w:val="auto"/>
              </w:rPr>
              <w:t>/</w:t>
            </w:r>
            <w:r>
              <w:rPr>
                <w:rFonts w:hint="eastAsia"/>
                <w:color w:val="auto"/>
              </w:rPr>
              <w:t>a，</w:t>
            </w:r>
            <w:r>
              <w:rPr>
                <w:rFonts w:hint="eastAsia"/>
                <w:color w:val="auto"/>
                <w:lang w:val="en-US" w:eastAsia="zh-CN"/>
              </w:rPr>
              <w:t>喷淋降尘用水</w:t>
            </w:r>
            <w:r>
              <w:rPr>
                <w:rFonts w:hint="eastAsia"/>
                <w:color w:val="auto"/>
              </w:rPr>
              <w:t>进入产品或挥发。</w:t>
            </w:r>
            <w:r>
              <w:rPr>
                <w:rFonts w:hint="eastAsia"/>
                <w:color w:val="auto"/>
                <w:lang w:val="en-US" w:eastAsia="zh-CN"/>
              </w:rPr>
              <w:t xml:space="preserve"> </w:t>
            </w:r>
          </w:p>
          <w:p w14:paraId="082E9A7B">
            <w:pPr>
              <w:ind w:firstLine="480"/>
              <w:rPr>
                <w:color w:val="auto"/>
              </w:rPr>
            </w:pPr>
            <w:r>
              <w:rPr>
                <w:rFonts w:hint="eastAsia"/>
                <w:color w:val="auto"/>
              </w:rPr>
              <w:t>本项目新鲜用水量为</w:t>
            </w:r>
            <w:r>
              <w:rPr>
                <w:rFonts w:hint="eastAsia"/>
                <w:color w:val="auto"/>
                <w:lang w:val="en-US" w:eastAsia="zh-CN"/>
              </w:rPr>
              <w:t>41037.9</w:t>
            </w:r>
            <w:r>
              <w:rPr>
                <w:color w:val="auto"/>
              </w:rPr>
              <w:t>m</w:t>
            </w:r>
            <w:r>
              <w:rPr>
                <w:color w:val="auto"/>
                <w:vertAlign w:val="superscript"/>
              </w:rPr>
              <w:t>3</w:t>
            </w:r>
            <w:r>
              <w:rPr>
                <w:color w:val="auto"/>
              </w:rPr>
              <w:t>/</w:t>
            </w:r>
            <w:r>
              <w:rPr>
                <w:rFonts w:hint="eastAsia"/>
                <w:color w:val="auto"/>
              </w:rPr>
              <w:t>a，废水产生量为</w:t>
            </w:r>
            <w:r>
              <w:rPr>
                <w:rFonts w:hint="eastAsia"/>
                <w:color w:val="auto"/>
                <w:lang w:val="en-US" w:eastAsia="zh-CN"/>
              </w:rPr>
              <w:t>316.8</w:t>
            </w:r>
            <w:r>
              <w:rPr>
                <w:color w:val="auto"/>
              </w:rPr>
              <w:t>m</w:t>
            </w:r>
            <w:r>
              <w:rPr>
                <w:color w:val="auto"/>
                <w:vertAlign w:val="superscript"/>
              </w:rPr>
              <w:t>3</w:t>
            </w:r>
            <w:r>
              <w:rPr>
                <w:color w:val="auto"/>
              </w:rPr>
              <w:t>/</w:t>
            </w:r>
            <w:r>
              <w:rPr>
                <w:rFonts w:hint="eastAsia"/>
                <w:color w:val="auto"/>
              </w:rPr>
              <w:t>a。现有工程新鲜用水量为</w:t>
            </w:r>
            <w:r>
              <w:rPr>
                <w:rFonts w:hint="eastAsia"/>
                <w:color w:val="auto"/>
                <w:lang w:val="en-US" w:eastAsia="zh-CN"/>
              </w:rPr>
              <w:t>354</w:t>
            </w:r>
            <w:r>
              <w:rPr>
                <w:color w:val="auto"/>
              </w:rPr>
              <w:t>m</w:t>
            </w:r>
            <w:r>
              <w:rPr>
                <w:color w:val="auto"/>
                <w:vertAlign w:val="superscript"/>
              </w:rPr>
              <w:t>3</w:t>
            </w:r>
            <w:r>
              <w:rPr>
                <w:color w:val="auto"/>
              </w:rPr>
              <w:t>/</w:t>
            </w:r>
            <w:r>
              <w:rPr>
                <w:rFonts w:hint="eastAsia"/>
                <w:color w:val="auto"/>
              </w:rPr>
              <w:t>a，废水产生量为</w:t>
            </w:r>
            <w:r>
              <w:rPr>
                <w:rFonts w:hint="eastAsia"/>
                <w:color w:val="auto"/>
                <w:lang w:val="en-US" w:eastAsia="zh-CN"/>
              </w:rPr>
              <w:t>264</w:t>
            </w:r>
            <w:r>
              <w:rPr>
                <w:color w:val="auto"/>
              </w:rPr>
              <w:t>m</w:t>
            </w:r>
            <w:r>
              <w:rPr>
                <w:color w:val="auto"/>
                <w:vertAlign w:val="superscript"/>
              </w:rPr>
              <w:t>3</w:t>
            </w:r>
            <w:r>
              <w:rPr>
                <w:color w:val="auto"/>
              </w:rPr>
              <w:t>/</w:t>
            </w:r>
            <w:r>
              <w:rPr>
                <w:rFonts w:hint="eastAsia"/>
                <w:color w:val="auto"/>
              </w:rPr>
              <w:t>a</w:t>
            </w:r>
            <w:r>
              <w:rPr>
                <w:rFonts w:hint="eastAsia"/>
                <w:color w:val="auto"/>
                <w:lang w:eastAsia="zh-CN"/>
              </w:rPr>
              <w:t>，</w:t>
            </w:r>
            <w:r>
              <w:rPr>
                <w:rFonts w:hint="eastAsia"/>
                <w:color w:val="auto"/>
              </w:rPr>
              <w:t>全厂用水量为</w:t>
            </w:r>
            <w:r>
              <w:rPr>
                <w:rFonts w:hint="eastAsia"/>
                <w:color w:val="auto"/>
                <w:lang w:val="en-US" w:eastAsia="zh-CN"/>
              </w:rPr>
              <w:t>41391.9</w:t>
            </w:r>
            <w:r>
              <w:rPr>
                <w:color w:val="auto"/>
              </w:rPr>
              <w:t>m</w:t>
            </w:r>
            <w:r>
              <w:rPr>
                <w:color w:val="auto"/>
                <w:vertAlign w:val="superscript"/>
              </w:rPr>
              <w:t>3</w:t>
            </w:r>
            <w:r>
              <w:rPr>
                <w:color w:val="auto"/>
              </w:rPr>
              <w:t>/</w:t>
            </w:r>
            <w:r>
              <w:rPr>
                <w:rFonts w:hint="eastAsia"/>
                <w:color w:val="auto"/>
              </w:rPr>
              <w:t>a，</w:t>
            </w:r>
            <w:r>
              <w:rPr>
                <w:rFonts w:hint="eastAsia"/>
                <w:color w:val="auto"/>
                <w:lang w:val="en-US" w:eastAsia="zh-CN"/>
              </w:rPr>
              <w:t>废</w:t>
            </w:r>
            <w:r>
              <w:rPr>
                <w:rFonts w:hint="eastAsia"/>
                <w:color w:val="auto"/>
              </w:rPr>
              <w:t>水产生量为</w:t>
            </w:r>
            <w:r>
              <w:rPr>
                <w:rFonts w:hint="eastAsia"/>
                <w:color w:val="auto"/>
                <w:lang w:val="en-US" w:eastAsia="zh-CN"/>
              </w:rPr>
              <w:t>580.8</w:t>
            </w:r>
            <w:r>
              <w:rPr>
                <w:color w:val="auto"/>
              </w:rPr>
              <w:t>m</w:t>
            </w:r>
            <w:r>
              <w:rPr>
                <w:color w:val="auto"/>
                <w:vertAlign w:val="superscript"/>
              </w:rPr>
              <w:t>3</w:t>
            </w:r>
            <w:r>
              <w:rPr>
                <w:color w:val="auto"/>
              </w:rPr>
              <w:t>/</w:t>
            </w:r>
            <w:r>
              <w:rPr>
                <w:rFonts w:hint="eastAsia"/>
                <w:color w:val="auto"/>
              </w:rPr>
              <w:t>a。</w:t>
            </w:r>
          </w:p>
          <w:p w14:paraId="2138A955">
            <w:pPr>
              <w:ind w:firstLine="0" w:firstLineChars="0"/>
              <w:rPr>
                <w:b/>
                <w:bCs/>
                <w:color w:val="auto"/>
              </w:rPr>
            </w:pPr>
            <w:r>
              <w:rPr>
                <w:rFonts w:hint="eastAsia"/>
                <w:b/>
                <w:bCs/>
                <w:color w:val="auto"/>
              </w:rPr>
              <w:t>6.2供电</w:t>
            </w:r>
          </w:p>
          <w:p w14:paraId="1BC307D3">
            <w:pPr>
              <w:ind w:firstLine="480"/>
              <w:rPr>
                <w:color w:val="auto"/>
              </w:rPr>
            </w:pPr>
            <w:r>
              <w:rPr>
                <w:rFonts w:hint="eastAsia" w:cs="宋体"/>
                <w:color w:val="auto"/>
              </w:rPr>
              <w:t>项目配电由乡镇供电管网统一供电，供电设施齐全，可满足企业生产和生活用电需要。本项目年消耗电量</w:t>
            </w:r>
            <w:r>
              <w:rPr>
                <w:rFonts w:hint="eastAsia"/>
                <w:color w:val="auto"/>
                <w:lang w:val="en-US" w:eastAsia="zh-CN"/>
              </w:rPr>
              <w:t>100</w:t>
            </w:r>
            <w:r>
              <w:rPr>
                <w:rFonts w:hint="eastAsia" w:cs="宋体"/>
                <w:color w:val="auto"/>
              </w:rPr>
              <w:t>万</w:t>
            </w:r>
            <w:r>
              <w:rPr>
                <w:color w:val="auto"/>
              </w:rPr>
              <w:t>kWh</w:t>
            </w:r>
            <w:r>
              <w:rPr>
                <w:rFonts w:hint="eastAsia" w:cs="宋体"/>
                <w:color w:val="auto"/>
              </w:rPr>
              <w:t>。</w:t>
            </w:r>
          </w:p>
          <w:p w14:paraId="5CD330BF">
            <w:pPr>
              <w:pStyle w:val="15"/>
              <w:ind w:firstLine="0" w:firstLineChars="0"/>
              <w:rPr>
                <w:rFonts w:ascii="Times New Roman" w:hAnsi="Times New Roman"/>
                <w:b/>
                <w:bCs/>
                <w:color w:val="auto"/>
                <w:szCs w:val="24"/>
              </w:rPr>
            </w:pPr>
            <w:r>
              <w:rPr>
                <w:rFonts w:hint="eastAsia" w:ascii="Times New Roman" w:hAnsi="Times New Roman"/>
                <w:b/>
                <w:bCs/>
                <w:color w:val="auto"/>
                <w:szCs w:val="24"/>
              </w:rPr>
              <w:t>6.3消防</w:t>
            </w:r>
          </w:p>
          <w:p w14:paraId="251E9AD4">
            <w:pPr>
              <w:autoSpaceDE w:val="0"/>
              <w:autoSpaceDN w:val="0"/>
              <w:ind w:firstLine="480"/>
              <w:rPr>
                <w:color w:val="auto"/>
              </w:rPr>
            </w:pPr>
            <w:r>
              <w:rPr>
                <w:rFonts w:hint="eastAsia" w:cs="宋体"/>
                <w:color w:val="auto"/>
              </w:rPr>
              <w:t>厂区消防设计依据《建筑设计防火规范》（</w:t>
            </w:r>
            <w:r>
              <w:rPr>
                <w:color w:val="auto"/>
              </w:rPr>
              <w:t>GB50016-2014</w:t>
            </w:r>
            <w:r>
              <w:rPr>
                <w:rFonts w:hint="eastAsia" w:cs="宋体"/>
                <w:color w:val="auto"/>
              </w:rPr>
              <w:t>，</w:t>
            </w:r>
            <w:r>
              <w:rPr>
                <w:color w:val="auto"/>
              </w:rPr>
              <w:t>2018</w:t>
            </w:r>
            <w:r>
              <w:rPr>
                <w:rFonts w:hint="eastAsia" w:cs="宋体"/>
                <w:color w:val="auto"/>
              </w:rPr>
              <w:t>修改版），在厂区内设立室外消火栓。室外消火栓间距为</w:t>
            </w:r>
            <w:r>
              <w:rPr>
                <w:color w:val="auto"/>
              </w:rPr>
              <w:t>120m</w:t>
            </w:r>
            <w:r>
              <w:rPr>
                <w:rFonts w:hint="eastAsia" w:cs="宋体"/>
                <w:color w:val="auto"/>
              </w:rPr>
              <w:t>，消火栓保护半径</w:t>
            </w:r>
            <w:r>
              <w:rPr>
                <w:color w:val="auto"/>
              </w:rPr>
              <w:t>150m</w:t>
            </w:r>
            <w:r>
              <w:rPr>
                <w:rFonts w:hint="eastAsia" w:cs="宋体"/>
                <w:color w:val="auto"/>
              </w:rPr>
              <w:t>。</w:t>
            </w:r>
          </w:p>
          <w:p w14:paraId="5B79425C">
            <w:pPr>
              <w:ind w:firstLine="0" w:firstLineChars="0"/>
              <w:rPr>
                <w:b/>
                <w:bCs/>
                <w:color w:val="auto"/>
              </w:rPr>
            </w:pPr>
            <w:r>
              <w:rPr>
                <w:rFonts w:hint="eastAsia"/>
                <w:b/>
                <w:bCs/>
                <w:color w:val="auto"/>
              </w:rPr>
              <w:t>7、</w:t>
            </w:r>
            <w:r>
              <w:rPr>
                <w:b/>
                <w:bCs/>
                <w:color w:val="auto"/>
              </w:rPr>
              <w:t>平面布置合理性分析</w:t>
            </w:r>
          </w:p>
          <w:p w14:paraId="40547AC1">
            <w:pPr>
              <w:pStyle w:val="9"/>
              <w:spacing w:line="360" w:lineRule="auto"/>
              <w:ind w:firstLine="480"/>
              <w:rPr>
                <w:color w:val="auto"/>
              </w:rPr>
            </w:pPr>
            <w:r>
              <w:rPr>
                <w:color w:val="auto"/>
              </w:rPr>
              <w:t>本项目</w:t>
            </w:r>
            <w:r>
              <w:rPr>
                <w:rFonts w:hint="eastAsia"/>
                <w:color w:val="auto"/>
              </w:rPr>
              <w:t>生产线按照使用功能划分生产区、生活区。生活区位于厂区内</w:t>
            </w:r>
            <w:r>
              <w:rPr>
                <w:rFonts w:hint="eastAsia"/>
                <w:color w:val="auto"/>
                <w:lang w:val="en-US" w:eastAsia="zh-CN"/>
              </w:rPr>
              <w:t>东南</w:t>
            </w:r>
            <w:r>
              <w:rPr>
                <w:rFonts w:hint="eastAsia"/>
                <w:color w:val="auto"/>
              </w:rPr>
              <w:t>侧，本项目生产线位于全封闭式生产车间内</w:t>
            </w:r>
            <w:r>
              <w:rPr>
                <w:rFonts w:hint="eastAsia"/>
                <w:color w:val="auto"/>
                <w:lang w:val="en-US" w:eastAsia="zh-CN"/>
              </w:rPr>
              <w:t>东</w:t>
            </w:r>
            <w:r>
              <w:rPr>
                <w:rFonts w:hint="eastAsia"/>
                <w:color w:val="auto"/>
              </w:rPr>
              <w:t>北部，原料区位于</w:t>
            </w:r>
            <w:r>
              <w:rPr>
                <w:rFonts w:hint="eastAsia"/>
                <w:color w:val="auto"/>
                <w:lang w:val="en-US" w:eastAsia="zh-CN"/>
              </w:rPr>
              <w:t>生产线西侧</w:t>
            </w:r>
            <w:r>
              <w:rPr>
                <w:rFonts w:hint="eastAsia"/>
                <w:color w:val="auto"/>
              </w:rPr>
              <w:t>，厂区高噪声设备均置于封闭式车间内。</w:t>
            </w:r>
          </w:p>
          <w:p w14:paraId="3483547D">
            <w:pPr>
              <w:ind w:firstLine="480"/>
              <w:rPr>
                <w:color w:val="auto"/>
              </w:rPr>
            </w:pPr>
            <w:r>
              <w:rPr>
                <w:color w:val="auto"/>
              </w:rPr>
              <w:t>总体来说，</w:t>
            </w:r>
            <w:r>
              <w:rPr>
                <w:rFonts w:hint="eastAsia"/>
                <w:color w:val="auto"/>
              </w:rPr>
              <w:t>生产线</w:t>
            </w:r>
            <w:r>
              <w:rPr>
                <w:color w:val="auto"/>
              </w:rPr>
              <w:t>按照</w:t>
            </w:r>
            <w:r>
              <w:rPr>
                <w:rFonts w:hint="eastAsia"/>
                <w:color w:val="auto"/>
              </w:rPr>
              <w:t>“</w:t>
            </w:r>
            <w:r>
              <w:rPr>
                <w:color w:val="auto"/>
              </w:rPr>
              <w:t>原料—</w:t>
            </w:r>
            <w:r>
              <w:rPr>
                <w:rFonts w:hint="eastAsia"/>
                <w:color w:val="auto"/>
              </w:rPr>
              <w:t>生产线</w:t>
            </w:r>
            <w:r>
              <w:rPr>
                <w:color w:val="auto"/>
              </w:rPr>
              <w:t>—产品</w:t>
            </w:r>
            <w:r>
              <w:rPr>
                <w:rFonts w:hint="eastAsia"/>
                <w:color w:val="auto"/>
              </w:rPr>
              <w:t>”</w:t>
            </w:r>
            <w:r>
              <w:rPr>
                <w:color w:val="auto"/>
              </w:rPr>
              <w:t>的流向布置，既满足</w:t>
            </w:r>
            <w:r>
              <w:rPr>
                <w:rFonts w:hint="eastAsia"/>
                <w:color w:val="auto"/>
              </w:rPr>
              <w:t>生产线</w:t>
            </w:r>
            <w:r>
              <w:rPr>
                <w:color w:val="auto"/>
              </w:rPr>
              <w:t>工艺流程，又满足成品进出以及水、电、道路等方面的要求，各功能区分区明确，布局合理、工艺流程布置顺畅可行。因此，本项目总平面布置基本合理可行。</w:t>
            </w:r>
          </w:p>
          <w:p w14:paraId="41BD377F">
            <w:pPr>
              <w:ind w:firstLine="0" w:firstLineChars="0"/>
              <w:rPr>
                <w:b/>
                <w:bCs/>
                <w:color w:val="auto"/>
              </w:rPr>
            </w:pPr>
            <w:bookmarkStart w:id="3" w:name="_Toc27059"/>
            <w:bookmarkStart w:id="4" w:name="_Toc28289"/>
            <w:bookmarkStart w:id="5" w:name="_Toc31899"/>
            <w:r>
              <w:rPr>
                <w:rFonts w:hint="eastAsia"/>
                <w:b/>
                <w:bCs/>
                <w:color w:val="auto"/>
              </w:rPr>
              <w:t>8、</w:t>
            </w:r>
            <w:r>
              <w:rPr>
                <w:b/>
                <w:bCs/>
                <w:color w:val="auto"/>
              </w:rPr>
              <w:t>工作制度及劳动定员</w:t>
            </w:r>
            <w:bookmarkEnd w:id="3"/>
            <w:bookmarkEnd w:id="4"/>
            <w:bookmarkEnd w:id="5"/>
          </w:p>
          <w:p w14:paraId="079481D6">
            <w:pPr>
              <w:ind w:firstLine="480"/>
              <w:rPr>
                <w:color w:val="auto"/>
              </w:rPr>
            </w:pPr>
            <w:r>
              <w:rPr>
                <w:rFonts w:hint="eastAsia"/>
                <w:color w:val="auto"/>
              </w:rPr>
              <w:t>本项目新增工人</w:t>
            </w:r>
            <w:r>
              <w:rPr>
                <w:rFonts w:hint="eastAsia"/>
                <w:color w:val="auto"/>
                <w:lang w:val="en-US" w:eastAsia="zh-CN"/>
              </w:rPr>
              <w:t>12</w:t>
            </w:r>
            <w:r>
              <w:rPr>
                <w:rFonts w:hint="eastAsia"/>
                <w:color w:val="auto"/>
              </w:rPr>
              <w:t>人，工作时间</w:t>
            </w:r>
            <w:r>
              <w:rPr>
                <w:rFonts w:hint="eastAsia"/>
                <w:color w:val="auto"/>
                <w:lang w:val="en-US" w:eastAsia="zh-CN"/>
              </w:rPr>
              <w:t>12</w:t>
            </w:r>
            <w:r>
              <w:rPr>
                <w:rFonts w:hint="eastAsia"/>
                <w:color w:val="auto"/>
              </w:rPr>
              <w:t>h/d，年工作300天。</w:t>
            </w:r>
          </w:p>
          <w:p w14:paraId="648B01DC">
            <w:pPr>
              <w:ind w:firstLine="480"/>
              <w:rPr>
                <w:color w:val="auto"/>
              </w:rPr>
            </w:pPr>
          </w:p>
          <w:p w14:paraId="51D51BAA">
            <w:pPr>
              <w:ind w:firstLine="480"/>
              <w:rPr>
                <w:color w:val="auto"/>
              </w:rPr>
            </w:pPr>
          </w:p>
          <w:p w14:paraId="752F7611">
            <w:pPr>
              <w:ind w:firstLine="480"/>
              <w:rPr>
                <w:color w:val="auto"/>
              </w:rPr>
            </w:pPr>
          </w:p>
          <w:p w14:paraId="328104E4">
            <w:pPr>
              <w:ind w:firstLine="480"/>
              <w:rPr>
                <w:color w:val="auto"/>
              </w:rPr>
            </w:pPr>
          </w:p>
          <w:p w14:paraId="7A2E4EEE">
            <w:pPr>
              <w:ind w:firstLine="480"/>
              <w:rPr>
                <w:color w:val="auto"/>
              </w:rPr>
            </w:pPr>
          </w:p>
          <w:p w14:paraId="4499C3AD">
            <w:pPr>
              <w:ind w:firstLine="480"/>
              <w:rPr>
                <w:color w:val="auto"/>
              </w:rPr>
            </w:pPr>
          </w:p>
          <w:p w14:paraId="07C86389">
            <w:pPr>
              <w:ind w:firstLine="480"/>
              <w:rPr>
                <w:color w:val="auto"/>
              </w:rPr>
            </w:pPr>
          </w:p>
          <w:p w14:paraId="57E8D44B">
            <w:pPr>
              <w:ind w:firstLine="480"/>
              <w:rPr>
                <w:color w:val="auto"/>
              </w:rPr>
            </w:pPr>
          </w:p>
          <w:p w14:paraId="21EFDF25">
            <w:pPr>
              <w:ind w:firstLine="480"/>
              <w:rPr>
                <w:color w:val="auto"/>
              </w:rPr>
            </w:pPr>
          </w:p>
          <w:p w14:paraId="7F019DD1">
            <w:pPr>
              <w:ind w:firstLine="480"/>
              <w:rPr>
                <w:color w:val="auto"/>
              </w:rPr>
            </w:pPr>
          </w:p>
          <w:p w14:paraId="7E1DC421">
            <w:pPr>
              <w:ind w:firstLine="480"/>
              <w:rPr>
                <w:color w:val="auto"/>
              </w:rPr>
            </w:pPr>
          </w:p>
          <w:p w14:paraId="6B1E1C67">
            <w:pPr>
              <w:autoSpaceDE w:val="0"/>
              <w:autoSpaceDN w:val="0"/>
              <w:spacing w:line="240" w:lineRule="auto"/>
              <w:ind w:firstLine="0" w:firstLineChars="0"/>
              <w:rPr>
                <w:rFonts w:ascii="宋体" w:hAnsi="宋体" w:cs="宋体"/>
                <w:color w:val="auto"/>
                <w:kern w:val="0"/>
                <w:szCs w:val="21"/>
              </w:rPr>
            </w:pPr>
          </w:p>
        </w:tc>
      </w:tr>
    </w:tbl>
    <w:p w14:paraId="2230753C">
      <w:pPr>
        <w:pStyle w:val="23"/>
        <w:spacing w:before="0" w:beforeAutospacing="0" w:after="0" w:afterAutospacing="0"/>
        <w:ind w:firstLine="0" w:firstLineChars="0"/>
        <w:jc w:val="center"/>
        <w:outlineLvl w:val="0"/>
        <w:rPr>
          <w:rFonts w:ascii="黑体" w:hAnsi="黑体" w:eastAsia="黑体"/>
          <w:snapToGrid w:val="0"/>
          <w:color w:val="auto"/>
          <w:sz w:val="30"/>
          <w:szCs w:val="30"/>
        </w:rPr>
        <w:sectPr>
          <w:pgSz w:w="11907" w:h="16840"/>
          <w:pgMar w:top="1701" w:right="1531" w:bottom="2127" w:left="1531" w:header="851" w:footer="851" w:gutter="0"/>
          <w:pgNumType w:fmt="decimal"/>
          <w:cols w:space="720" w:num="1"/>
          <w:docGrid w:linePitch="312" w:charSpace="0"/>
        </w:sectPr>
      </w:pPr>
    </w:p>
    <w:p w14:paraId="67F57178">
      <w:pPr>
        <w:ind w:firstLine="480"/>
        <w:rPr>
          <w:color w:val="auto"/>
        </w:rPr>
      </w:pPr>
    </w:p>
    <w:tbl>
      <w:tblPr>
        <w:tblStyle w:val="26"/>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474"/>
      </w:tblGrid>
      <w:tr w14:paraId="40DBB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510" w:type="dxa"/>
            <w:vAlign w:val="center"/>
          </w:tcPr>
          <w:p w14:paraId="28AEA5FC">
            <w:pPr>
              <w:ind w:firstLine="0" w:firstLineChars="0"/>
              <w:jc w:val="center"/>
              <w:rPr>
                <w:rFonts w:cs="宋体"/>
                <w:color w:val="auto"/>
                <w:szCs w:val="21"/>
              </w:rPr>
            </w:pPr>
            <w:r>
              <w:rPr>
                <w:rFonts w:hint="eastAsia"/>
                <w:color w:val="auto"/>
              </w:rPr>
              <w:t>工艺流程和产排污环节</w:t>
            </w:r>
          </w:p>
        </w:tc>
        <w:tc>
          <w:tcPr>
            <w:tcW w:w="8474" w:type="dxa"/>
          </w:tcPr>
          <w:p w14:paraId="23C6B13A">
            <w:pPr>
              <w:ind w:firstLine="0" w:firstLineChars="0"/>
              <w:rPr>
                <w:b/>
                <w:bCs/>
                <w:color w:val="auto"/>
              </w:rPr>
            </w:pPr>
            <w:r>
              <w:rPr>
                <w:rFonts w:hint="eastAsia"/>
                <w:b/>
                <w:bCs/>
                <w:color w:val="auto"/>
              </w:rPr>
              <w:t>一、施工期</w:t>
            </w:r>
          </w:p>
          <w:p w14:paraId="06BA7841">
            <w:pPr>
              <w:keepNext w:val="0"/>
              <w:keepLines w:val="0"/>
              <w:pageBreakBefore w:val="0"/>
              <w:widowControl w:val="0"/>
              <w:tabs>
                <w:tab w:val="left" w:pos="607"/>
              </w:tabs>
              <w:kinsoku/>
              <w:wordWrap/>
              <w:overflowPunct/>
              <w:topLinePunct w:val="0"/>
              <w:autoSpaceDE/>
              <w:autoSpaceDN/>
              <w:bidi w:val="0"/>
              <w:adjustRightInd/>
              <w:snapToGrid/>
              <w:spacing w:before="0" w:line="360" w:lineRule="auto"/>
              <w:ind w:left="0" w:leftChars="0" w:right="0" w:firstLine="0" w:firstLineChars="0"/>
              <w:jc w:val="left"/>
              <w:textAlignment w:val="auto"/>
              <w:rPr>
                <w:rFonts w:hint="eastAsia" w:ascii="宋体" w:hAnsi="宋体" w:eastAsia="宋体"/>
                <w:b/>
                <w:bCs/>
                <w:sz w:val="24"/>
                <w:szCs w:val="32"/>
                <w:lang w:val="en-US" w:eastAsia="zh-CN"/>
              </w:rPr>
            </w:pPr>
            <w:r>
              <w:rPr>
                <w:rFonts w:hint="eastAsia" w:ascii="宋体" w:hAnsi="宋体" w:eastAsia="宋体"/>
                <w:b/>
                <w:bCs/>
                <w:sz w:val="24"/>
                <w:szCs w:val="32"/>
                <w:lang w:val="en-US" w:eastAsia="zh-CN"/>
              </w:rPr>
              <w:t>1、施工期工艺分析</w:t>
            </w:r>
          </w:p>
          <w:p w14:paraId="51FE24F3">
            <w:pPr>
              <w:spacing w:line="360" w:lineRule="auto"/>
              <w:ind w:firstLine="480" w:firstLineChars="200"/>
              <w:textAlignment w:val="baseline"/>
              <w:rPr>
                <w:sz w:val="24"/>
                <w:szCs w:val="24"/>
              </w:rPr>
            </w:pPr>
            <w:r>
              <w:rPr>
                <w:rFonts w:hint="eastAsia"/>
                <w:color w:val="auto"/>
              </w:rPr>
              <w:t>淮北市鸿济新型建材有限责任公司</w:t>
            </w:r>
            <w:r>
              <w:rPr>
                <w:rFonts w:hint="eastAsia"/>
                <w:color w:val="auto"/>
                <w:lang w:val="en-US" w:eastAsia="zh-CN"/>
              </w:rPr>
              <w:t>新建</w:t>
            </w:r>
            <w:r>
              <w:rPr>
                <w:rFonts w:hint="eastAsia"/>
                <w:color w:val="auto"/>
              </w:rPr>
              <w:t>1条水稳生产线，</w:t>
            </w:r>
            <w:r>
              <w:rPr>
                <w:rFonts w:hint="eastAsia"/>
                <w:color w:val="auto"/>
                <w:lang w:val="en-US" w:eastAsia="zh-CN"/>
              </w:rPr>
              <w:t>生产区部分依托现有生产车间</w:t>
            </w:r>
            <w:r>
              <w:rPr>
                <w:rFonts w:hint="eastAsia"/>
                <w:color w:val="auto"/>
              </w:rPr>
              <w:t>，</w:t>
            </w:r>
            <w:r>
              <w:rPr>
                <w:rFonts w:hint="eastAsia"/>
                <w:color w:val="auto"/>
                <w:lang w:val="en-US" w:eastAsia="zh-CN"/>
              </w:rPr>
              <w:t>剩余部分利用生产车间东侧空地新建生产区</w:t>
            </w:r>
            <w:r>
              <w:rPr>
                <w:rFonts w:hint="eastAsia" w:cs="宋体"/>
                <w:sz w:val="24"/>
                <w:szCs w:val="24"/>
              </w:rPr>
              <w:t>。施工期工艺流程主要为场地平整、土石方工程、打桩、房屋结构施工、房屋装修、竣工验收等，具体工艺流程及产污环节示意图见下图。</w:t>
            </w:r>
          </w:p>
          <w:p w14:paraId="1A68FD45">
            <w:pPr>
              <w:keepNext w:val="0"/>
              <w:keepLines w:val="0"/>
              <w:pageBreakBefore w:val="0"/>
              <w:widowControl w:val="0"/>
              <w:tabs>
                <w:tab w:val="left" w:pos="3969"/>
              </w:tabs>
              <w:kinsoku/>
              <w:wordWrap/>
              <w:overflowPunct/>
              <w:topLinePunct w:val="0"/>
              <w:autoSpaceDE/>
              <w:autoSpaceDN/>
              <w:bidi w:val="0"/>
              <w:adjustRightInd/>
              <w:snapToGrid/>
              <w:spacing w:line="360" w:lineRule="auto"/>
              <w:ind w:firstLine="0" w:firstLineChars="0"/>
              <w:jc w:val="center"/>
              <w:textAlignment w:val="auto"/>
              <w:rPr>
                <w:b/>
                <w:bCs/>
                <w:sz w:val="24"/>
                <w:szCs w:val="24"/>
              </w:rPr>
            </w:pPr>
            <w:r>
              <w:drawing>
                <wp:inline distT="0" distB="0" distL="114300" distR="114300">
                  <wp:extent cx="2428875" cy="2555240"/>
                  <wp:effectExtent l="0" t="0" r="0" b="0"/>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1"/>
                          </pic:cNvPicPr>
                        </pic:nvPicPr>
                        <pic:blipFill>
                          <a:blip r:embed="rId8"/>
                          <a:srcRect t="1009"/>
                          <a:stretch>
                            <a:fillRect/>
                          </a:stretch>
                        </pic:blipFill>
                        <pic:spPr>
                          <a:xfrm>
                            <a:off x="0" y="0"/>
                            <a:ext cx="2428875" cy="2555240"/>
                          </a:xfrm>
                          <a:prstGeom prst="rect">
                            <a:avLst/>
                          </a:prstGeom>
                          <a:noFill/>
                          <a:ln>
                            <a:noFill/>
                          </a:ln>
                        </pic:spPr>
                      </pic:pic>
                    </a:graphicData>
                  </a:graphic>
                </wp:inline>
              </w:drawing>
            </w:r>
          </w:p>
          <w:p w14:paraId="76421FF9">
            <w:pPr>
              <w:spacing w:line="360" w:lineRule="auto"/>
              <w:ind w:firstLine="420"/>
              <w:jc w:val="center"/>
              <w:rPr>
                <w:b/>
                <w:bCs/>
                <w:sz w:val="24"/>
                <w:szCs w:val="24"/>
              </w:rPr>
            </w:pPr>
            <w:r>
              <w:rPr>
                <w:rFonts w:hint="eastAsia" w:cs="宋体"/>
                <w:b/>
                <w:bCs/>
                <w:sz w:val="24"/>
                <w:szCs w:val="24"/>
              </w:rPr>
              <w:t>图</w:t>
            </w:r>
            <w:r>
              <w:rPr>
                <w:b/>
                <w:bCs/>
                <w:sz w:val="24"/>
                <w:szCs w:val="24"/>
              </w:rPr>
              <w:t>2-</w:t>
            </w:r>
            <w:r>
              <w:rPr>
                <w:rFonts w:hint="eastAsia"/>
                <w:b/>
                <w:bCs/>
                <w:sz w:val="24"/>
                <w:szCs w:val="24"/>
                <w:lang w:val="en-US" w:eastAsia="zh-CN"/>
              </w:rPr>
              <w:t xml:space="preserve">3  </w:t>
            </w:r>
            <w:r>
              <w:rPr>
                <w:rFonts w:hint="eastAsia" w:cs="宋体"/>
                <w:b/>
                <w:bCs/>
                <w:sz w:val="24"/>
                <w:szCs w:val="24"/>
              </w:rPr>
              <w:t>项目施工期工艺流程及产污环节示意图</w:t>
            </w:r>
          </w:p>
          <w:p w14:paraId="42C76192">
            <w:pPr>
              <w:spacing w:line="360" w:lineRule="auto"/>
              <w:ind w:left="0" w:leftChars="0" w:firstLine="0" w:firstLineChars="0"/>
              <w:rPr>
                <w:b/>
                <w:bCs/>
                <w:kern w:val="0"/>
                <w:sz w:val="24"/>
                <w:szCs w:val="24"/>
              </w:rPr>
            </w:pPr>
            <w:r>
              <w:rPr>
                <w:b/>
                <w:bCs/>
                <w:kern w:val="0"/>
                <w:sz w:val="24"/>
                <w:szCs w:val="24"/>
              </w:rPr>
              <w:t>2</w:t>
            </w:r>
            <w:r>
              <w:rPr>
                <w:rFonts w:hint="eastAsia" w:cs="宋体"/>
                <w:b/>
                <w:bCs/>
                <w:kern w:val="0"/>
                <w:sz w:val="24"/>
                <w:szCs w:val="24"/>
              </w:rPr>
              <w:t>、施工期</w:t>
            </w:r>
            <w:r>
              <w:rPr>
                <w:rFonts w:hint="eastAsia" w:cs="宋体"/>
                <w:b/>
                <w:bCs/>
                <w:sz w:val="24"/>
                <w:szCs w:val="24"/>
              </w:rPr>
              <w:t>污染物分析</w:t>
            </w:r>
          </w:p>
          <w:p w14:paraId="7EF190F6">
            <w:pPr>
              <w:spacing w:line="360" w:lineRule="auto"/>
              <w:ind w:firstLine="482"/>
              <w:rPr>
                <w:sz w:val="24"/>
                <w:szCs w:val="24"/>
              </w:rPr>
            </w:pPr>
            <w:r>
              <w:rPr>
                <w:rFonts w:hint="eastAsia" w:cs="宋体"/>
                <w:sz w:val="24"/>
                <w:szCs w:val="24"/>
              </w:rPr>
              <w:t>（</w:t>
            </w:r>
            <w:r>
              <w:rPr>
                <w:sz w:val="24"/>
                <w:szCs w:val="24"/>
              </w:rPr>
              <w:t>1</w:t>
            </w:r>
            <w:r>
              <w:rPr>
                <w:rFonts w:hint="eastAsia" w:cs="宋体"/>
                <w:sz w:val="24"/>
                <w:szCs w:val="24"/>
              </w:rPr>
              <w:t>）大气污染：施工期的大气污染源主要为施工区裸露地表在大风气象条件下形成的风蚀扬尘，其产生量与风力、表土含水率等因素有关。另外还有施工队伍临时生活炉灶排放的废气，建筑材料运输、卸载</w:t>
            </w:r>
            <w:r>
              <w:rPr>
                <w:rFonts w:hint="eastAsia" w:cs="宋体"/>
                <w:sz w:val="24"/>
                <w:szCs w:val="24"/>
                <w:lang w:eastAsia="zh-CN"/>
              </w:rPr>
              <w:t>、房屋拆除</w:t>
            </w:r>
            <w:r>
              <w:rPr>
                <w:rFonts w:hint="eastAsia" w:cs="宋体"/>
                <w:sz w:val="24"/>
                <w:szCs w:val="24"/>
              </w:rPr>
              <w:t>中的扬尘，土方运输车辆行驶产生的扬尘，临时物料堆场产生的风蚀扬尘等。</w:t>
            </w:r>
          </w:p>
          <w:p w14:paraId="497ADBC9">
            <w:pPr>
              <w:spacing w:line="360" w:lineRule="auto"/>
              <w:ind w:firstLine="480" w:firstLineChars="200"/>
              <w:rPr>
                <w:sz w:val="24"/>
                <w:szCs w:val="24"/>
              </w:rPr>
            </w:pPr>
            <w:r>
              <w:rPr>
                <w:rFonts w:hint="eastAsia" w:cs="宋体"/>
                <w:sz w:val="24"/>
                <w:szCs w:val="24"/>
              </w:rPr>
              <w:t>（</w:t>
            </w:r>
            <w:r>
              <w:rPr>
                <w:sz w:val="24"/>
                <w:szCs w:val="24"/>
              </w:rPr>
              <w:t>2</w:t>
            </w:r>
            <w:r>
              <w:rPr>
                <w:rFonts w:hint="eastAsia" w:cs="宋体"/>
                <w:sz w:val="24"/>
                <w:szCs w:val="24"/>
              </w:rPr>
              <w:t>）废水污染：施工期水污染源主要为施工区的施工废水和施工队伍的生活污水。施工废水主要包括以下几部分：①施工机械跑、冒、漏、滴的油污及露天机械经雨水冲刷后产生的含油污水；②施工物料、施工泥渣、生活垃圾受雨水冲刷产生的污水；③地基工程中产生的打桩废水；④机械设备运转的冷却水和洗涤水；⑤混凝土养护废水。施工废水中污染物主要有</w:t>
            </w:r>
            <w:r>
              <w:rPr>
                <w:sz w:val="24"/>
                <w:szCs w:val="24"/>
              </w:rPr>
              <w:t>COD</w:t>
            </w:r>
            <w:r>
              <w:rPr>
                <w:rFonts w:hint="eastAsia" w:cs="宋体"/>
                <w:sz w:val="24"/>
                <w:szCs w:val="24"/>
              </w:rPr>
              <w:t>、</w:t>
            </w:r>
            <w:r>
              <w:rPr>
                <w:sz w:val="24"/>
                <w:szCs w:val="24"/>
              </w:rPr>
              <w:t>SS</w:t>
            </w:r>
            <w:r>
              <w:rPr>
                <w:rFonts w:hint="eastAsia" w:cs="宋体"/>
                <w:sz w:val="24"/>
                <w:szCs w:val="24"/>
              </w:rPr>
              <w:t>、石油类等，</w:t>
            </w:r>
            <w:r>
              <w:rPr>
                <w:rFonts w:hint="eastAsia" w:cs="宋体"/>
                <w:color w:val="000000"/>
                <w:sz w:val="24"/>
                <w:szCs w:val="24"/>
              </w:rPr>
              <w:t>通过设置简易沉淀池沉淀，清水回用</w:t>
            </w:r>
            <w:r>
              <w:rPr>
                <w:rFonts w:hint="eastAsia" w:cs="宋体"/>
                <w:sz w:val="24"/>
                <w:szCs w:val="24"/>
              </w:rPr>
              <w:t>。施工人员生活污水的排放量由施工队伍的人数确定，主要污染物为</w:t>
            </w:r>
            <w:r>
              <w:rPr>
                <w:sz w:val="24"/>
                <w:szCs w:val="24"/>
              </w:rPr>
              <w:t>COD</w:t>
            </w:r>
            <w:r>
              <w:rPr>
                <w:rFonts w:hint="eastAsia" w:cs="宋体"/>
                <w:sz w:val="24"/>
                <w:szCs w:val="24"/>
              </w:rPr>
              <w:t>、氨氮、</w:t>
            </w:r>
            <w:r>
              <w:rPr>
                <w:sz w:val="24"/>
                <w:szCs w:val="24"/>
              </w:rPr>
              <w:t>SS</w:t>
            </w:r>
            <w:r>
              <w:rPr>
                <w:rFonts w:hint="eastAsia" w:cs="宋体"/>
                <w:sz w:val="24"/>
                <w:szCs w:val="24"/>
              </w:rPr>
              <w:t>等。</w:t>
            </w:r>
          </w:p>
          <w:p w14:paraId="6CA7BEB7">
            <w:pPr>
              <w:spacing w:line="360" w:lineRule="auto"/>
              <w:ind w:firstLine="480" w:firstLineChars="200"/>
              <w:rPr>
                <w:sz w:val="24"/>
                <w:szCs w:val="24"/>
              </w:rPr>
            </w:pPr>
            <w:r>
              <w:rPr>
                <w:rFonts w:hint="eastAsia" w:cs="宋体"/>
                <w:sz w:val="24"/>
                <w:szCs w:val="24"/>
              </w:rPr>
              <w:t>（</w:t>
            </w:r>
            <w:r>
              <w:rPr>
                <w:sz w:val="24"/>
                <w:szCs w:val="24"/>
              </w:rPr>
              <w:t>3</w:t>
            </w:r>
            <w:r>
              <w:rPr>
                <w:rFonts w:hint="eastAsia" w:cs="宋体"/>
                <w:sz w:val="24"/>
                <w:szCs w:val="24"/>
              </w:rPr>
              <w:t>）噪声污染：施工期噪声主要为施工现场的各类机械设备噪声、物料装卸碰撞噪声、施工人员的活动噪声以及物料运输的交通噪声。施工单位应加强施工人员环保意识，合理安排施工时间，采用噪声较低的设备并定期维护，以减少本项目施工噪声对周边环境的影响。本项目工程量不大，施工期结束后噪声污染也随之消失。</w:t>
            </w:r>
          </w:p>
          <w:p w14:paraId="6329CBCE">
            <w:pPr>
              <w:keepNext w:val="0"/>
              <w:keepLines w:val="0"/>
              <w:pageBreakBefore w:val="0"/>
              <w:kinsoku/>
              <w:wordWrap/>
              <w:overflowPunct/>
              <w:topLinePunct w:val="0"/>
              <w:bidi w:val="0"/>
              <w:adjustRightInd/>
              <w:snapToGrid/>
              <w:spacing w:line="360" w:lineRule="auto"/>
              <w:ind w:firstLine="480" w:firstLineChars="200"/>
              <w:textAlignment w:val="baseline"/>
              <w:rPr>
                <w:rFonts w:hint="eastAsia" w:cs="宋体"/>
                <w:sz w:val="24"/>
                <w:szCs w:val="24"/>
              </w:rPr>
            </w:pPr>
            <w:r>
              <w:rPr>
                <w:rFonts w:hint="eastAsia" w:cs="宋体"/>
                <w:sz w:val="24"/>
                <w:szCs w:val="24"/>
              </w:rPr>
              <w:t>（</w:t>
            </w:r>
            <w:r>
              <w:rPr>
                <w:sz w:val="24"/>
                <w:szCs w:val="24"/>
              </w:rPr>
              <w:t>4</w:t>
            </w:r>
            <w:r>
              <w:rPr>
                <w:rFonts w:hint="eastAsia" w:cs="宋体"/>
                <w:sz w:val="24"/>
                <w:szCs w:val="24"/>
              </w:rPr>
              <w:t>）固废污染：施工期固体废弃物主要为施工过程中产生的</w:t>
            </w:r>
            <w:r>
              <w:rPr>
                <w:rFonts w:hint="eastAsia" w:cs="宋体"/>
                <w:sz w:val="24"/>
                <w:szCs w:val="24"/>
                <w:lang w:eastAsia="zh-CN"/>
              </w:rPr>
              <w:t>拆除的建筑垃圾、</w:t>
            </w:r>
            <w:r>
              <w:rPr>
                <w:rFonts w:hint="eastAsia" w:cs="宋体"/>
                <w:sz w:val="24"/>
                <w:szCs w:val="24"/>
              </w:rPr>
              <w:t>生活垃圾、施工渣土及废弃的包装材料等。</w:t>
            </w:r>
          </w:p>
          <w:p w14:paraId="28B2EF42">
            <w:pPr>
              <w:ind w:firstLine="0" w:firstLineChars="0"/>
              <w:rPr>
                <w:b/>
                <w:bCs/>
                <w:color w:val="auto"/>
              </w:rPr>
            </w:pPr>
            <w:r>
              <w:rPr>
                <w:rFonts w:hint="eastAsia"/>
                <w:b/>
                <w:bCs/>
                <w:color w:val="auto"/>
              </w:rPr>
              <w:t>二、营运期</w:t>
            </w:r>
          </w:p>
          <w:p w14:paraId="29D26D6B">
            <w:pPr>
              <w:adjustRightInd w:val="0"/>
              <w:snapToGrid w:val="0"/>
              <w:ind w:firstLine="480"/>
              <w:rPr>
                <w:rFonts w:ascii="宋体" w:hAnsi="宋体"/>
                <w:bCs/>
                <w:color w:val="auto"/>
                <w:szCs w:val="21"/>
              </w:rPr>
            </w:pPr>
            <w:r>
              <w:rPr>
                <w:rFonts w:hint="eastAsia" w:ascii="宋体" w:hAnsi="宋体"/>
                <w:bCs/>
                <w:color w:val="auto"/>
                <w:szCs w:val="21"/>
              </w:rPr>
              <w:t>营运期间生产工艺及产污节点如下：</w:t>
            </w:r>
          </w:p>
          <w:p w14:paraId="7B6A303F">
            <w:pPr>
              <w:ind w:firstLine="480"/>
              <w:rPr>
                <w:rFonts w:hint="eastAsia" w:eastAsia="宋体"/>
                <w:b w:val="0"/>
                <w:bCs w:val="0"/>
                <w:color w:val="auto"/>
                <w:lang w:val="en-US" w:eastAsia="zh-CN"/>
              </w:rPr>
            </w:pPr>
            <w:r>
              <w:rPr>
                <w:rFonts w:hint="eastAsia"/>
                <w:b/>
                <w:bCs/>
                <w:color w:val="auto"/>
                <w:lang w:val="en-US" w:eastAsia="zh-CN"/>
              </w:rPr>
              <w:t>卸料：</w:t>
            </w:r>
            <w:r>
              <w:rPr>
                <w:rFonts w:hint="eastAsia"/>
                <w:color w:val="auto"/>
              </w:rPr>
              <w:t>本项目生产工艺相对比较简单，所有工序均为物理过程。</w:t>
            </w:r>
          </w:p>
          <w:p w14:paraId="1CCF5CAC">
            <w:pPr>
              <w:ind w:firstLine="480"/>
              <w:rPr>
                <w:rFonts w:hint="eastAsia"/>
                <w:b w:val="0"/>
                <w:bCs w:val="0"/>
                <w:color w:val="auto"/>
                <w:lang w:val="en-US" w:eastAsia="zh-CN"/>
              </w:rPr>
            </w:pPr>
            <w:r>
              <w:rPr>
                <w:rFonts w:hint="eastAsia"/>
                <w:b/>
                <w:bCs/>
                <w:color w:val="auto"/>
                <w:lang w:val="en-US" w:eastAsia="zh-CN"/>
              </w:rPr>
              <w:t>筒仓：</w:t>
            </w:r>
            <w:r>
              <w:rPr>
                <w:rFonts w:hint="eastAsia"/>
                <w:b w:val="0"/>
                <w:bCs w:val="0"/>
                <w:color w:val="auto"/>
                <w:lang w:val="en-US" w:eastAsia="zh-CN"/>
              </w:rPr>
              <w:t>水泥经罐车运输至厂内，采用气压泵将水泥原料输送至筒仓内</w:t>
            </w:r>
            <w:r>
              <w:rPr>
                <w:rFonts w:hint="eastAsia"/>
                <w:b w:val="0"/>
                <w:bCs w:val="0"/>
                <w:color w:val="auto"/>
              </w:rPr>
              <w:t>。</w:t>
            </w:r>
          </w:p>
          <w:p w14:paraId="6AD5EB0B">
            <w:pPr>
              <w:ind w:firstLine="480"/>
              <w:rPr>
                <w:rFonts w:hint="eastAsia" w:eastAsia="宋体"/>
                <w:b w:val="0"/>
                <w:bCs w:val="0"/>
                <w:color w:val="auto"/>
                <w:lang w:val="en-US" w:eastAsia="zh-CN"/>
              </w:rPr>
            </w:pPr>
            <w:r>
              <w:rPr>
                <w:rFonts w:hint="eastAsia"/>
                <w:b w:val="0"/>
                <w:bCs w:val="0"/>
                <w:color w:val="auto"/>
                <w:lang w:val="en-US" w:eastAsia="zh-CN"/>
              </w:rPr>
              <w:t>该工序产生筒仓呼吸粉尘（G2）、设备运行噪声（N）。</w:t>
            </w:r>
            <w:r>
              <w:rPr>
                <w:rFonts w:hint="eastAsia"/>
                <w:color w:val="auto"/>
              </w:rPr>
              <w:t>筒仓呼吸粉尘经仓顶自带布袋除尘器处理后，车间内无组织排放</w:t>
            </w:r>
            <w:r>
              <w:rPr>
                <w:rFonts w:hint="eastAsia"/>
                <w:b w:val="0"/>
                <w:bCs w:val="0"/>
                <w:color w:val="auto"/>
                <w:lang w:eastAsia="zh-CN"/>
              </w:rPr>
              <w:t>。</w:t>
            </w:r>
          </w:p>
          <w:p w14:paraId="1969FC2C">
            <w:pPr>
              <w:ind w:firstLine="480"/>
              <w:rPr>
                <w:rFonts w:hint="eastAsia" w:eastAsia="宋体"/>
                <w:color w:val="auto"/>
                <w:lang w:eastAsia="zh-CN"/>
              </w:rPr>
            </w:pPr>
            <w:r>
              <w:rPr>
                <w:rFonts w:hint="eastAsia"/>
                <w:b/>
                <w:bCs/>
                <w:color w:val="auto"/>
                <w:lang w:val="en-US" w:eastAsia="zh-CN"/>
              </w:rPr>
              <w:t>计量、输送、投料：</w:t>
            </w:r>
            <w:r>
              <w:rPr>
                <w:rFonts w:hint="eastAsia"/>
                <w:color w:val="auto"/>
              </w:rPr>
              <w:t>原料石子、石粉、水泥、水分别采用电脑控制系统根据客户选定的产品配方进行计量控制操作</w:t>
            </w:r>
            <w:r>
              <w:rPr>
                <w:rFonts w:hint="eastAsia"/>
                <w:color w:val="auto"/>
                <w:lang w:eastAsia="zh-CN"/>
              </w:rPr>
              <w:t>，</w:t>
            </w:r>
            <w:r>
              <w:rPr>
                <w:rFonts w:hint="eastAsia"/>
                <w:color w:val="auto"/>
              </w:rPr>
              <w:t>经计量系统计量后的原料经</w:t>
            </w:r>
            <w:r>
              <w:rPr>
                <w:rFonts w:hint="eastAsia"/>
                <w:color w:val="auto"/>
                <w:lang w:val="en-US" w:eastAsia="zh-CN"/>
              </w:rPr>
              <w:t>封闭式的</w:t>
            </w:r>
            <w:r>
              <w:rPr>
                <w:rFonts w:hint="eastAsia"/>
                <w:color w:val="auto"/>
              </w:rPr>
              <w:t>输送带</w:t>
            </w:r>
            <w:r>
              <w:rPr>
                <w:rFonts w:hint="eastAsia"/>
                <w:color w:val="auto"/>
                <w:lang w:val="en-US" w:eastAsia="zh-CN"/>
              </w:rPr>
              <w:t>投料</w:t>
            </w:r>
            <w:r>
              <w:rPr>
                <w:rFonts w:hint="eastAsia"/>
                <w:color w:val="auto"/>
              </w:rPr>
              <w:t>至全密闭的搅拌机内</w:t>
            </w:r>
            <w:r>
              <w:rPr>
                <w:rFonts w:hint="eastAsia"/>
                <w:color w:val="auto"/>
                <w:lang w:eastAsia="zh-CN"/>
              </w:rPr>
              <w:t>。</w:t>
            </w:r>
          </w:p>
          <w:p w14:paraId="315C60C2">
            <w:pPr>
              <w:ind w:firstLine="480"/>
              <w:rPr>
                <w:rFonts w:hint="eastAsia"/>
                <w:color w:val="auto"/>
              </w:rPr>
            </w:pPr>
            <w:r>
              <w:rPr>
                <w:rFonts w:hint="eastAsia"/>
                <w:color w:val="auto"/>
              </w:rPr>
              <w:t>该工序产生输送、</w:t>
            </w:r>
            <w:r>
              <w:rPr>
                <w:rFonts w:hint="eastAsia"/>
                <w:color w:val="auto"/>
                <w:lang w:val="en-US" w:eastAsia="zh-CN"/>
              </w:rPr>
              <w:t>投料粉尘</w:t>
            </w:r>
            <w:r>
              <w:rPr>
                <w:rFonts w:hint="eastAsia"/>
                <w:color w:val="auto"/>
              </w:rPr>
              <w:t>（G3</w:t>
            </w:r>
            <w:r>
              <w:rPr>
                <w:rFonts w:hint="eastAsia"/>
                <w:color w:val="auto"/>
                <w:lang w:eastAsia="zh-CN"/>
              </w:rPr>
              <w:t>、</w:t>
            </w:r>
            <w:r>
              <w:rPr>
                <w:rFonts w:hint="eastAsia"/>
                <w:color w:val="auto"/>
                <w:lang w:val="en-US" w:eastAsia="zh-CN"/>
              </w:rPr>
              <w:t>G4</w:t>
            </w:r>
            <w:r>
              <w:rPr>
                <w:rFonts w:hint="eastAsia"/>
                <w:color w:val="auto"/>
              </w:rPr>
              <w:t>）、设备运行噪声（N）</w:t>
            </w:r>
            <w:r>
              <w:rPr>
                <w:rFonts w:hint="eastAsia"/>
                <w:color w:val="auto"/>
                <w:lang w:eastAsia="zh-CN"/>
              </w:rPr>
              <w:t>，</w:t>
            </w:r>
            <w:r>
              <w:rPr>
                <w:rFonts w:hint="eastAsia"/>
                <w:color w:val="auto"/>
              </w:rPr>
              <w:t>该工序产生</w:t>
            </w:r>
            <w:r>
              <w:rPr>
                <w:rFonts w:hint="eastAsia"/>
                <w:color w:val="auto"/>
                <w:lang w:val="en-US" w:eastAsia="zh-CN"/>
              </w:rPr>
              <w:t>输送</w:t>
            </w:r>
            <w:r>
              <w:rPr>
                <w:rFonts w:hint="eastAsia"/>
                <w:color w:val="auto"/>
              </w:rPr>
              <w:t>、</w:t>
            </w:r>
            <w:r>
              <w:rPr>
                <w:rFonts w:hint="eastAsia"/>
                <w:color w:val="auto"/>
                <w:lang w:val="en-US" w:eastAsia="zh-CN"/>
              </w:rPr>
              <w:t>投料粉尘</w:t>
            </w:r>
            <w:r>
              <w:rPr>
                <w:rFonts w:hint="eastAsia"/>
                <w:color w:val="auto"/>
              </w:rPr>
              <w:t>采取</w:t>
            </w:r>
            <w:r>
              <w:rPr>
                <w:rFonts w:hint="eastAsia"/>
                <w:color w:val="auto"/>
                <w:lang w:val="en-US" w:eastAsia="zh-CN"/>
              </w:rPr>
              <w:t>输送带封闭，</w:t>
            </w:r>
            <w:r>
              <w:rPr>
                <w:rFonts w:hint="eastAsia"/>
                <w:color w:val="auto"/>
                <w:lang w:eastAsia="zh-CN"/>
              </w:rPr>
              <w:t>“</w:t>
            </w:r>
            <w:r>
              <w:rPr>
                <w:rFonts w:hint="eastAsia"/>
                <w:color w:val="auto"/>
                <w:lang w:val="en-US" w:eastAsia="zh-CN"/>
              </w:rPr>
              <w:t>集气罩收集（收集效率为90%）+布袋除尘器（处理效率99%）</w:t>
            </w:r>
            <w:r>
              <w:rPr>
                <w:rFonts w:hint="eastAsia"/>
                <w:color w:val="auto"/>
                <w:lang w:eastAsia="zh-CN"/>
              </w:rPr>
              <w:t>”</w:t>
            </w:r>
            <w:r>
              <w:rPr>
                <w:rFonts w:hint="eastAsia"/>
                <w:color w:val="auto"/>
                <w:lang w:val="en-US" w:eastAsia="zh-CN"/>
              </w:rPr>
              <w:t>处理后，经15m高排气筒排放</w:t>
            </w:r>
            <w:r>
              <w:rPr>
                <w:rFonts w:hint="eastAsia"/>
                <w:color w:val="auto"/>
              </w:rPr>
              <w:t>。</w:t>
            </w:r>
          </w:p>
          <w:p w14:paraId="55A52073">
            <w:pPr>
              <w:bidi w:val="0"/>
              <w:rPr>
                <w:rFonts w:hint="eastAsia"/>
                <w:color w:val="auto"/>
              </w:rPr>
            </w:pPr>
            <w:r>
              <w:rPr>
                <w:rFonts w:hint="eastAsia"/>
                <w:b/>
                <w:bCs/>
                <w:color w:val="auto"/>
                <w:lang w:val="en-US" w:eastAsia="zh-CN"/>
              </w:rPr>
              <w:t>搅拌：</w:t>
            </w:r>
            <w:r>
              <w:rPr>
                <w:rFonts w:hint="eastAsia"/>
                <w:color w:val="auto"/>
              </w:rPr>
              <w:t>经搅拌调配后的产品经皮带输送带输送至出料口，出料口将产品进送入水稳运输车</w:t>
            </w:r>
            <w:r>
              <w:rPr>
                <w:rFonts w:hint="eastAsia"/>
                <w:color w:val="auto"/>
                <w:lang w:eastAsia="zh-CN"/>
              </w:rPr>
              <w:t>，</w:t>
            </w:r>
            <w:r>
              <w:rPr>
                <w:rFonts w:hint="eastAsia"/>
                <w:color w:val="auto"/>
              </w:rPr>
              <w:t>最后送建筑工地外售。该工序设备运行噪声（N）。</w:t>
            </w:r>
          </w:p>
          <w:p w14:paraId="7F0A3B0F">
            <w:pPr>
              <w:pStyle w:val="9"/>
              <w:spacing w:line="240" w:lineRule="auto"/>
              <w:ind w:firstLine="0" w:firstLineChars="0"/>
              <w:jc w:val="center"/>
              <w:rPr>
                <w:b/>
                <w:bCs/>
                <w:color w:val="auto"/>
              </w:rPr>
            </w:pPr>
            <w:r>
              <w:rPr>
                <w:rFonts w:hint="eastAsia"/>
                <w:b/>
                <w:bCs/>
                <w:color w:val="auto"/>
              </w:rPr>
              <w:t>表2-</w:t>
            </w:r>
            <w:r>
              <w:rPr>
                <w:rFonts w:hint="eastAsia"/>
                <w:b/>
                <w:bCs/>
                <w:color w:val="auto"/>
                <w:lang w:val="en-US" w:eastAsia="zh-CN"/>
              </w:rPr>
              <w:t>7</w:t>
            </w:r>
            <w:r>
              <w:rPr>
                <w:rFonts w:hint="eastAsia"/>
                <w:b/>
                <w:bCs/>
                <w:color w:val="auto"/>
              </w:rPr>
              <w:t xml:space="preserve">  工艺、厂区产污环节及处理措施</w:t>
            </w:r>
          </w:p>
          <w:tbl>
            <w:tblPr>
              <w:tblStyle w:val="27"/>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2523"/>
              <w:gridCol w:w="968"/>
              <w:gridCol w:w="4152"/>
            </w:tblGrid>
            <w:tr w14:paraId="4487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Align w:val="center"/>
                </w:tcPr>
                <w:p w14:paraId="6A0AA3EC">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color w:val="auto"/>
                    </w:rPr>
                  </w:pPr>
                  <w:r>
                    <w:rPr>
                      <w:rFonts w:hint="eastAsia"/>
                      <w:b/>
                      <w:color w:val="auto"/>
                    </w:rPr>
                    <w:t>项目</w:t>
                  </w:r>
                </w:p>
              </w:tc>
              <w:tc>
                <w:tcPr>
                  <w:tcW w:w="2523" w:type="dxa"/>
                  <w:vAlign w:val="center"/>
                </w:tcPr>
                <w:p w14:paraId="15B8BA8C">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color w:val="auto"/>
                    </w:rPr>
                  </w:pPr>
                  <w:r>
                    <w:rPr>
                      <w:rFonts w:hint="eastAsia"/>
                      <w:b/>
                      <w:color w:val="auto"/>
                    </w:rPr>
                    <w:t>污染源</w:t>
                  </w:r>
                </w:p>
              </w:tc>
              <w:tc>
                <w:tcPr>
                  <w:tcW w:w="968" w:type="dxa"/>
                  <w:vAlign w:val="center"/>
                </w:tcPr>
                <w:p w14:paraId="7224625B">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color w:val="auto"/>
                    </w:rPr>
                  </w:pPr>
                  <w:r>
                    <w:rPr>
                      <w:rFonts w:hint="eastAsia"/>
                      <w:b/>
                      <w:color w:val="auto"/>
                    </w:rPr>
                    <w:t>污染因子</w:t>
                  </w:r>
                </w:p>
              </w:tc>
              <w:tc>
                <w:tcPr>
                  <w:tcW w:w="4152" w:type="dxa"/>
                  <w:vAlign w:val="center"/>
                </w:tcPr>
                <w:p w14:paraId="09983A97">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color w:val="auto"/>
                    </w:rPr>
                  </w:pPr>
                  <w:r>
                    <w:rPr>
                      <w:rFonts w:hint="eastAsia"/>
                      <w:b/>
                      <w:color w:val="auto"/>
                    </w:rPr>
                    <w:t>处理措施</w:t>
                  </w:r>
                </w:p>
              </w:tc>
            </w:tr>
            <w:tr w14:paraId="01D6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restart"/>
                  <w:vAlign w:val="center"/>
                </w:tcPr>
                <w:p w14:paraId="137C2B31">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废水</w:t>
                  </w:r>
                </w:p>
              </w:tc>
              <w:tc>
                <w:tcPr>
                  <w:tcW w:w="2523" w:type="dxa"/>
                  <w:vAlign w:val="center"/>
                </w:tcPr>
                <w:p w14:paraId="53337B4B">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生活污水</w:t>
                  </w:r>
                </w:p>
              </w:tc>
              <w:tc>
                <w:tcPr>
                  <w:tcW w:w="968" w:type="dxa"/>
                  <w:vMerge w:val="restart"/>
                  <w:vAlign w:val="center"/>
                </w:tcPr>
                <w:p w14:paraId="55270FC4">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eastAsia="宋体"/>
                      <w:color w:val="auto"/>
                      <w:lang w:val="en-US" w:eastAsia="zh-CN"/>
                    </w:rPr>
                  </w:pPr>
                  <w:r>
                    <w:rPr>
                      <w:color w:val="auto"/>
                    </w:rPr>
                    <w:t>COD、BOD</w:t>
                  </w:r>
                  <w:r>
                    <w:rPr>
                      <w:color w:val="auto"/>
                      <w:vertAlign w:val="subscript"/>
                    </w:rPr>
                    <w:t>5</w:t>
                  </w:r>
                  <w:r>
                    <w:rPr>
                      <w:color w:val="auto"/>
                    </w:rPr>
                    <w:t>、SS、氨氮</w:t>
                  </w:r>
                  <w:r>
                    <w:rPr>
                      <w:rFonts w:hint="eastAsia"/>
                      <w:color w:val="auto"/>
                      <w:lang w:eastAsia="zh-CN"/>
                    </w:rPr>
                    <w:t>、</w:t>
                  </w:r>
                  <w:r>
                    <w:rPr>
                      <w:rFonts w:hint="eastAsia"/>
                      <w:lang w:val="en-US" w:eastAsia="zh-CN"/>
                    </w:rPr>
                    <w:t>动植物油、粪大肠杆菌</w:t>
                  </w:r>
                  <w:r>
                    <w:rPr>
                      <w:rFonts w:hint="eastAsia"/>
                      <w:color w:val="auto"/>
                      <w:lang w:val="en-US" w:eastAsia="zh-CN"/>
                    </w:rPr>
                    <w:t>等</w:t>
                  </w:r>
                </w:p>
              </w:tc>
              <w:tc>
                <w:tcPr>
                  <w:tcW w:w="4152" w:type="dxa"/>
                  <w:vMerge w:val="restart"/>
                  <w:vAlign w:val="center"/>
                </w:tcPr>
                <w:p w14:paraId="42515933">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szCs w:val="21"/>
                    </w:rPr>
                    <w:t>经隔油池</w:t>
                  </w:r>
                  <w:r>
                    <w:rPr>
                      <w:rFonts w:hint="eastAsia"/>
                      <w:color w:val="auto"/>
                      <w:szCs w:val="21"/>
                      <w:lang w:eastAsia="zh-CN"/>
                    </w:rPr>
                    <w:t>（</w:t>
                  </w:r>
                  <w:r>
                    <w:rPr>
                      <w:rFonts w:hint="eastAsia"/>
                      <w:color w:val="auto"/>
                      <w:szCs w:val="21"/>
                      <w:lang w:val="en-US" w:eastAsia="zh-CN"/>
                    </w:rPr>
                    <w:t>依托现有</w:t>
                  </w:r>
                  <w:r>
                    <w:rPr>
                      <w:rFonts w:hint="eastAsia"/>
                      <w:color w:val="auto"/>
                      <w:szCs w:val="21"/>
                      <w:lang w:eastAsia="zh-CN"/>
                    </w:rPr>
                    <w:t>）</w:t>
                  </w:r>
                  <w:r>
                    <w:rPr>
                      <w:rFonts w:hint="eastAsia"/>
                      <w:color w:val="auto"/>
                      <w:szCs w:val="21"/>
                    </w:rPr>
                    <w:t>处理的食堂废水汇同生活污水经化粪池</w:t>
                  </w:r>
                  <w:r>
                    <w:rPr>
                      <w:rFonts w:hint="eastAsia"/>
                      <w:color w:val="auto"/>
                      <w:szCs w:val="21"/>
                      <w:lang w:eastAsia="zh-CN"/>
                    </w:rPr>
                    <w:t>（</w:t>
                  </w:r>
                  <w:r>
                    <w:rPr>
                      <w:rFonts w:hint="eastAsia"/>
                      <w:color w:val="auto"/>
                      <w:szCs w:val="21"/>
                      <w:lang w:val="en-US" w:eastAsia="zh-CN"/>
                    </w:rPr>
                    <w:t>依托现有</w:t>
                  </w:r>
                  <w:r>
                    <w:rPr>
                      <w:rFonts w:hint="eastAsia"/>
                      <w:color w:val="auto"/>
                      <w:szCs w:val="21"/>
                      <w:lang w:eastAsia="zh-CN"/>
                    </w:rPr>
                    <w:t>）</w:t>
                  </w:r>
                  <w:r>
                    <w:rPr>
                      <w:rFonts w:hint="eastAsia"/>
                      <w:color w:val="auto"/>
                      <w:szCs w:val="21"/>
                    </w:rPr>
                    <w:t>处理后，吸粪车定期抽运</w:t>
                  </w:r>
                </w:p>
              </w:tc>
            </w:tr>
            <w:tr w14:paraId="4A27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continue"/>
                  <w:vAlign w:val="center"/>
                </w:tcPr>
                <w:p w14:paraId="68FB8C20">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c>
                <w:tcPr>
                  <w:tcW w:w="2523" w:type="dxa"/>
                  <w:vAlign w:val="center"/>
                </w:tcPr>
                <w:p w14:paraId="02B3ED67">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食堂废水</w:t>
                  </w:r>
                </w:p>
              </w:tc>
              <w:tc>
                <w:tcPr>
                  <w:tcW w:w="968" w:type="dxa"/>
                  <w:vMerge w:val="continue"/>
                  <w:vAlign w:val="center"/>
                </w:tcPr>
                <w:p w14:paraId="761F0741">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c>
                <w:tcPr>
                  <w:tcW w:w="4152" w:type="dxa"/>
                  <w:vMerge w:val="continue"/>
                  <w:vAlign w:val="center"/>
                </w:tcPr>
                <w:p w14:paraId="2774CC70">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r>
            <w:tr w14:paraId="0B35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continue"/>
                  <w:vAlign w:val="center"/>
                </w:tcPr>
                <w:p w14:paraId="7721452D">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2523" w:type="dxa"/>
                  <w:vAlign w:val="center"/>
                </w:tcPr>
                <w:p w14:paraId="7A316CBD">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车辆冲洗废水</w:t>
                  </w:r>
                </w:p>
              </w:tc>
              <w:tc>
                <w:tcPr>
                  <w:tcW w:w="968" w:type="dxa"/>
                  <w:vMerge w:val="continue"/>
                  <w:vAlign w:val="center"/>
                </w:tcPr>
                <w:p w14:paraId="0D0BBBEC">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4152" w:type="dxa"/>
                  <w:vMerge w:val="restart"/>
                  <w:vAlign w:val="center"/>
                </w:tcPr>
                <w:p w14:paraId="5DC5153A">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经二级沉淀池沉淀后，循环使用，不外排</w:t>
                  </w:r>
                </w:p>
              </w:tc>
            </w:tr>
            <w:tr w14:paraId="1BC8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05" w:type="dxa"/>
                  <w:vMerge w:val="continue"/>
                  <w:vAlign w:val="center"/>
                </w:tcPr>
                <w:p w14:paraId="2133A08A">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2523" w:type="dxa"/>
                  <w:vAlign w:val="center"/>
                </w:tcPr>
                <w:p w14:paraId="7FC7F215">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道路冲洗废水</w:t>
                  </w:r>
                </w:p>
              </w:tc>
              <w:tc>
                <w:tcPr>
                  <w:tcW w:w="968" w:type="dxa"/>
                  <w:vMerge w:val="continue"/>
                  <w:vAlign w:val="center"/>
                </w:tcPr>
                <w:p w14:paraId="05AC91BD">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4152" w:type="dxa"/>
                  <w:vMerge w:val="continue"/>
                  <w:vAlign w:val="center"/>
                </w:tcPr>
                <w:p w14:paraId="15922EA9">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r>
            <w:tr w14:paraId="48A3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continue"/>
                  <w:vAlign w:val="center"/>
                </w:tcPr>
                <w:p w14:paraId="1DF4FDDF">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2523" w:type="dxa"/>
                  <w:vAlign w:val="center"/>
                </w:tcPr>
                <w:p w14:paraId="626B8F2F">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default" w:eastAsia="宋体"/>
                      <w:color w:val="auto"/>
                      <w:lang w:val="en-US" w:eastAsia="zh-CN"/>
                    </w:rPr>
                  </w:pPr>
                  <w:r>
                    <w:rPr>
                      <w:rFonts w:hint="eastAsia"/>
                      <w:color w:val="auto"/>
                      <w:lang w:val="en-US" w:eastAsia="zh-CN"/>
                    </w:rPr>
                    <w:t>设备冲洗废水</w:t>
                  </w:r>
                </w:p>
              </w:tc>
              <w:tc>
                <w:tcPr>
                  <w:tcW w:w="968" w:type="dxa"/>
                  <w:vMerge w:val="continue"/>
                  <w:vAlign w:val="center"/>
                </w:tcPr>
                <w:p w14:paraId="223745CD">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4152" w:type="dxa"/>
                  <w:vMerge w:val="continue"/>
                  <w:vAlign w:val="center"/>
                </w:tcPr>
                <w:p w14:paraId="264A1DD8">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r>
            <w:tr w14:paraId="7B18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restart"/>
                  <w:vAlign w:val="center"/>
                </w:tcPr>
                <w:p w14:paraId="41B4542F">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废气</w:t>
                  </w:r>
                </w:p>
              </w:tc>
              <w:tc>
                <w:tcPr>
                  <w:tcW w:w="2523" w:type="dxa"/>
                  <w:vAlign w:val="center"/>
                </w:tcPr>
                <w:p w14:paraId="197AA3CC">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卸料粉尘（G1）</w:t>
                  </w:r>
                </w:p>
              </w:tc>
              <w:tc>
                <w:tcPr>
                  <w:tcW w:w="968" w:type="dxa"/>
                  <w:vMerge w:val="restart"/>
                  <w:vAlign w:val="center"/>
                </w:tcPr>
                <w:p w14:paraId="59E28A3E">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颗粒物</w:t>
                  </w:r>
                </w:p>
              </w:tc>
              <w:tc>
                <w:tcPr>
                  <w:tcW w:w="4152" w:type="dxa"/>
                  <w:vAlign w:val="center"/>
                </w:tcPr>
                <w:p w14:paraId="1272F0CD">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采取生产车间封闭（控尘效率90%）、安装喷淋装置（控尘效率50%）、减小卸料落差、地面硬化、定期清扫地面的措施</w:t>
                  </w:r>
                </w:p>
              </w:tc>
            </w:tr>
            <w:tr w14:paraId="469C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605" w:type="dxa"/>
                  <w:vMerge w:val="continue"/>
                  <w:vAlign w:val="center"/>
                </w:tcPr>
                <w:p w14:paraId="67946981">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c>
                <w:tcPr>
                  <w:tcW w:w="2523" w:type="dxa"/>
                  <w:vAlign w:val="center"/>
                </w:tcPr>
                <w:p w14:paraId="1C232FC3">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lang w:val="en-US" w:eastAsia="zh-CN"/>
                    </w:rPr>
                    <w:t>输送、</w:t>
                  </w:r>
                  <w:r>
                    <w:rPr>
                      <w:rFonts w:hint="eastAsia"/>
                      <w:color w:val="auto"/>
                    </w:rPr>
                    <w:t>投料粉尘（G3</w:t>
                  </w:r>
                  <w:r>
                    <w:rPr>
                      <w:rFonts w:hint="eastAsia"/>
                      <w:color w:val="auto"/>
                      <w:lang w:eastAsia="zh-CN"/>
                    </w:rPr>
                    <w:t>、</w:t>
                  </w:r>
                  <w:r>
                    <w:rPr>
                      <w:rFonts w:hint="eastAsia"/>
                      <w:color w:val="auto"/>
                    </w:rPr>
                    <w:t>G</w:t>
                  </w:r>
                  <w:r>
                    <w:rPr>
                      <w:rFonts w:hint="eastAsia"/>
                      <w:color w:val="auto"/>
                      <w:lang w:val="en-US" w:eastAsia="zh-CN"/>
                    </w:rPr>
                    <w:t>4</w:t>
                  </w:r>
                  <w:r>
                    <w:rPr>
                      <w:rFonts w:hint="eastAsia"/>
                      <w:color w:val="auto"/>
                    </w:rPr>
                    <w:t>）</w:t>
                  </w:r>
                </w:p>
              </w:tc>
              <w:tc>
                <w:tcPr>
                  <w:tcW w:w="968" w:type="dxa"/>
                  <w:vMerge w:val="continue"/>
                  <w:vAlign w:val="center"/>
                </w:tcPr>
                <w:p w14:paraId="3191423C">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4152" w:type="dxa"/>
                  <w:vAlign w:val="center"/>
                </w:tcPr>
                <w:p w14:paraId="0473B45D">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color w:val="auto"/>
                    </w:rPr>
                  </w:pPr>
                  <w:r>
                    <w:rPr>
                      <w:rFonts w:hint="eastAsia"/>
                      <w:color w:val="auto"/>
                      <w:highlight w:val="none"/>
                    </w:rPr>
                    <w:t>采取</w:t>
                  </w:r>
                  <w:r>
                    <w:rPr>
                      <w:rFonts w:hint="eastAsia"/>
                      <w:color w:val="auto"/>
                      <w:highlight w:val="none"/>
                      <w:lang w:val="en-US" w:eastAsia="zh-CN"/>
                    </w:rPr>
                    <w:t>输送带封闭、安装喷淋装置（降尘50%），</w:t>
                  </w:r>
                  <w:r>
                    <w:rPr>
                      <w:rFonts w:hint="eastAsia"/>
                      <w:color w:val="auto"/>
                      <w:highlight w:val="none"/>
                      <w:lang w:eastAsia="zh-CN"/>
                    </w:rPr>
                    <w:t>“</w:t>
                  </w:r>
                  <w:r>
                    <w:rPr>
                      <w:rFonts w:hint="eastAsia"/>
                      <w:color w:val="auto"/>
                      <w:highlight w:val="none"/>
                      <w:lang w:val="en-US" w:eastAsia="zh-CN"/>
                    </w:rPr>
                    <w:t>集气罩收集（收集效率为90%）+布袋除尘器（处理效率99%）</w:t>
                  </w:r>
                  <w:r>
                    <w:rPr>
                      <w:rFonts w:hint="eastAsia"/>
                      <w:color w:val="auto"/>
                      <w:highlight w:val="none"/>
                      <w:lang w:eastAsia="zh-CN"/>
                    </w:rPr>
                    <w:t>”</w:t>
                  </w:r>
                  <w:r>
                    <w:rPr>
                      <w:rFonts w:hint="eastAsia"/>
                      <w:color w:val="auto"/>
                      <w:highlight w:val="none"/>
                      <w:lang w:val="en-US" w:eastAsia="zh-CN"/>
                    </w:rPr>
                    <w:t>处理后，经15m（DA004）排气筒排放</w:t>
                  </w:r>
                </w:p>
              </w:tc>
            </w:tr>
            <w:tr w14:paraId="6BF3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continue"/>
                  <w:vAlign w:val="center"/>
                </w:tcPr>
                <w:p w14:paraId="637380C5">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c>
                <w:tcPr>
                  <w:tcW w:w="2523" w:type="dxa"/>
                  <w:vAlign w:val="center"/>
                </w:tcPr>
                <w:p w14:paraId="6C83D02A">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筒仓呼吸粉尘（G2）</w:t>
                  </w:r>
                </w:p>
              </w:tc>
              <w:tc>
                <w:tcPr>
                  <w:tcW w:w="968" w:type="dxa"/>
                  <w:vMerge w:val="continue"/>
                  <w:vAlign w:val="center"/>
                </w:tcPr>
                <w:p w14:paraId="20593873">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c>
                <w:tcPr>
                  <w:tcW w:w="4152" w:type="dxa"/>
                  <w:vAlign w:val="center"/>
                </w:tcPr>
                <w:p w14:paraId="6A1A50EE">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筒仓呼吸粉尘经仓顶自带布袋除尘器处理后，车间内无组织排放</w:t>
                  </w:r>
                </w:p>
              </w:tc>
            </w:tr>
            <w:tr w14:paraId="6779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continue"/>
                  <w:vAlign w:val="center"/>
                </w:tcPr>
                <w:p w14:paraId="03D05B1D">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c>
                <w:tcPr>
                  <w:tcW w:w="2523" w:type="dxa"/>
                  <w:vAlign w:val="center"/>
                </w:tcPr>
                <w:p w14:paraId="6876E056">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车辆运输扬尘</w:t>
                  </w:r>
                </w:p>
              </w:tc>
              <w:tc>
                <w:tcPr>
                  <w:tcW w:w="968" w:type="dxa"/>
                  <w:vMerge w:val="continue"/>
                  <w:vAlign w:val="center"/>
                </w:tcPr>
                <w:p w14:paraId="48C10B2B">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c>
                <w:tcPr>
                  <w:tcW w:w="4152" w:type="dxa"/>
                  <w:vAlign w:val="center"/>
                </w:tcPr>
                <w:p w14:paraId="36E4D6F0">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szCs w:val="21"/>
                    </w:rPr>
                  </w:pPr>
                  <w:r>
                    <w:rPr>
                      <w:rFonts w:hint="eastAsia"/>
                      <w:color w:val="auto"/>
                      <w:szCs w:val="21"/>
                    </w:rPr>
                    <w:t>设置洗车平台，厂区内道路硬化、洒水抑尘、定期清扫地面的措施</w:t>
                  </w:r>
                </w:p>
              </w:tc>
            </w:tr>
            <w:tr w14:paraId="0B36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continue"/>
                  <w:vAlign w:val="center"/>
                </w:tcPr>
                <w:p w14:paraId="3D79F954">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c>
                <w:tcPr>
                  <w:tcW w:w="2523" w:type="dxa"/>
                  <w:vAlign w:val="center"/>
                </w:tcPr>
                <w:p w14:paraId="3EC05657">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食堂油烟</w:t>
                  </w:r>
                </w:p>
              </w:tc>
              <w:tc>
                <w:tcPr>
                  <w:tcW w:w="968" w:type="dxa"/>
                  <w:vAlign w:val="center"/>
                </w:tcPr>
                <w:p w14:paraId="3D031D50">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油烟</w:t>
                  </w:r>
                </w:p>
              </w:tc>
              <w:tc>
                <w:tcPr>
                  <w:tcW w:w="4152" w:type="dxa"/>
                  <w:vAlign w:val="center"/>
                </w:tcPr>
                <w:p w14:paraId="2CC7D7E9">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szCs w:val="21"/>
                    </w:rPr>
                  </w:pPr>
                  <w:r>
                    <w:rPr>
                      <w:rFonts w:hint="eastAsia"/>
                      <w:color w:val="auto"/>
                      <w:szCs w:val="21"/>
                    </w:rPr>
                    <w:t>食堂油烟经油烟净化器处理后经专用烟道排放</w:t>
                  </w:r>
                </w:p>
              </w:tc>
            </w:tr>
            <w:tr w14:paraId="4F80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Align w:val="center"/>
                </w:tcPr>
                <w:p w14:paraId="30E3C653">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噪声</w:t>
                  </w:r>
                </w:p>
              </w:tc>
              <w:tc>
                <w:tcPr>
                  <w:tcW w:w="2523" w:type="dxa"/>
                  <w:vAlign w:val="center"/>
                </w:tcPr>
                <w:p w14:paraId="684AA638">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设备噪声等</w:t>
                  </w:r>
                </w:p>
              </w:tc>
              <w:tc>
                <w:tcPr>
                  <w:tcW w:w="968" w:type="dxa"/>
                  <w:vAlign w:val="center"/>
                </w:tcPr>
                <w:p w14:paraId="7738B7BF">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噪声（N）</w:t>
                  </w:r>
                </w:p>
              </w:tc>
              <w:tc>
                <w:tcPr>
                  <w:tcW w:w="4152" w:type="dxa"/>
                  <w:vAlign w:val="center"/>
                </w:tcPr>
                <w:p w14:paraId="37BAB55A">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优选低噪设备，合理布局、基础减振、距离衰减</w:t>
                  </w:r>
                </w:p>
              </w:tc>
            </w:tr>
            <w:tr w14:paraId="76B8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restart"/>
                  <w:vAlign w:val="center"/>
                </w:tcPr>
                <w:p w14:paraId="1C5E8035">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固废</w:t>
                  </w:r>
                </w:p>
              </w:tc>
              <w:tc>
                <w:tcPr>
                  <w:tcW w:w="3491" w:type="dxa"/>
                  <w:gridSpan w:val="2"/>
                  <w:vAlign w:val="center"/>
                </w:tcPr>
                <w:p w14:paraId="6BA81B82">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生活垃圾</w:t>
                  </w:r>
                </w:p>
              </w:tc>
              <w:tc>
                <w:tcPr>
                  <w:tcW w:w="4152" w:type="dxa"/>
                  <w:vAlign w:val="center"/>
                </w:tcPr>
                <w:p w14:paraId="4E0EC30D">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color w:val="auto"/>
                    </w:rPr>
                    <w:t>经收集后由环卫部门统一清运处理</w:t>
                  </w:r>
                </w:p>
              </w:tc>
            </w:tr>
            <w:tr w14:paraId="4250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continue"/>
                  <w:vAlign w:val="center"/>
                </w:tcPr>
                <w:p w14:paraId="453F2D41">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c>
                <w:tcPr>
                  <w:tcW w:w="3491" w:type="dxa"/>
                  <w:gridSpan w:val="2"/>
                  <w:vAlign w:val="center"/>
                </w:tcPr>
                <w:p w14:paraId="14E7C3FE">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沉淀池沉渣</w:t>
                  </w:r>
                </w:p>
              </w:tc>
              <w:tc>
                <w:tcPr>
                  <w:tcW w:w="4152" w:type="dxa"/>
                  <w:vMerge w:val="restart"/>
                  <w:vAlign w:val="center"/>
                </w:tcPr>
                <w:p w14:paraId="30AB9705">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eastAsia="宋体"/>
                      <w:color w:val="auto"/>
                      <w:lang w:val="en-US" w:eastAsia="zh-CN"/>
                    </w:rPr>
                  </w:pPr>
                  <w:r>
                    <w:rPr>
                      <w:rFonts w:hint="eastAsia"/>
                      <w:color w:val="auto"/>
                    </w:rPr>
                    <w:t>暂存于</w:t>
                  </w:r>
                  <w:r>
                    <w:rPr>
                      <w:rFonts w:hint="eastAsia"/>
                      <w:color w:val="auto"/>
                      <w:lang w:eastAsia="zh-CN"/>
                    </w:rPr>
                    <w:t>一般工业固体废物暂存场所</w:t>
                  </w:r>
                  <w:r>
                    <w:rPr>
                      <w:rFonts w:hint="eastAsia"/>
                      <w:color w:val="auto"/>
                    </w:rPr>
                    <w:t>，统一回用于生产</w:t>
                  </w:r>
                  <w:r>
                    <w:rPr>
                      <w:rFonts w:hint="eastAsia"/>
                      <w:color w:val="auto"/>
                      <w:lang w:val="en-US" w:eastAsia="zh-CN"/>
                    </w:rPr>
                    <w:t>线</w:t>
                  </w:r>
                </w:p>
              </w:tc>
            </w:tr>
            <w:tr w14:paraId="3144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continue"/>
                  <w:vAlign w:val="center"/>
                </w:tcPr>
                <w:p w14:paraId="1C7FFCB7">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c>
                <w:tcPr>
                  <w:tcW w:w="3491" w:type="dxa"/>
                  <w:gridSpan w:val="2"/>
                  <w:vAlign w:val="center"/>
                </w:tcPr>
                <w:p w14:paraId="570948D4">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color w:val="auto"/>
                    </w:rPr>
                    <w:t>地面清扫粉尘</w:t>
                  </w:r>
                </w:p>
              </w:tc>
              <w:tc>
                <w:tcPr>
                  <w:tcW w:w="4152" w:type="dxa"/>
                  <w:vMerge w:val="continue"/>
                  <w:vAlign w:val="center"/>
                </w:tcPr>
                <w:p w14:paraId="77403CE4">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r>
            <w:tr w14:paraId="5018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continue"/>
                  <w:vAlign w:val="center"/>
                </w:tcPr>
                <w:p w14:paraId="19D4B463">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c>
                <w:tcPr>
                  <w:tcW w:w="3491" w:type="dxa"/>
                  <w:gridSpan w:val="2"/>
                  <w:vAlign w:val="center"/>
                </w:tcPr>
                <w:p w14:paraId="23575D9F">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default" w:eastAsia="宋体"/>
                      <w:color w:val="auto"/>
                      <w:lang w:val="en-US" w:eastAsia="zh-CN"/>
                    </w:rPr>
                  </w:pPr>
                  <w:r>
                    <w:rPr>
                      <w:rFonts w:hint="eastAsia"/>
                      <w:color w:val="auto"/>
                      <w:lang w:val="en-US" w:eastAsia="zh-CN"/>
                    </w:rPr>
                    <w:t>除尘器收集粉尘</w:t>
                  </w:r>
                </w:p>
              </w:tc>
              <w:tc>
                <w:tcPr>
                  <w:tcW w:w="4152" w:type="dxa"/>
                  <w:vMerge w:val="continue"/>
                  <w:vAlign w:val="center"/>
                </w:tcPr>
                <w:p w14:paraId="000C1BF1">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default" w:eastAsia="宋体"/>
                      <w:color w:val="auto"/>
                      <w:lang w:val="en-US" w:eastAsia="zh-CN"/>
                    </w:rPr>
                  </w:pPr>
                </w:p>
              </w:tc>
            </w:tr>
            <w:tr w14:paraId="6599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vMerge w:val="continue"/>
                  <w:vAlign w:val="center"/>
                </w:tcPr>
                <w:p w14:paraId="2A17A767">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p>
              </w:tc>
              <w:tc>
                <w:tcPr>
                  <w:tcW w:w="3491" w:type="dxa"/>
                  <w:gridSpan w:val="2"/>
                  <w:vAlign w:val="center"/>
                </w:tcPr>
                <w:p w14:paraId="63A5874F">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default"/>
                      <w:color w:val="auto"/>
                      <w:lang w:val="en-US" w:eastAsia="zh-CN"/>
                    </w:rPr>
                  </w:pPr>
                  <w:r>
                    <w:rPr>
                      <w:rFonts w:hint="eastAsia"/>
                      <w:color w:val="auto"/>
                      <w:lang w:val="en-US" w:eastAsia="zh-CN"/>
                    </w:rPr>
                    <w:t>废机油、废机油桶</w:t>
                  </w:r>
                </w:p>
              </w:tc>
              <w:tc>
                <w:tcPr>
                  <w:tcW w:w="4152" w:type="dxa"/>
                  <w:vAlign w:val="center"/>
                </w:tcPr>
                <w:p w14:paraId="24A2DB01">
                  <w:pPr>
                    <w:pStyle w:val="3"/>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default" w:eastAsia="宋体"/>
                      <w:color w:val="auto"/>
                      <w:lang w:val="en-US" w:eastAsia="zh-CN"/>
                    </w:rPr>
                  </w:pPr>
                  <w:r>
                    <w:rPr>
                      <w:rFonts w:hint="eastAsia"/>
                      <w:color w:val="auto"/>
                      <w:lang w:val="en-US" w:eastAsia="zh-CN"/>
                    </w:rPr>
                    <w:t>暂存于危废废物贮存库，定期交由有资质单位处置</w:t>
                  </w:r>
                </w:p>
              </w:tc>
            </w:tr>
          </w:tbl>
          <w:p w14:paraId="6DABA434">
            <w:pPr>
              <w:adjustRightInd w:val="0"/>
              <w:snapToGrid w:val="0"/>
              <w:ind w:left="0" w:leftChars="0" w:firstLine="0" w:firstLineChars="0"/>
              <w:jc w:val="both"/>
              <w:rPr>
                <w:rFonts w:ascii="宋体" w:hAnsi="宋体"/>
                <w:bCs/>
                <w:color w:val="auto"/>
                <w:szCs w:val="21"/>
              </w:rPr>
            </w:pPr>
          </w:p>
        </w:tc>
      </w:tr>
      <w:tr w14:paraId="462C4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510" w:type="dxa"/>
            <w:vAlign w:val="center"/>
          </w:tcPr>
          <w:p w14:paraId="3D976012">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zCs w:val="21"/>
              </w:rPr>
            </w:pPr>
            <w:r>
              <w:rPr>
                <w:rFonts w:hint="eastAsia"/>
                <w:color w:val="auto"/>
              </w:rPr>
              <w:t>与项目有关的原有环境污染问题</w:t>
            </w:r>
          </w:p>
        </w:tc>
        <w:tc>
          <w:tcPr>
            <w:tcW w:w="8474" w:type="dxa"/>
          </w:tcPr>
          <w:p w14:paraId="2594EC08">
            <w:pPr>
              <w:ind w:left="-82" w:leftChars="-34" w:firstLine="0" w:firstLineChars="0"/>
              <w:rPr>
                <w:b/>
                <w:bCs/>
                <w:color w:val="auto"/>
              </w:rPr>
            </w:pPr>
            <w:r>
              <w:rPr>
                <w:b/>
                <w:bCs/>
                <w:color w:val="auto"/>
              </w:rPr>
              <w:t>与本项目有关的原有污染情况及主要环境问题：</w:t>
            </w:r>
          </w:p>
          <w:p w14:paraId="3568706B">
            <w:pPr>
              <w:widowControl/>
              <w:ind w:firstLine="0" w:firstLineChars="0"/>
              <w:jc w:val="left"/>
              <w:rPr>
                <w:color w:val="auto"/>
              </w:rPr>
            </w:pPr>
            <w:r>
              <w:rPr>
                <w:rFonts w:hint="eastAsia"/>
                <w:b/>
                <w:bCs/>
                <w:color w:val="auto"/>
              </w:rPr>
              <w:t>1、原有项目环保手续履行情况</w:t>
            </w:r>
          </w:p>
          <w:p w14:paraId="20A2CD7B">
            <w:pPr>
              <w:ind w:firstLine="480"/>
              <w:rPr>
                <w:color w:val="auto"/>
              </w:rPr>
            </w:pPr>
            <w:r>
              <w:rPr>
                <w:rFonts w:hint="eastAsia"/>
                <w:color w:val="auto"/>
              </w:rPr>
              <w:t>环保手续履行情况如下：</w:t>
            </w:r>
          </w:p>
          <w:p w14:paraId="753AE9BA">
            <w:pPr>
              <w:ind w:firstLine="0" w:firstLineChars="0"/>
              <w:rPr>
                <w:b/>
                <w:bCs/>
                <w:color w:val="auto"/>
              </w:rPr>
            </w:pPr>
            <w:r>
              <w:rPr>
                <w:rFonts w:hint="eastAsia"/>
                <w:b/>
                <w:bCs/>
                <w:color w:val="auto"/>
              </w:rPr>
              <w:t>2、现有工程污染物排放达标分析</w:t>
            </w:r>
          </w:p>
          <w:p w14:paraId="4E9F8F96">
            <w:pPr>
              <w:keepNext w:val="0"/>
              <w:keepLines w:val="0"/>
              <w:pageBreakBefore w:val="0"/>
              <w:widowControl w:val="0"/>
              <w:kinsoku/>
              <w:wordWrap/>
              <w:overflowPunct/>
              <w:topLinePunct w:val="0"/>
              <w:autoSpaceDE/>
              <w:autoSpaceDN/>
              <w:bidi w:val="0"/>
              <w:adjustRightInd/>
              <w:snapToGrid/>
              <w:ind w:firstLine="482" w:firstLineChars="200"/>
              <w:textAlignment w:val="auto"/>
              <w:rPr>
                <w:b/>
                <w:bCs/>
                <w:color w:val="auto"/>
              </w:rPr>
            </w:pPr>
            <w:r>
              <w:rPr>
                <w:rFonts w:hint="eastAsia"/>
                <w:b/>
                <w:bCs/>
                <w:color w:val="auto"/>
                <w:lang w:eastAsia="zh-CN"/>
              </w:rPr>
              <w:t>（</w:t>
            </w:r>
            <w:r>
              <w:rPr>
                <w:rFonts w:hint="eastAsia"/>
                <w:b/>
                <w:bCs/>
                <w:color w:val="auto"/>
                <w:lang w:val="en-US" w:eastAsia="zh-CN"/>
              </w:rPr>
              <w:t>1</w:t>
            </w:r>
            <w:r>
              <w:rPr>
                <w:rFonts w:hint="eastAsia"/>
                <w:b/>
                <w:bCs/>
                <w:color w:val="auto"/>
                <w:lang w:eastAsia="zh-CN"/>
              </w:rPr>
              <w:t>）</w:t>
            </w:r>
            <w:r>
              <w:rPr>
                <w:rFonts w:hint="eastAsia"/>
                <w:b/>
                <w:bCs/>
                <w:color w:val="auto"/>
              </w:rPr>
              <w:t>废气达标分析</w:t>
            </w:r>
          </w:p>
          <w:p w14:paraId="2988880A">
            <w:pPr>
              <w:ind w:firstLine="480"/>
              <w:rPr>
                <w:color w:val="auto"/>
              </w:rPr>
            </w:pPr>
            <w:r>
              <w:rPr>
                <w:rFonts w:hint="eastAsia"/>
                <w:color w:val="auto"/>
              </w:rPr>
              <w:t>根据</w:t>
            </w:r>
            <w:r>
              <w:rPr>
                <w:rFonts w:hint="eastAsia"/>
                <w:color w:val="auto"/>
                <w:lang w:val="en-US" w:eastAsia="zh-CN"/>
              </w:rPr>
              <w:t>年产50万吨机制砂暨70万吨干混砂浆项目（阶段性）竣工环境保护验收报告（监测时间为2020.11.16-2020.11.17）</w:t>
            </w:r>
            <w:r>
              <w:rPr>
                <w:rFonts w:hint="eastAsia"/>
                <w:color w:val="auto"/>
              </w:rPr>
              <w:t>，具体数据见下表。</w:t>
            </w:r>
          </w:p>
          <w:p w14:paraId="45F281AB">
            <w:pPr>
              <w:widowControl/>
              <w:spacing w:line="240" w:lineRule="auto"/>
              <w:ind w:firstLine="0" w:firstLineChars="0"/>
              <w:jc w:val="center"/>
              <w:rPr>
                <w:rFonts w:hint="eastAsia"/>
                <w:b/>
                <w:bCs/>
                <w:color w:val="auto"/>
                <w:lang w:bidi="zh-CN"/>
              </w:rPr>
            </w:pPr>
            <w:r>
              <w:rPr>
                <w:b/>
                <w:bCs/>
                <w:color w:val="auto"/>
                <w:lang w:bidi="zh-CN"/>
              </w:rPr>
              <w:t>表</w:t>
            </w:r>
            <w:r>
              <w:rPr>
                <w:rFonts w:hint="eastAsia"/>
                <w:b/>
                <w:bCs/>
                <w:color w:val="auto"/>
                <w:lang w:val="en-US" w:bidi="zh-CN"/>
              </w:rPr>
              <w:t>2-9</w:t>
            </w:r>
            <w:r>
              <w:rPr>
                <w:rFonts w:hint="eastAsia"/>
                <w:b/>
                <w:bCs/>
                <w:color w:val="auto"/>
                <w:lang w:bidi="zh-CN"/>
              </w:rPr>
              <w:t xml:space="preserve">  </w:t>
            </w:r>
            <w:r>
              <w:rPr>
                <w:rFonts w:hint="eastAsia"/>
                <w:b/>
                <w:bCs/>
                <w:color w:val="auto"/>
              </w:rPr>
              <w:t>现有验收工程</w:t>
            </w:r>
            <w:r>
              <w:rPr>
                <w:rFonts w:hint="eastAsia"/>
                <w:b/>
                <w:bCs/>
                <w:color w:val="auto"/>
                <w:lang w:val="en-US" w:bidi="zh-CN"/>
              </w:rPr>
              <w:t>粉尘有组织废气</w:t>
            </w:r>
            <w:r>
              <w:rPr>
                <w:b/>
                <w:bCs/>
                <w:color w:val="auto"/>
                <w:lang w:bidi="zh-CN"/>
              </w:rPr>
              <w:t>监测结果</w:t>
            </w:r>
            <w:r>
              <w:rPr>
                <w:rFonts w:hint="eastAsia"/>
                <w:b/>
                <w:bCs/>
                <w:color w:val="auto"/>
                <w:lang w:bidi="zh-CN"/>
              </w:rPr>
              <w:t>一览表</w:t>
            </w:r>
          </w:p>
          <w:tbl>
            <w:tblPr>
              <w:tblStyle w:val="27"/>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14"/>
              <w:gridCol w:w="720"/>
              <w:gridCol w:w="885"/>
              <w:gridCol w:w="825"/>
              <w:gridCol w:w="1278"/>
              <w:gridCol w:w="793"/>
              <w:gridCol w:w="775"/>
              <w:gridCol w:w="775"/>
              <w:gridCol w:w="793"/>
            </w:tblGrid>
            <w:tr w14:paraId="725E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Merge w:val="restart"/>
                  <w:vAlign w:val="center"/>
                </w:tcPr>
                <w:p w14:paraId="484F52F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监测点位</w:t>
                  </w:r>
                </w:p>
              </w:tc>
              <w:tc>
                <w:tcPr>
                  <w:tcW w:w="614" w:type="dxa"/>
                  <w:vMerge w:val="restart"/>
                  <w:vAlign w:val="center"/>
                </w:tcPr>
                <w:p w14:paraId="530BDEF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监测日期</w:t>
                  </w:r>
                </w:p>
              </w:tc>
              <w:tc>
                <w:tcPr>
                  <w:tcW w:w="720" w:type="dxa"/>
                  <w:vMerge w:val="restart"/>
                  <w:vAlign w:val="center"/>
                </w:tcPr>
                <w:p w14:paraId="69D598E5">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监测项目</w:t>
                  </w:r>
                </w:p>
              </w:tc>
              <w:tc>
                <w:tcPr>
                  <w:tcW w:w="885" w:type="dxa"/>
                  <w:vMerge w:val="restart"/>
                  <w:vAlign w:val="center"/>
                </w:tcPr>
                <w:p w14:paraId="4319B42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监测频次</w:t>
                  </w:r>
                </w:p>
              </w:tc>
              <w:tc>
                <w:tcPr>
                  <w:tcW w:w="825" w:type="dxa"/>
                  <w:vMerge w:val="restart"/>
                  <w:vAlign w:val="center"/>
                </w:tcPr>
                <w:p w14:paraId="2934C8F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实测浓度（mg/m</w:t>
                  </w:r>
                  <w:r>
                    <w:rPr>
                      <w:rFonts w:hint="eastAsia"/>
                      <w:b/>
                      <w:bCs/>
                      <w:color w:val="auto"/>
                      <w:sz w:val="21"/>
                      <w:szCs w:val="21"/>
                      <w:vertAlign w:val="superscript"/>
                      <w:lang w:val="en-US" w:eastAsia="zh-CN"/>
                    </w:rPr>
                    <w:t>3</w:t>
                  </w:r>
                  <w:r>
                    <w:rPr>
                      <w:rFonts w:hint="eastAsia"/>
                      <w:b/>
                      <w:bCs/>
                      <w:color w:val="auto"/>
                      <w:sz w:val="21"/>
                      <w:szCs w:val="21"/>
                      <w:vertAlign w:val="baseline"/>
                      <w:lang w:val="en-US" w:eastAsia="zh-CN"/>
                    </w:rPr>
                    <w:t>）</w:t>
                  </w:r>
                </w:p>
              </w:tc>
              <w:tc>
                <w:tcPr>
                  <w:tcW w:w="1278" w:type="dxa"/>
                  <w:vMerge w:val="restart"/>
                  <w:vAlign w:val="center"/>
                </w:tcPr>
                <w:p w14:paraId="144A5274">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排放速率（kg/h）</w:t>
                  </w:r>
                </w:p>
              </w:tc>
              <w:tc>
                <w:tcPr>
                  <w:tcW w:w="793" w:type="dxa"/>
                  <w:vMerge w:val="restart"/>
                  <w:vAlign w:val="center"/>
                </w:tcPr>
                <w:p w14:paraId="0A6ACC92">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标杆风量（m</w:t>
                  </w:r>
                  <w:r>
                    <w:rPr>
                      <w:rFonts w:hint="eastAsia"/>
                      <w:b/>
                      <w:bCs/>
                      <w:color w:val="auto"/>
                      <w:sz w:val="21"/>
                      <w:szCs w:val="21"/>
                      <w:vertAlign w:val="superscript"/>
                      <w:lang w:val="en-US" w:eastAsia="zh-CN"/>
                    </w:rPr>
                    <w:t>3</w:t>
                  </w:r>
                  <w:r>
                    <w:rPr>
                      <w:rFonts w:hint="eastAsia"/>
                      <w:b/>
                      <w:bCs/>
                      <w:color w:val="auto"/>
                      <w:sz w:val="21"/>
                      <w:szCs w:val="21"/>
                      <w:vertAlign w:val="baseline"/>
                      <w:lang w:val="en-US" w:eastAsia="zh-CN"/>
                    </w:rPr>
                    <w:t>/h）</w:t>
                  </w:r>
                </w:p>
              </w:tc>
              <w:tc>
                <w:tcPr>
                  <w:tcW w:w="1550" w:type="dxa"/>
                  <w:gridSpan w:val="2"/>
                  <w:vAlign w:val="center"/>
                </w:tcPr>
                <w:p w14:paraId="3427416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b/>
                      <w:bCs/>
                      <w:color w:val="auto"/>
                      <w:sz w:val="21"/>
                      <w:szCs w:val="21"/>
                      <w:vertAlign w:val="baseline"/>
                    </w:rPr>
                  </w:pPr>
                  <w:r>
                    <w:rPr>
                      <w:rFonts w:hint="eastAsia"/>
                      <w:b/>
                      <w:bCs/>
                      <w:color w:val="auto"/>
                      <w:sz w:val="21"/>
                      <w:szCs w:val="21"/>
                      <w:vertAlign w:val="baseline"/>
                      <w:lang w:val="en-US" w:eastAsia="zh-CN"/>
                    </w:rPr>
                    <w:t>执行标准</w:t>
                  </w:r>
                </w:p>
              </w:tc>
              <w:tc>
                <w:tcPr>
                  <w:tcW w:w="793" w:type="dxa"/>
                  <w:vMerge w:val="restart"/>
                  <w:vAlign w:val="center"/>
                </w:tcPr>
                <w:p w14:paraId="00BD45D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达标情况</w:t>
                  </w:r>
                </w:p>
              </w:tc>
            </w:tr>
            <w:tr w14:paraId="14E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Merge w:val="continue"/>
                  <w:vAlign w:val="center"/>
                </w:tcPr>
                <w:p w14:paraId="15E897F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614" w:type="dxa"/>
                  <w:vMerge w:val="continue"/>
                  <w:vAlign w:val="center"/>
                </w:tcPr>
                <w:p w14:paraId="646DA80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720" w:type="dxa"/>
                  <w:vMerge w:val="continue"/>
                  <w:vAlign w:val="center"/>
                </w:tcPr>
                <w:p w14:paraId="6E8EDE4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885" w:type="dxa"/>
                  <w:vMerge w:val="continue"/>
                  <w:vAlign w:val="center"/>
                </w:tcPr>
                <w:p w14:paraId="4F74A7E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825" w:type="dxa"/>
                  <w:vMerge w:val="continue"/>
                  <w:vAlign w:val="center"/>
                </w:tcPr>
                <w:p w14:paraId="662C662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1278" w:type="dxa"/>
                  <w:vMerge w:val="continue"/>
                  <w:vAlign w:val="center"/>
                </w:tcPr>
                <w:p w14:paraId="3C1392DB">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793" w:type="dxa"/>
                  <w:vMerge w:val="continue"/>
                  <w:vAlign w:val="center"/>
                </w:tcPr>
                <w:p w14:paraId="04F87034">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775" w:type="dxa"/>
                  <w:vAlign w:val="center"/>
                </w:tcPr>
                <w:p w14:paraId="184DD48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最高允许排放浓度（mg/m</w:t>
                  </w:r>
                  <w:r>
                    <w:rPr>
                      <w:rFonts w:hint="eastAsia"/>
                      <w:b/>
                      <w:bCs/>
                      <w:color w:val="auto"/>
                      <w:sz w:val="21"/>
                      <w:szCs w:val="21"/>
                      <w:vertAlign w:val="superscript"/>
                      <w:lang w:val="en-US" w:eastAsia="zh-CN"/>
                    </w:rPr>
                    <w:t>3</w:t>
                  </w:r>
                  <w:r>
                    <w:rPr>
                      <w:rFonts w:hint="eastAsia"/>
                      <w:b/>
                      <w:bCs/>
                      <w:color w:val="auto"/>
                      <w:sz w:val="21"/>
                      <w:szCs w:val="21"/>
                      <w:vertAlign w:val="baseline"/>
                      <w:lang w:val="en-US" w:eastAsia="zh-CN"/>
                    </w:rPr>
                    <w:t>）</w:t>
                  </w:r>
                </w:p>
              </w:tc>
              <w:tc>
                <w:tcPr>
                  <w:tcW w:w="775" w:type="dxa"/>
                  <w:vAlign w:val="center"/>
                </w:tcPr>
                <w:p w14:paraId="1209B1F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最高允许排放速率（kg/h）</w:t>
                  </w:r>
                </w:p>
              </w:tc>
              <w:tc>
                <w:tcPr>
                  <w:tcW w:w="793" w:type="dxa"/>
                  <w:vMerge w:val="continue"/>
                  <w:vAlign w:val="center"/>
                </w:tcPr>
                <w:p w14:paraId="2E8A7E4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color w:val="auto"/>
                      <w:sz w:val="21"/>
                      <w:szCs w:val="21"/>
                      <w:vertAlign w:val="baseline"/>
                      <w:lang w:val="en-US" w:eastAsia="zh-CN"/>
                    </w:rPr>
                  </w:pPr>
                </w:p>
              </w:tc>
            </w:tr>
            <w:tr w14:paraId="228B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0" w:type="dxa"/>
                  <w:vMerge w:val="restart"/>
                  <w:vAlign w:val="center"/>
                </w:tcPr>
                <w:p w14:paraId="471D371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原料破碎粉尘处理设施出口</w:t>
                  </w:r>
                </w:p>
              </w:tc>
              <w:tc>
                <w:tcPr>
                  <w:tcW w:w="614" w:type="dxa"/>
                  <w:vMerge w:val="restart"/>
                  <w:vAlign w:val="center"/>
                </w:tcPr>
                <w:p w14:paraId="4611544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2020.11.16</w:t>
                  </w:r>
                </w:p>
              </w:tc>
              <w:tc>
                <w:tcPr>
                  <w:tcW w:w="720" w:type="dxa"/>
                  <w:vMerge w:val="restart"/>
                  <w:vAlign w:val="center"/>
                </w:tcPr>
                <w:p w14:paraId="15BD2DC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低浓度颗粒物</w:t>
                  </w:r>
                </w:p>
              </w:tc>
              <w:tc>
                <w:tcPr>
                  <w:tcW w:w="885" w:type="dxa"/>
                  <w:vAlign w:val="center"/>
                </w:tcPr>
                <w:p w14:paraId="75BB86B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1</w:t>
                  </w:r>
                </w:p>
              </w:tc>
              <w:tc>
                <w:tcPr>
                  <w:tcW w:w="825" w:type="dxa"/>
                  <w:vAlign w:val="center"/>
                </w:tcPr>
                <w:p w14:paraId="3DD6D77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4.2</w:t>
                  </w:r>
                </w:p>
              </w:tc>
              <w:tc>
                <w:tcPr>
                  <w:tcW w:w="1278" w:type="dxa"/>
                  <w:vAlign w:val="center"/>
                </w:tcPr>
                <w:p w14:paraId="49EF0214">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2.84×10</w:t>
                  </w:r>
                  <w:r>
                    <w:rPr>
                      <w:rFonts w:hint="eastAsia"/>
                      <w:color w:val="auto"/>
                      <w:sz w:val="21"/>
                      <w:szCs w:val="21"/>
                      <w:vertAlign w:val="superscript"/>
                      <w:lang w:val="en-US" w:eastAsia="zh-CN"/>
                    </w:rPr>
                    <w:t>-2</w:t>
                  </w:r>
                </w:p>
              </w:tc>
              <w:tc>
                <w:tcPr>
                  <w:tcW w:w="793" w:type="dxa"/>
                  <w:vAlign w:val="center"/>
                </w:tcPr>
                <w:p w14:paraId="099D0C7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6754</w:t>
                  </w:r>
                </w:p>
              </w:tc>
              <w:tc>
                <w:tcPr>
                  <w:tcW w:w="775" w:type="dxa"/>
                  <w:vMerge w:val="restart"/>
                  <w:vAlign w:val="center"/>
                </w:tcPr>
                <w:p w14:paraId="7D6A801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30</w:t>
                  </w:r>
                </w:p>
              </w:tc>
              <w:tc>
                <w:tcPr>
                  <w:tcW w:w="775" w:type="dxa"/>
                  <w:vMerge w:val="restart"/>
                  <w:vAlign w:val="center"/>
                </w:tcPr>
                <w:p w14:paraId="2B42D78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1.5</w:t>
                  </w:r>
                </w:p>
              </w:tc>
              <w:tc>
                <w:tcPr>
                  <w:tcW w:w="793" w:type="dxa"/>
                  <w:vMerge w:val="restart"/>
                  <w:vAlign w:val="center"/>
                </w:tcPr>
                <w:p w14:paraId="3112AFE2">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达标</w:t>
                  </w:r>
                </w:p>
              </w:tc>
            </w:tr>
            <w:tr w14:paraId="15C8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90" w:type="dxa"/>
                  <w:vMerge w:val="continue"/>
                  <w:vAlign w:val="center"/>
                </w:tcPr>
                <w:p w14:paraId="3C0A6F5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614" w:type="dxa"/>
                  <w:vMerge w:val="continue"/>
                  <w:vAlign w:val="center"/>
                </w:tcPr>
                <w:p w14:paraId="4F015CFB">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720" w:type="dxa"/>
                  <w:vMerge w:val="continue"/>
                  <w:vAlign w:val="center"/>
                </w:tcPr>
                <w:p w14:paraId="50BAE47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885" w:type="dxa"/>
                  <w:vAlign w:val="center"/>
                </w:tcPr>
                <w:p w14:paraId="52CA8E4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2</w:t>
                  </w:r>
                </w:p>
              </w:tc>
              <w:tc>
                <w:tcPr>
                  <w:tcW w:w="825" w:type="dxa"/>
                  <w:vAlign w:val="center"/>
                </w:tcPr>
                <w:p w14:paraId="335F031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3.6</w:t>
                  </w:r>
                </w:p>
              </w:tc>
              <w:tc>
                <w:tcPr>
                  <w:tcW w:w="1278" w:type="dxa"/>
                  <w:vAlign w:val="center"/>
                </w:tcPr>
                <w:p w14:paraId="0778FF5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2.33×10</w:t>
                  </w:r>
                  <w:r>
                    <w:rPr>
                      <w:rFonts w:hint="eastAsia"/>
                      <w:color w:val="auto"/>
                      <w:sz w:val="21"/>
                      <w:szCs w:val="21"/>
                      <w:vertAlign w:val="superscript"/>
                      <w:lang w:val="en-US" w:eastAsia="zh-CN"/>
                    </w:rPr>
                    <w:t>-2</w:t>
                  </w:r>
                </w:p>
              </w:tc>
              <w:tc>
                <w:tcPr>
                  <w:tcW w:w="793" w:type="dxa"/>
                  <w:vAlign w:val="center"/>
                </w:tcPr>
                <w:p w14:paraId="7BF0878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6472</w:t>
                  </w:r>
                </w:p>
              </w:tc>
              <w:tc>
                <w:tcPr>
                  <w:tcW w:w="775" w:type="dxa"/>
                  <w:vMerge w:val="continue"/>
                  <w:vAlign w:val="center"/>
                </w:tcPr>
                <w:p w14:paraId="23A53EEB">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75" w:type="dxa"/>
                  <w:vMerge w:val="continue"/>
                  <w:vAlign w:val="center"/>
                </w:tcPr>
                <w:p w14:paraId="0176279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93" w:type="dxa"/>
                  <w:vMerge w:val="continue"/>
                  <w:vAlign w:val="center"/>
                </w:tcPr>
                <w:p w14:paraId="224D869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r>
            <w:tr w14:paraId="5AF9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Merge w:val="continue"/>
                  <w:vAlign w:val="center"/>
                </w:tcPr>
                <w:p w14:paraId="261E19C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614" w:type="dxa"/>
                  <w:vMerge w:val="continue"/>
                  <w:vAlign w:val="center"/>
                </w:tcPr>
                <w:p w14:paraId="4EC1E6F2">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20" w:type="dxa"/>
                  <w:vMerge w:val="continue"/>
                  <w:vAlign w:val="center"/>
                </w:tcPr>
                <w:p w14:paraId="6707B15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885" w:type="dxa"/>
                  <w:vAlign w:val="center"/>
                </w:tcPr>
                <w:p w14:paraId="71D7AA95">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3</w:t>
                  </w:r>
                </w:p>
              </w:tc>
              <w:tc>
                <w:tcPr>
                  <w:tcW w:w="825" w:type="dxa"/>
                  <w:vAlign w:val="center"/>
                </w:tcPr>
                <w:p w14:paraId="3BE9C00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4.6</w:t>
                  </w:r>
                </w:p>
              </w:tc>
              <w:tc>
                <w:tcPr>
                  <w:tcW w:w="1278" w:type="dxa"/>
                  <w:vAlign w:val="center"/>
                </w:tcPr>
                <w:p w14:paraId="66EFA70B">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3.19×10</w:t>
                  </w:r>
                  <w:r>
                    <w:rPr>
                      <w:rFonts w:hint="eastAsia"/>
                      <w:color w:val="auto"/>
                      <w:sz w:val="21"/>
                      <w:szCs w:val="21"/>
                      <w:vertAlign w:val="superscript"/>
                      <w:lang w:val="en-US" w:eastAsia="zh-CN"/>
                    </w:rPr>
                    <w:t>-2</w:t>
                  </w:r>
                </w:p>
              </w:tc>
              <w:tc>
                <w:tcPr>
                  <w:tcW w:w="793" w:type="dxa"/>
                  <w:vAlign w:val="center"/>
                </w:tcPr>
                <w:p w14:paraId="71102F6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6935</w:t>
                  </w:r>
                </w:p>
              </w:tc>
              <w:tc>
                <w:tcPr>
                  <w:tcW w:w="775" w:type="dxa"/>
                  <w:vMerge w:val="continue"/>
                  <w:vAlign w:val="center"/>
                </w:tcPr>
                <w:p w14:paraId="7CA082A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75" w:type="dxa"/>
                  <w:vMerge w:val="continue"/>
                  <w:vAlign w:val="center"/>
                </w:tcPr>
                <w:p w14:paraId="50B056C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93" w:type="dxa"/>
                  <w:vMerge w:val="continue"/>
                  <w:vAlign w:val="center"/>
                </w:tcPr>
                <w:p w14:paraId="1DA636C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r>
            <w:tr w14:paraId="0888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Merge w:val="restart"/>
                  <w:vAlign w:val="center"/>
                </w:tcPr>
                <w:p w14:paraId="7684DB1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原料筛分粉尘处理设施出口</w:t>
                  </w:r>
                </w:p>
              </w:tc>
              <w:tc>
                <w:tcPr>
                  <w:tcW w:w="614" w:type="dxa"/>
                  <w:vMerge w:val="continue"/>
                  <w:vAlign w:val="center"/>
                </w:tcPr>
                <w:p w14:paraId="3F3C341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20" w:type="dxa"/>
                  <w:vMerge w:val="restart"/>
                  <w:vAlign w:val="center"/>
                </w:tcPr>
                <w:p w14:paraId="1290FF84">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低浓度颗粒物</w:t>
                  </w:r>
                </w:p>
              </w:tc>
              <w:tc>
                <w:tcPr>
                  <w:tcW w:w="885" w:type="dxa"/>
                  <w:shd w:val="clear" w:color="auto" w:fill="auto"/>
                  <w:vAlign w:val="center"/>
                </w:tcPr>
                <w:p w14:paraId="7E9C509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1</w:t>
                  </w:r>
                </w:p>
              </w:tc>
              <w:tc>
                <w:tcPr>
                  <w:tcW w:w="825" w:type="dxa"/>
                  <w:vAlign w:val="center"/>
                </w:tcPr>
                <w:p w14:paraId="750C7A0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3.6</w:t>
                  </w:r>
                </w:p>
              </w:tc>
              <w:tc>
                <w:tcPr>
                  <w:tcW w:w="1278" w:type="dxa"/>
                  <w:vAlign w:val="center"/>
                </w:tcPr>
                <w:p w14:paraId="2BA95FC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3.24×10</w:t>
                  </w:r>
                  <w:r>
                    <w:rPr>
                      <w:rFonts w:hint="eastAsia"/>
                      <w:color w:val="auto"/>
                      <w:sz w:val="21"/>
                      <w:szCs w:val="21"/>
                      <w:vertAlign w:val="superscript"/>
                      <w:lang w:val="en-US" w:eastAsia="zh-CN"/>
                    </w:rPr>
                    <w:t>-2</w:t>
                  </w:r>
                </w:p>
              </w:tc>
              <w:tc>
                <w:tcPr>
                  <w:tcW w:w="793" w:type="dxa"/>
                  <w:vAlign w:val="center"/>
                </w:tcPr>
                <w:p w14:paraId="2989746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9000</w:t>
                  </w:r>
                </w:p>
              </w:tc>
              <w:tc>
                <w:tcPr>
                  <w:tcW w:w="775" w:type="dxa"/>
                  <w:vMerge w:val="restart"/>
                  <w:vAlign w:val="center"/>
                </w:tcPr>
                <w:p w14:paraId="34F075F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30</w:t>
                  </w:r>
                </w:p>
              </w:tc>
              <w:tc>
                <w:tcPr>
                  <w:tcW w:w="775" w:type="dxa"/>
                  <w:vMerge w:val="restart"/>
                  <w:vAlign w:val="center"/>
                </w:tcPr>
                <w:p w14:paraId="1951631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1.5</w:t>
                  </w:r>
                </w:p>
              </w:tc>
              <w:tc>
                <w:tcPr>
                  <w:tcW w:w="793" w:type="dxa"/>
                  <w:vMerge w:val="restart"/>
                  <w:vAlign w:val="center"/>
                </w:tcPr>
                <w:p w14:paraId="6250DBA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达标</w:t>
                  </w:r>
                </w:p>
              </w:tc>
            </w:tr>
            <w:tr w14:paraId="09F3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90" w:type="dxa"/>
                  <w:vMerge w:val="continue"/>
                  <w:vAlign w:val="center"/>
                </w:tcPr>
                <w:p w14:paraId="3D034E7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614" w:type="dxa"/>
                  <w:vMerge w:val="continue"/>
                  <w:vAlign w:val="center"/>
                </w:tcPr>
                <w:p w14:paraId="0255200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720" w:type="dxa"/>
                  <w:vMerge w:val="continue"/>
                  <w:vAlign w:val="center"/>
                </w:tcPr>
                <w:p w14:paraId="79BA6EF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885" w:type="dxa"/>
                  <w:shd w:val="clear" w:color="auto" w:fill="auto"/>
                  <w:vAlign w:val="center"/>
                </w:tcPr>
                <w:p w14:paraId="13A18ED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2</w:t>
                  </w:r>
                </w:p>
              </w:tc>
              <w:tc>
                <w:tcPr>
                  <w:tcW w:w="825" w:type="dxa"/>
                  <w:vAlign w:val="center"/>
                </w:tcPr>
                <w:p w14:paraId="0B2F1A8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3.8</w:t>
                  </w:r>
                </w:p>
              </w:tc>
              <w:tc>
                <w:tcPr>
                  <w:tcW w:w="1278" w:type="dxa"/>
                  <w:vAlign w:val="center"/>
                </w:tcPr>
                <w:p w14:paraId="5974F514">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3.47×10</w:t>
                  </w:r>
                  <w:r>
                    <w:rPr>
                      <w:rFonts w:hint="eastAsia"/>
                      <w:color w:val="auto"/>
                      <w:sz w:val="21"/>
                      <w:szCs w:val="21"/>
                      <w:vertAlign w:val="superscript"/>
                      <w:lang w:val="en-US" w:eastAsia="zh-CN"/>
                    </w:rPr>
                    <w:t>-2</w:t>
                  </w:r>
                </w:p>
              </w:tc>
              <w:tc>
                <w:tcPr>
                  <w:tcW w:w="793" w:type="dxa"/>
                  <w:vAlign w:val="center"/>
                </w:tcPr>
                <w:p w14:paraId="4521C8F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9141</w:t>
                  </w:r>
                </w:p>
              </w:tc>
              <w:tc>
                <w:tcPr>
                  <w:tcW w:w="775" w:type="dxa"/>
                  <w:vMerge w:val="continue"/>
                  <w:vAlign w:val="center"/>
                </w:tcPr>
                <w:p w14:paraId="1AF4121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75" w:type="dxa"/>
                  <w:vMerge w:val="continue"/>
                  <w:vAlign w:val="center"/>
                </w:tcPr>
                <w:p w14:paraId="0160AB0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93" w:type="dxa"/>
                  <w:vMerge w:val="continue"/>
                  <w:vAlign w:val="center"/>
                </w:tcPr>
                <w:p w14:paraId="677B348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r>
            <w:tr w14:paraId="1566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90" w:type="dxa"/>
                  <w:vMerge w:val="continue"/>
                  <w:vAlign w:val="center"/>
                </w:tcPr>
                <w:p w14:paraId="2B625C3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614" w:type="dxa"/>
                  <w:vMerge w:val="continue"/>
                  <w:vAlign w:val="center"/>
                </w:tcPr>
                <w:p w14:paraId="2252515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20" w:type="dxa"/>
                  <w:vMerge w:val="continue"/>
                  <w:vAlign w:val="center"/>
                </w:tcPr>
                <w:p w14:paraId="6AD47BD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885" w:type="dxa"/>
                  <w:shd w:val="clear" w:color="auto" w:fill="auto"/>
                  <w:vAlign w:val="center"/>
                </w:tcPr>
                <w:p w14:paraId="552D020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3</w:t>
                  </w:r>
                </w:p>
              </w:tc>
              <w:tc>
                <w:tcPr>
                  <w:tcW w:w="825" w:type="dxa"/>
                  <w:vAlign w:val="center"/>
                </w:tcPr>
                <w:p w14:paraId="13CA781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4.9</w:t>
                  </w:r>
                </w:p>
              </w:tc>
              <w:tc>
                <w:tcPr>
                  <w:tcW w:w="1278" w:type="dxa"/>
                  <w:vAlign w:val="center"/>
                </w:tcPr>
                <w:p w14:paraId="0EE6008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4.43×10</w:t>
                  </w:r>
                  <w:r>
                    <w:rPr>
                      <w:rFonts w:hint="eastAsia"/>
                      <w:color w:val="auto"/>
                      <w:sz w:val="21"/>
                      <w:szCs w:val="21"/>
                      <w:vertAlign w:val="superscript"/>
                      <w:lang w:val="en-US" w:eastAsia="zh-CN"/>
                    </w:rPr>
                    <w:t>-2</w:t>
                  </w:r>
                </w:p>
              </w:tc>
              <w:tc>
                <w:tcPr>
                  <w:tcW w:w="793" w:type="dxa"/>
                  <w:vAlign w:val="center"/>
                </w:tcPr>
                <w:p w14:paraId="3B381010">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9031</w:t>
                  </w:r>
                </w:p>
              </w:tc>
              <w:tc>
                <w:tcPr>
                  <w:tcW w:w="775" w:type="dxa"/>
                  <w:vMerge w:val="continue"/>
                  <w:vAlign w:val="center"/>
                </w:tcPr>
                <w:p w14:paraId="539D0B9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75" w:type="dxa"/>
                  <w:vMerge w:val="continue"/>
                  <w:vAlign w:val="center"/>
                </w:tcPr>
                <w:p w14:paraId="71B5F1BB">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93" w:type="dxa"/>
                  <w:vMerge w:val="continue"/>
                  <w:vAlign w:val="center"/>
                </w:tcPr>
                <w:p w14:paraId="27FC541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r>
            <w:tr w14:paraId="675F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90" w:type="dxa"/>
                  <w:vMerge w:val="restart"/>
                  <w:vAlign w:val="center"/>
                </w:tcPr>
                <w:p w14:paraId="3DD4A88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制砂破碎筛分+砂石粉分离粉尘处理设施出口</w:t>
                  </w:r>
                </w:p>
              </w:tc>
              <w:tc>
                <w:tcPr>
                  <w:tcW w:w="614" w:type="dxa"/>
                  <w:vMerge w:val="continue"/>
                  <w:vAlign w:val="center"/>
                </w:tcPr>
                <w:p w14:paraId="2D92079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20" w:type="dxa"/>
                  <w:vMerge w:val="restart"/>
                  <w:vAlign w:val="center"/>
                </w:tcPr>
                <w:p w14:paraId="579C9385">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低浓度颗粒物</w:t>
                  </w:r>
                </w:p>
              </w:tc>
              <w:tc>
                <w:tcPr>
                  <w:tcW w:w="885" w:type="dxa"/>
                  <w:shd w:val="clear" w:color="auto" w:fill="auto"/>
                  <w:vAlign w:val="center"/>
                </w:tcPr>
                <w:p w14:paraId="2289644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1</w:t>
                  </w:r>
                </w:p>
              </w:tc>
              <w:tc>
                <w:tcPr>
                  <w:tcW w:w="825" w:type="dxa"/>
                  <w:vAlign w:val="center"/>
                </w:tcPr>
                <w:p w14:paraId="45D8DF7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1.4</w:t>
                  </w:r>
                </w:p>
              </w:tc>
              <w:tc>
                <w:tcPr>
                  <w:tcW w:w="1278" w:type="dxa"/>
                  <w:vAlign w:val="center"/>
                </w:tcPr>
                <w:p w14:paraId="7E699925">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7.64×10</w:t>
                  </w:r>
                  <w:r>
                    <w:rPr>
                      <w:rFonts w:hint="eastAsia"/>
                      <w:color w:val="auto"/>
                      <w:sz w:val="21"/>
                      <w:szCs w:val="21"/>
                      <w:vertAlign w:val="superscript"/>
                      <w:lang w:val="en-US" w:eastAsia="zh-CN"/>
                    </w:rPr>
                    <w:t>-2</w:t>
                  </w:r>
                </w:p>
              </w:tc>
              <w:tc>
                <w:tcPr>
                  <w:tcW w:w="793" w:type="dxa"/>
                  <w:vAlign w:val="center"/>
                </w:tcPr>
                <w:p w14:paraId="21FE9E85">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54600</w:t>
                  </w:r>
                </w:p>
              </w:tc>
              <w:tc>
                <w:tcPr>
                  <w:tcW w:w="775" w:type="dxa"/>
                  <w:vMerge w:val="restart"/>
                  <w:vAlign w:val="center"/>
                </w:tcPr>
                <w:p w14:paraId="46D6FA0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30</w:t>
                  </w:r>
                </w:p>
              </w:tc>
              <w:tc>
                <w:tcPr>
                  <w:tcW w:w="775" w:type="dxa"/>
                  <w:vMerge w:val="restart"/>
                  <w:vAlign w:val="center"/>
                </w:tcPr>
                <w:p w14:paraId="2CC47382">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1.5</w:t>
                  </w:r>
                </w:p>
              </w:tc>
              <w:tc>
                <w:tcPr>
                  <w:tcW w:w="793" w:type="dxa"/>
                  <w:vMerge w:val="restart"/>
                  <w:vAlign w:val="center"/>
                </w:tcPr>
                <w:p w14:paraId="4211D9A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达标</w:t>
                  </w:r>
                </w:p>
              </w:tc>
            </w:tr>
            <w:tr w14:paraId="6790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90" w:type="dxa"/>
                  <w:vMerge w:val="continue"/>
                  <w:vAlign w:val="center"/>
                </w:tcPr>
                <w:p w14:paraId="34A304C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614" w:type="dxa"/>
                  <w:vMerge w:val="continue"/>
                  <w:vAlign w:val="center"/>
                </w:tcPr>
                <w:p w14:paraId="7CF1BC6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720" w:type="dxa"/>
                  <w:vMerge w:val="continue"/>
                  <w:vAlign w:val="center"/>
                </w:tcPr>
                <w:p w14:paraId="70F1BEA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885" w:type="dxa"/>
                  <w:shd w:val="clear" w:color="auto" w:fill="auto"/>
                  <w:vAlign w:val="center"/>
                </w:tcPr>
                <w:p w14:paraId="5C47893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2</w:t>
                  </w:r>
                </w:p>
              </w:tc>
              <w:tc>
                <w:tcPr>
                  <w:tcW w:w="825" w:type="dxa"/>
                  <w:vAlign w:val="center"/>
                </w:tcPr>
                <w:p w14:paraId="69ECDBA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3.7</w:t>
                  </w:r>
                </w:p>
              </w:tc>
              <w:tc>
                <w:tcPr>
                  <w:tcW w:w="1278" w:type="dxa"/>
                  <w:vAlign w:val="center"/>
                </w:tcPr>
                <w:p w14:paraId="6A465D54">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color w:val="auto"/>
                      <w:sz w:val="21"/>
                      <w:szCs w:val="21"/>
                      <w:vertAlign w:val="baseline"/>
                      <w:lang w:val="en-US"/>
                    </w:rPr>
                  </w:pPr>
                  <w:r>
                    <w:rPr>
                      <w:rFonts w:hint="eastAsia"/>
                      <w:color w:val="auto"/>
                      <w:sz w:val="21"/>
                      <w:szCs w:val="21"/>
                      <w:vertAlign w:val="baseline"/>
                      <w:lang w:val="en-US" w:eastAsia="zh-CN"/>
                    </w:rPr>
                    <w:t>0.195</w:t>
                  </w:r>
                </w:p>
              </w:tc>
              <w:tc>
                <w:tcPr>
                  <w:tcW w:w="793" w:type="dxa"/>
                  <w:vAlign w:val="center"/>
                </w:tcPr>
                <w:p w14:paraId="7A1B926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52611</w:t>
                  </w:r>
                </w:p>
              </w:tc>
              <w:tc>
                <w:tcPr>
                  <w:tcW w:w="775" w:type="dxa"/>
                  <w:vMerge w:val="continue"/>
                  <w:vAlign w:val="center"/>
                </w:tcPr>
                <w:p w14:paraId="394AEBC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75" w:type="dxa"/>
                  <w:vMerge w:val="continue"/>
                  <w:vAlign w:val="center"/>
                </w:tcPr>
                <w:p w14:paraId="22D7F6B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93" w:type="dxa"/>
                  <w:vMerge w:val="continue"/>
                  <w:vAlign w:val="center"/>
                </w:tcPr>
                <w:p w14:paraId="6FE3B8A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r>
            <w:tr w14:paraId="586D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Merge w:val="continue"/>
                  <w:vAlign w:val="center"/>
                </w:tcPr>
                <w:p w14:paraId="67C7513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614" w:type="dxa"/>
                  <w:vMerge w:val="continue"/>
                  <w:vAlign w:val="center"/>
                </w:tcPr>
                <w:p w14:paraId="2AFF5D4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20" w:type="dxa"/>
                  <w:vMerge w:val="continue"/>
                  <w:vAlign w:val="center"/>
                </w:tcPr>
                <w:p w14:paraId="0BB12DD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885" w:type="dxa"/>
                  <w:shd w:val="clear" w:color="auto" w:fill="auto"/>
                  <w:vAlign w:val="center"/>
                </w:tcPr>
                <w:p w14:paraId="37A9502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3</w:t>
                  </w:r>
                </w:p>
              </w:tc>
              <w:tc>
                <w:tcPr>
                  <w:tcW w:w="825" w:type="dxa"/>
                  <w:vAlign w:val="center"/>
                </w:tcPr>
                <w:p w14:paraId="49DD9BE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2.6</w:t>
                  </w:r>
                </w:p>
              </w:tc>
              <w:tc>
                <w:tcPr>
                  <w:tcW w:w="1278" w:type="dxa"/>
                  <w:vAlign w:val="center"/>
                </w:tcPr>
                <w:p w14:paraId="68CF44A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color w:val="auto"/>
                      <w:sz w:val="21"/>
                      <w:szCs w:val="21"/>
                      <w:vertAlign w:val="baseline"/>
                      <w:lang w:val="en-US"/>
                    </w:rPr>
                  </w:pPr>
                  <w:r>
                    <w:rPr>
                      <w:rFonts w:hint="eastAsia"/>
                      <w:color w:val="auto"/>
                      <w:sz w:val="21"/>
                      <w:szCs w:val="21"/>
                      <w:vertAlign w:val="baseline"/>
                      <w:lang w:val="en-US" w:eastAsia="zh-CN"/>
                    </w:rPr>
                    <w:t>0.141</w:t>
                  </w:r>
                </w:p>
              </w:tc>
              <w:tc>
                <w:tcPr>
                  <w:tcW w:w="793" w:type="dxa"/>
                  <w:vAlign w:val="center"/>
                </w:tcPr>
                <w:p w14:paraId="36B0F262">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54345</w:t>
                  </w:r>
                </w:p>
              </w:tc>
              <w:tc>
                <w:tcPr>
                  <w:tcW w:w="775" w:type="dxa"/>
                  <w:vMerge w:val="continue"/>
                  <w:vAlign w:val="center"/>
                </w:tcPr>
                <w:p w14:paraId="7C331A6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75" w:type="dxa"/>
                  <w:vMerge w:val="continue"/>
                  <w:vAlign w:val="center"/>
                </w:tcPr>
                <w:p w14:paraId="5BB4112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93" w:type="dxa"/>
                  <w:vMerge w:val="continue"/>
                  <w:vAlign w:val="center"/>
                </w:tcPr>
                <w:p w14:paraId="605398F5">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r>
            <w:tr w14:paraId="1CFB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Merge w:val="restart"/>
                  <w:vAlign w:val="center"/>
                </w:tcPr>
                <w:p w14:paraId="7ECF3A50">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原料破碎粉尘处理设施出口</w:t>
                  </w:r>
                </w:p>
              </w:tc>
              <w:tc>
                <w:tcPr>
                  <w:tcW w:w="614" w:type="dxa"/>
                  <w:vMerge w:val="restart"/>
                  <w:vAlign w:val="center"/>
                </w:tcPr>
                <w:p w14:paraId="736E562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2020.11.17</w:t>
                  </w:r>
                </w:p>
              </w:tc>
              <w:tc>
                <w:tcPr>
                  <w:tcW w:w="720" w:type="dxa"/>
                  <w:vMerge w:val="restart"/>
                  <w:vAlign w:val="center"/>
                </w:tcPr>
                <w:p w14:paraId="1E09854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低浓度颗粒物低浓度颗粒物</w:t>
                  </w:r>
                </w:p>
              </w:tc>
              <w:tc>
                <w:tcPr>
                  <w:tcW w:w="885" w:type="dxa"/>
                  <w:shd w:val="clear" w:color="auto" w:fill="auto"/>
                  <w:vAlign w:val="center"/>
                </w:tcPr>
                <w:p w14:paraId="4D1B73B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1</w:t>
                  </w:r>
                </w:p>
              </w:tc>
              <w:tc>
                <w:tcPr>
                  <w:tcW w:w="825" w:type="dxa"/>
                  <w:vAlign w:val="center"/>
                </w:tcPr>
                <w:p w14:paraId="0BF37910">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4.3</w:t>
                  </w:r>
                </w:p>
              </w:tc>
              <w:tc>
                <w:tcPr>
                  <w:tcW w:w="1278" w:type="dxa"/>
                  <w:vAlign w:val="center"/>
                </w:tcPr>
                <w:p w14:paraId="2ADBC1B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2.83×10</w:t>
                  </w:r>
                  <w:r>
                    <w:rPr>
                      <w:rFonts w:hint="eastAsia"/>
                      <w:color w:val="auto"/>
                      <w:sz w:val="21"/>
                      <w:szCs w:val="21"/>
                      <w:vertAlign w:val="superscript"/>
                      <w:lang w:val="en-US" w:eastAsia="zh-CN"/>
                    </w:rPr>
                    <w:t>-2</w:t>
                  </w:r>
                </w:p>
              </w:tc>
              <w:tc>
                <w:tcPr>
                  <w:tcW w:w="793" w:type="dxa"/>
                  <w:vAlign w:val="center"/>
                </w:tcPr>
                <w:p w14:paraId="5857C28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6584</w:t>
                  </w:r>
                </w:p>
              </w:tc>
              <w:tc>
                <w:tcPr>
                  <w:tcW w:w="775" w:type="dxa"/>
                  <w:vMerge w:val="restart"/>
                  <w:vAlign w:val="center"/>
                </w:tcPr>
                <w:p w14:paraId="1DB6795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30</w:t>
                  </w:r>
                </w:p>
              </w:tc>
              <w:tc>
                <w:tcPr>
                  <w:tcW w:w="775" w:type="dxa"/>
                  <w:vMerge w:val="restart"/>
                  <w:vAlign w:val="center"/>
                </w:tcPr>
                <w:p w14:paraId="0AB8C0F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1.5</w:t>
                  </w:r>
                </w:p>
              </w:tc>
              <w:tc>
                <w:tcPr>
                  <w:tcW w:w="793" w:type="dxa"/>
                  <w:vMerge w:val="restart"/>
                  <w:vAlign w:val="center"/>
                </w:tcPr>
                <w:p w14:paraId="65B5D6A2">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达标</w:t>
                  </w:r>
                </w:p>
              </w:tc>
            </w:tr>
            <w:tr w14:paraId="63EA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Merge w:val="continue"/>
                  <w:vAlign w:val="center"/>
                </w:tcPr>
                <w:p w14:paraId="17854190">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614" w:type="dxa"/>
                  <w:vMerge w:val="continue"/>
                  <w:vAlign w:val="center"/>
                </w:tcPr>
                <w:p w14:paraId="4A9E716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720" w:type="dxa"/>
                  <w:vMerge w:val="continue"/>
                  <w:vAlign w:val="center"/>
                </w:tcPr>
                <w:p w14:paraId="4B560B92">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885" w:type="dxa"/>
                  <w:shd w:val="clear" w:color="auto" w:fill="auto"/>
                  <w:vAlign w:val="center"/>
                </w:tcPr>
                <w:p w14:paraId="3AD962D4">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2</w:t>
                  </w:r>
                </w:p>
              </w:tc>
              <w:tc>
                <w:tcPr>
                  <w:tcW w:w="825" w:type="dxa"/>
                  <w:vAlign w:val="center"/>
                </w:tcPr>
                <w:p w14:paraId="16C1E204">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5.0</w:t>
                  </w:r>
                </w:p>
              </w:tc>
              <w:tc>
                <w:tcPr>
                  <w:tcW w:w="1278" w:type="dxa"/>
                  <w:vAlign w:val="center"/>
                </w:tcPr>
                <w:p w14:paraId="38EF9B9B">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3.33×10</w:t>
                  </w:r>
                  <w:r>
                    <w:rPr>
                      <w:rFonts w:hint="eastAsia"/>
                      <w:color w:val="auto"/>
                      <w:sz w:val="21"/>
                      <w:szCs w:val="21"/>
                      <w:vertAlign w:val="superscript"/>
                      <w:lang w:val="en-US" w:eastAsia="zh-CN"/>
                    </w:rPr>
                    <w:t>-2</w:t>
                  </w:r>
                </w:p>
              </w:tc>
              <w:tc>
                <w:tcPr>
                  <w:tcW w:w="793" w:type="dxa"/>
                  <w:vAlign w:val="center"/>
                </w:tcPr>
                <w:p w14:paraId="67DBF92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6661</w:t>
                  </w:r>
                </w:p>
              </w:tc>
              <w:tc>
                <w:tcPr>
                  <w:tcW w:w="775" w:type="dxa"/>
                  <w:vMerge w:val="continue"/>
                  <w:vAlign w:val="center"/>
                </w:tcPr>
                <w:p w14:paraId="785600C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75" w:type="dxa"/>
                  <w:vMerge w:val="continue"/>
                  <w:vAlign w:val="center"/>
                </w:tcPr>
                <w:p w14:paraId="7A7A74BB">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93" w:type="dxa"/>
                  <w:vMerge w:val="continue"/>
                  <w:vAlign w:val="center"/>
                </w:tcPr>
                <w:p w14:paraId="6B3EC90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r>
            <w:tr w14:paraId="1ED9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Merge w:val="continue"/>
                  <w:vAlign w:val="center"/>
                </w:tcPr>
                <w:p w14:paraId="2187FE6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614" w:type="dxa"/>
                  <w:vMerge w:val="continue"/>
                  <w:vAlign w:val="center"/>
                </w:tcPr>
                <w:p w14:paraId="659DF7E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20" w:type="dxa"/>
                  <w:vMerge w:val="continue"/>
                  <w:vAlign w:val="center"/>
                </w:tcPr>
                <w:p w14:paraId="42BE3BF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885" w:type="dxa"/>
                  <w:shd w:val="clear" w:color="auto" w:fill="auto"/>
                  <w:vAlign w:val="center"/>
                </w:tcPr>
                <w:p w14:paraId="6A9468B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3</w:t>
                  </w:r>
                </w:p>
              </w:tc>
              <w:tc>
                <w:tcPr>
                  <w:tcW w:w="825" w:type="dxa"/>
                  <w:vAlign w:val="center"/>
                </w:tcPr>
                <w:p w14:paraId="72614FC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3.0</w:t>
                  </w:r>
                </w:p>
              </w:tc>
              <w:tc>
                <w:tcPr>
                  <w:tcW w:w="1278" w:type="dxa"/>
                  <w:vAlign w:val="center"/>
                </w:tcPr>
                <w:p w14:paraId="70E769D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1.99×10</w:t>
                  </w:r>
                  <w:r>
                    <w:rPr>
                      <w:rFonts w:hint="eastAsia"/>
                      <w:color w:val="auto"/>
                      <w:sz w:val="21"/>
                      <w:szCs w:val="21"/>
                      <w:vertAlign w:val="superscript"/>
                      <w:lang w:val="en-US" w:eastAsia="zh-CN"/>
                    </w:rPr>
                    <w:t>-2</w:t>
                  </w:r>
                </w:p>
              </w:tc>
              <w:tc>
                <w:tcPr>
                  <w:tcW w:w="793" w:type="dxa"/>
                  <w:vAlign w:val="center"/>
                </w:tcPr>
                <w:p w14:paraId="041E5DA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6623</w:t>
                  </w:r>
                </w:p>
              </w:tc>
              <w:tc>
                <w:tcPr>
                  <w:tcW w:w="775" w:type="dxa"/>
                  <w:vMerge w:val="continue"/>
                  <w:vAlign w:val="center"/>
                </w:tcPr>
                <w:p w14:paraId="12D1EDF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75" w:type="dxa"/>
                  <w:vMerge w:val="continue"/>
                  <w:vAlign w:val="center"/>
                </w:tcPr>
                <w:p w14:paraId="7448814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93" w:type="dxa"/>
                  <w:vMerge w:val="continue"/>
                  <w:vAlign w:val="center"/>
                </w:tcPr>
                <w:p w14:paraId="7F8930D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r>
            <w:tr w14:paraId="3C12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Merge w:val="restart"/>
                  <w:vAlign w:val="center"/>
                </w:tcPr>
                <w:p w14:paraId="59D2895B">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原料筛分粉尘处理设施出口</w:t>
                  </w:r>
                </w:p>
              </w:tc>
              <w:tc>
                <w:tcPr>
                  <w:tcW w:w="614" w:type="dxa"/>
                  <w:vMerge w:val="continue"/>
                  <w:vAlign w:val="center"/>
                </w:tcPr>
                <w:p w14:paraId="16F91DB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20" w:type="dxa"/>
                  <w:vMerge w:val="restart"/>
                  <w:vAlign w:val="center"/>
                </w:tcPr>
                <w:p w14:paraId="5DA6066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低浓度颗粒物</w:t>
                  </w:r>
                </w:p>
              </w:tc>
              <w:tc>
                <w:tcPr>
                  <w:tcW w:w="885" w:type="dxa"/>
                  <w:shd w:val="clear" w:color="auto" w:fill="auto"/>
                  <w:vAlign w:val="center"/>
                </w:tcPr>
                <w:p w14:paraId="03246DF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1</w:t>
                  </w:r>
                </w:p>
              </w:tc>
              <w:tc>
                <w:tcPr>
                  <w:tcW w:w="825" w:type="dxa"/>
                  <w:vAlign w:val="center"/>
                </w:tcPr>
                <w:p w14:paraId="72D0842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3.3</w:t>
                  </w:r>
                </w:p>
              </w:tc>
              <w:tc>
                <w:tcPr>
                  <w:tcW w:w="1278" w:type="dxa"/>
                  <w:vAlign w:val="center"/>
                </w:tcPr>
                <w:p w14:paraId="668F6790">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3.11×10</w:t>
                  </w:r>
                  <w:r>
                    <w:rPr>
                      <w:rFonts w:hint="eastAsia"/>
                      <w:color w:val="auto"/>
                      <w:sz w:val="21"/>
                      <w:szCs w:val="21"/>
                      <w:vertAlign w:val="superscript"/>
                      <w:lang w:val="en-US" w:eastAsia="zh-CN"/>
                    </w:rPr>
                    <w:t>-2</w:t>
                  </w:r>
                </w:p>
              </w:tc>
              <w:tc>
                <w:tcPr>
                  <w:tcW w:w="793" w:type="dxa"/>
                  <w:vAlign w:val="center"/>
                </w:tcPr>
                <w:p w14:paraId="06DAE7E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9424</w:t>
                  </w:r>
                </w:p>
              </w:tc>
              <w:tc>
                <w:tcPr>
                  <w:tcW w:w="775" w:type="dxa"/>
                  <w:vMerge w:val="restart"/>
                  <w:vAlign w:val="center"/>
                </w:tcPr>
                <w:p w14:paraId="7E60490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30</w:t>
                  </w:r>
                </w:p>
              </w:tc>
              <w:tc>
                <w:tcPr>
                  <w:tcW w:w="775" w:type="dxa"/>
                  <w:vMerge w:val="restart"/>
                  <w:vAlign w:val="center"/>
                </w:tcPr>
                <w:p w14:paraId="53B7031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1.5</w:t>
                  </w:r>
                </w:p>
              </w:tc>
              <w:tc>
                <w:tcPr>
                  <w:tcW w:w="793" w:type="dxa"/>
                  <w:vMerge w:val="restart"/>
                  <w:vAlign w:val="center"/>
                </w:tcPr>
                <w:p w14:paraId="727820F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达标</w:t>
                  </w:r>
                </w:p>
              </w:tc>
            </w:tr>
            <w:tr w14:paraId="7081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Merge w:val="continue"/>
                  <w:vAlign w:val="center"/>
                </w:tcPr>
                <w:p w14:paraId="53DB791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614" w:type="dxa"/>
                  <w:vMerge w:val="continue"/>
                  <w:vAlign w:val="center"/>
                </w:tcPr>
                <w:p w14:paraId="2552E28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720" w:type="dxa"/>
                  <w:vMerge w:val="continue"/>
                  <w:vAlign w:val="center"/>
                </w:tcPr>
                <w:p w14:paraId="125DBDA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885" w:type="dxa"/>
                  <w:shd w:val="clear" w:color="auto" w:fill="auto"/>
                  <w:vAlign w:val="center"/>
                </w:tcPr>
                <w:p w14:paraId="0E05F36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2</w:t>
                  </w:r>
                </w:p>
              </w:tc>
              <w:tc>
                <w:tcPr>
                  <w:tcW w:w="825" w:type="dxa"/>
                  <w:vAlign w:val="center"/>
                </w:tcPr>
                <w:p w14:paraId="3F0E307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1.9</w:t>
                  </w:r>
                </w:p>
              </w:tc>
              <w:tc>
                <w:tcPr>
                  <w:tcW w:w="1278" w:type="dxa"/>
                  <w:vAlign w:val="center"/>
                </w:tcPr>
                <w:p w14:paraId="49CA52B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1.75×10</w:t>
                  </w:r>
                  <w:r>
                    <w:rPr>
                      <w:rFonts w:hint="eastAsia"/>
                      <w:color w:val="auto"/>
                      <w:sz w:val="21"/>
                      <w:szCs w:val="21"/>
                      <w:vertAlign w:val="superscript"/>
                      <w:lang w:val="en-US" w:eastAsia="zh-CN"/>
                    </w:rPr>
                    <w:t>-2</w:t>
                  </w:r>
                </w:p>
              </w:tc>
              <w:tc>
                <w:tcPr>
                  <w:tcW w:w="793" w:type="dxa"/>
                  <w:vAlign w:val="center"/>
                </w:tcPr>
                <w:p w14:paraId="2397FA7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9220</w:t>
                  </w:r>
                </w:p>
              </w:tc>
              <w:tc>
                <w:tcPr>
                  <w:tcW w:w="775" w:type="dxa"/>
                  <w:vMerge w:val="continue"/>
                  <w:vAlign w:val="center"/>
                </w:tcPr>
                <w:p w14:paraId="290AEF10">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75" w:type="dxa"/>
                  <w:vMerge w:val="continue"/>
                  <w:vAlign w:val="center"/>
                </w:tcPr>
                <w:p w14:paraId="17EA153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93" w:type="dxa"/>
                  <w:vMerge w:val="continue"/>
                  <w:vAlign w:val="center"/>
                </w:tcPr>
                <w:p w14:paraId="59E9A592">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r>
            <w:tr w14:paraId="6C6F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90" w:type="dxa"/>
                  <w:vMerge w:val="continue"/>
                  <w:vAlign w:val="center"/>
                </w:tcPr>
                <w:p w14:paraId="0FEB7D2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614" w:type="dxa"/>
                  <w:vMerge w:val="continue"/>
                  <w:vAlign w:val="center"/>
                </w:tcPr>
                <w:p w14:paraId="42CA147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20" w:type="dxa"/>
                  <w:vMerge w:val="continue"/>
                  <w:vAlign w:val="center"/>
                </w:tcPr>
                <w:p w14:paraId="69AF94C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885" w:type="dxa"/>
                  <w:shd w:val="clear" w:color="auto" w:fill="auto"/>
                  <w:vAlign w:val="center"/>
                </w:tcPr>
                <w:p w14:paraId="2F3AF05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3</w:t>
                  </w:r>
                </w:p>
              </w:tc>
              <w:tc>
                <w:tcPr>
                  <w:tcW w:w="825" w:type="dxa"/>
                  <w:vAlign w:val="center"/>
                </w:tcPr>
                <w:p w14:paraId="4624559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2.5</w:t>
                  </w:r>
                </w:p>
              </w:tc>
              <w:tc>
                <w:tcPr>
                  <w:tcW w:w="1278" w:type="dxa"/>
                  <w:vAlign w:val="center"/>
                </w:tcPr>
                <w:p w14:paraId="02A8D0A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2.28×10</w:t>
                  </w:r>
                  <w:r>
                    <w:rPr>
                      <w:rFonts w:hint="eastAsia"/>
                      <w:color w:val="auto"/>
                      <w:sz w:val="21"/>
                      <w:szCs w:val="21"/>
                      <w:vertAlign w:val="superscript"/>
                      <w:lang w:val="en-US" w:eastAsia="zh-CN"/>
                    </w:rPr>
                    <w:t>-2</w:t>
                  </w:r>
                </w:p>
              </w:tc>
              <w:tc>
                <w:tcPr>
                  <w:tcW w:w="793" w:type="dxa"/>
                  <w:vAlign w:val="center"/>
                </w:tcPr>
                <w:p w14:paraId="3C9FFF0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9136</w:t>
                  </w:r>
                </w:p>
              </w:tc>
              <w:tc>
                <w:tcPr>
                  <w:tcW w:w="775" w:type="dxa"/>
                  <w:vMerge w:val="continue"/>
                  <w:vAlign w:val="center"/>
                </w:tcPr>
                <w:p w14:paraId="418B68F7">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75" w:type="dxa"/>
                  <w:vMerge w:val="continue"/>
                  <w:vAlign w:val="center"/>
                </w:tcPr>
                <w:p w14:paraId="1978DCD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93" w:type="dxa"/>
                  <w:vMerge w:val="continue"/>
                  <w:vAlign w:val="center"/>
                </w:tcPr>
                <w:p w14:paraId="6A38E45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r>
            <w:tr w14:paraId="73E2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0" w:type="dxa"/>
                  <w:vMerge w:val="restart"/>
                  <w:vAlign w:val="center"/>
                </w:tcPr>
                <w:p w14:paraId="62240A9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制砂破碎筛分+砂石粉分离粉尘处理设施出口</w:t>
                  </w:r>
                </w:p>
              </w:tc>
              <w:tc>
                <w:tcPr>
                  <w:tcW w:w="614" w:type="dxa"/>
                  <w:vMerge w:val="continue"/>
                  <w:vAlign w:val="center"/>
                </w:tcPr>
                <w:p w14:paraId="6BD331CB">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20" w:type="dxa"/>
                  <w:vMerge w:val="restart"/>
                  <w:vAlign w:val="center"/>
                </w:tcPr>
                <w:p w14:paraId="1C2B3E15">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低浓度颗粒物</w:t>
                  </w:r>
                </w:p>
              </w:tc>
              <w:tc>
                <w:tcPr>
                  <w:tcW w:w="885" w:type="dxa"/>
                  <w:shd w:val="clear" w:color="auto" w:fill="auto"/>
                  <w:vAlign w:val="center"/>
                </w:tcPr>
                <w:p w14:paraId="63E6F39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1</w:t>
                  </w:r>
                </w:p>
              </w:tc>
              <w:tc>
                <w:tcPr>
                  <w:tcW w:w="825" w:type="dxa"/>
                  <w:vAlign w:val="center"/>
                </w:tcPr>
                <w:p w14:paraId="32E6FDAB">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1.7</w:t>
                  </w:r>
                </w:p>
              </w:tc>
              <w:tc>
                <w:tcPr>
                  <w:tcW w:w="1278" w:type="dxa"/>
                  <w:vAlign w:val="center"/>
                </w:tcPr>
                <w:p w14:paraId="06E771E0">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9.75×10</w:t>
                  </w:r>
                  <w:r>
                    <w:rPr>
                      <w:rFonts w:hint="eastAsia"/>
                      <w:color w:val="auto"/>
                      <w:sz w:val="21"/>
                      <w:szCs w:val="21"/>
                      <w:vertAlign w:val="superscript"/>
                      <w:lang w:val="en-US" w:eastAsia="zh-CN"/>
                    </w:rPr>
                    <w:t>-2</w:t>
                  </w:r>
                </w:p>
              </w:tc>
              <w:tc>
                <w:tcPr>
                  <w:tcW w:w="793" w:type="dxa"/>
                  <w:vAlign w:val="center"/>
                </w:tcPr>
                <w:p w14:paraId="3A4202C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57358</w:t>
                  </w:r>
                </w:p>
              </w:tc>
              <w:tc>
                <w:tcPr>
                  <w:tcW w:w="775" w:type="dxa"/>
                  <w:vMerge w:val="restart"/>
                  <w:vAlign w:val="center"/>
                </w:tcPr>
                <w:p w14:paraId="2CC336F0">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30</w:t>
                  </w:r>
                </w:p>
              </w:tc>
              <w:tc>
                <w:tcPr>
                  <w:tcW w:w="775" w:type="dxa"/>
                  <w:vMerge w:val="restart"/>
                  <w:vAlign w:val="center"/>
                </w:tcPr>
                <w:p w14:paraId="1604482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1.5</w:t>
                  </w:r>
                </w:p>
              </w:tc>
              <w:tc>
                <w:tcPr>
                  <w:tcW w:w="793" w:type="dxa"/>
                  <w:vMerge w:val="restart"/>
                  <w:vAlign w:val="center"/>
                </w:tcPr>
                <w:p w14:paraId="247FCFD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达标</w:t>
                  </w:r>
                </w:p>
              </w:tc>
            </w:tr>
            <w:tr w14:paraId="537F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90" w:type="dxa"/>
                  <w:vMerge w:val="continue"/>
                  <w:vAlign w:val="center"/>
                </w:tcPr>
                <w:p w14:paraId="17BB4CB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614" w:type="dxa"/>
                  <w:vMerge w:val="continue"/>
                  <w:vAlign w:val="center"/>
                </w:tcPr>
                <w:p w14:paraId="76A9692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720" w:type="dxa"/>
                  <w:vMerge w:val="continue"/>
                  <w:vAlign w:val="center"/>
                </w:tcPr>
                <w:p w14:paraId="03AC4EF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885" w:type="dxa"/>
                  <w:shd w:val="clear" w:color="auto" w:fill="auto"/>
                  <w:vAlign w:val="center"/>
                </w:tcPr>
                <w:p w14:paraId="1897E622">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2</w:t>
                  </w:r>
                </w:p>
              </w:tc>
              <w:tc>
                <w:tcPr>
                  <w:tcW w:w="825" w:type="dxa"/>
                  <w:vAlign w:val="center"/>
                </w:tcPr>
                <w:p w14:paraId="2F02C11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1.7</w:t>
                  </w:r>
                </w:p>
              </w:tc>
              <w:tc>
                <w:tcPr>
                  <w:tcW w:w="1278" w:type="dxa"/>
                  <w:vAlign w:val="center"/>
                </w:tcPr>
                <w:p w14:paraId="17FB0D64">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r>
                    <w:rPr>
                      <w:rFonts w:hint="eastAsia"/>
                      <w:color w:val="auto"/>
                      <w:sz w:val="21"/>
                      <w:szCs w:val="21"/>
                      <w:vertAlign w:val="baseline"/>
                      <w:lang w:val="en-US" w:eastAsia="zh-CN"/>
                    </w:rPr>
                    <w:t>9.76×10</w:t>
                  </w:r>
                  <w:r>
                    <w:rPr>
                      <w:rFonts w:hint="eastAsia"/>
                      <w:color w:val="auto"/>
                      <w:sz w:val="21"/>
                      <w:szCs w:val="21"/>
                      <w:vertAlign w:val="superscript"/>
                      <w:lang w:val="en-US" w:eastAsia="zh-CN"/>
                    </w:rPr>
                    <w:t>-2</w:t>
                  </w:r>
                </w:p>
              </w:tc>
              <w:tc>
                <w:tcPr>
                  <w:tcW w:w="793" w:type="dxa"/>
                  <w:vAlign w:val="center"/>
                </w:tcPr>
                <w:p w14:paraId="7FDCE90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57401</w:t>
                  </w:r>
                </w:p>
              </w:tc>
              <w:tc>
                <w:tcPr>
                  <w:tcW w:w="775" w:type="dxa"/>
                  <w:vMerge w:val="continue"/>
                  <w:vAlign w:val="center"/>
                </w:tcPr>
                <w:p w14:paraId="2D9EE25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75" w:type="dxa"/>
                  <w:vMerge w:val="continue"/>
                  <w:vAlign w:val="center"/>
                </w:tcPr>
                <w:p w14:paraId="3E62EF6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93" w:type="dxa"/>
                  <w:vMerge w:val="continue"/>
                  <w:vAlign w:val="center"/>
                </w:tcPr>
                <w:p w14:paraId="60DBA62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r>
            <w:tr w14:paraId="7B72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Merge w:val="continue"/>
                  <w:vAlign w:val="center"/>
                </w:tcPr>
                <w:p w14:paraId="366C67C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614" w:type="dxa"/>
                  <w:vMerge w:val="continue"/>
                  <w:vAlign w:val="center"/>
                </w:tcPr>
                <w:p w14:paraId="50FAA172">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20" w:type="dxa"/>
                  <w:vMerge w:val="continue"/>
                  <w:vAlign w:val="center"/>
                </w:tcPr>
                <w:p w14:paraId="26B9166D">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885" w:type="dxa"/>
                  <w:shd w:val="clear" w:color="auto" w:fill="auto"/>
                  <w:vAlign w:val="center"/>
                </w:tcPr>
                <w:p w14:paraId="3C552A0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3</w:t>
                  </w:r>
                </w:p>
              </w:tc>
              <w:tc>
                <w:tcPr>
                  <w:tcW w:w="825" w:type="dxa"/>
                  <w:vAlign w:val="center"/>
                </w:tcPr>
                <w:p w14:paraId="4DB3740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2.1</w:t>
                  </w:r>
                </w:p>
              </w:tc>
              <w:tc>
                <w:tcPr>
                  <w:tcW w:w="1278" w:type="dxa"/>
                  <w:vAlign w:val="center"/>
                </w:tcPr>
                <w:p w14:paraId="1654F220">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color w:val="auto"/>
                      <w:sz w:val="21"/>
                      <w:szCs w:val="21"/>
                      <w:vertAlign w:val="baseline"/>
                      <w:lang w:val="en-US"/>
                    </w:rPr>
                  </w:pPr>
                  <w:r>
                    <w:rPr>
                      <w:rFonts w:hint="eastAsia"/>
                      <w:color w:val="auto"/>
                      <w:sz w:val="21"/>
                      <w:szCs w:val="21"/>
                      <w:vertAlign w:val="baseline"/>
                      <w:lang w:val="en-US" w:eastAsia="zh-CN"/>
                    </w:rPr>
                    <w:t>0.1.21</w:t>
                  </w:r>
                </w:p>
              </w:tc>
              <w:tc>
                <w:tcPr>
                  <w:tcW w:w="793" w:type="dxa"/>
                  <w:vAlign w:val="center"/>
                </w:tcPr>
                <w:p w14:paraId="5730AAF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57409</w:t>
                  </w:r>
                </w:p>
              </w:tc>
              <w:tc>
                <w:tcPr>
                  <w:tcW w:w="775" w:type="dxa"/>
                  <w:vMerge w:val="continue"/>
                  <w:vAlign w:val="center"/>
                </w:tcPr>
                <w:p w14:paraId="5253B244">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75" w:type="dxa"/>
                  <w:vMerge w:val="continue"/>
                  <w:vAlign w:val="center"/>
                </w:tcPr>
                <w:p w14:paraId="4E2813C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c>
                <w:tcPr>
                  <w:tcW w:w="793" w:type="dxa"/>
                  <w:vMerge w:val="continue"/>
                  <w:vAlign w:val="center"/>
                </w:tcPr>
                <w:p w14:paraId="7B95A7A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vertAlign w:val="baseline"/>
                    </w:rPr>
                  </w:pPr>
                </w:p>
              </w:tc>
            </w:tr>
          </w:tbl>
          <w:p w14:paraId="4F45AA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lang w:val="en-US" w:eastAsia="zh-CN"/>
              </w:rPr>
            </w:pPr>
            <w:r>
              <w:rPr>
                <w:rFonts w:hint="eastAsia"/>
                <w:b/>
                <w:bCs/>
                <w:color w:val="auto"/>
                <w:lang w:val="en-US" w:eastAsia="zh-CN"/>
              </w:rPr>
              <w:t xml:space="preserve">表2-10  </w:t>
            </w:r>
            <w:r>
              <w:rPr>
                <w:rFonts w:hint="eastAsia"/>
                <w:b/>
                <w:bCs/>
                <w:color w:val="auto"/>
              </w:rPr>
              <w:t>现有验收工程</w:t>
            </w:r>
            <w:r>
              <w:rPr>
                <w:rFonts w:hint="eastAsia"/>
                <w:b/>
                <w:bCs/>
                <w:color w:val="auto"/>
                <w:lang w:val="en-US" w:eastAsia="zh-CN"/>
              </w:rPr>
              <w:t>大气污染物无组织排放浓度监测结果</w:t>
            </w:r>
          </w:p>
          <w:tbl>
            <w:tblPr>
              <w:tblStyle w:val="27"/>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51"/>
              <w:gridCol w:w="1080"/>
              <w:gridCol w:w="916"/>
              <w:gridCol w:w="917"/>
              <w:gridCol w:w="918"/>
              <w:gridCol w:w="917"/>
              <w:gridCol w:w="917"/>
              <w:gridCol w:w="917"/>
            </w:tblGrid>
            <w:tr w14:paraId="0971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restart"/>
                  <w:vAlign w:val="center"/>
                </w:tcPr>
                <w:p w14:paraId="28D958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监测日期</w:t>
                  </w:r>
                </w:p>
              </w:tc>
              <w:tc>
                <w:tcPr>
                  <w:tcW w:w="751" w:type="dxa"/>
                  <w:vMerge w:val="restart"/>
                  <w:vAlign w:val="center"/>
                </w:tcPr>
                <w:p w14:paraId="666B1C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监测项目</w:t>
                  </w:r>
                </w:p>
              </w:tc>
              <w:tc>
                <w:tcPr>
                  <w:tcW w:w="3831" w:type="dxa"/>
                  <w:gridSpan w:val="4"/>
                  <w:vAlign w:val="center"/>
                </w:tcPr>
                <w:p w14:paraId="33A86D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rPr>
                  </w:pPr>
                  <w:r>
                    <w:rPr>
                      <w:rFonts w:hint="eastAsia"/>
                      <w:b/>
                      <w:bCs/>
                      <w:color w:val="auto"/>
                      <w:sz w:val="21"/>
                      <w:szCs w:val="21"/>
                      <w:vertAlign w:val="baseline"/>
                      <w:lang w:val="en-US" w:eastAsia="zh-CN"/>
                    </w:rPr>
                    <w:t>监测点位（mg/m</w:t>
                  </w:r>
                  <w:r>
                    <w:rPr>
                      <w:rFonts w:hint="eastAsia"/>
                      <w:b/>
                      <w:bCs/>
                      <w:color w:val="auto"/>
                      <w:sz w:val="21"/>
                      <w:szCs w:val="21"/>
                      <w:vertAlign w:val="superscript"/>
                      <w:lang w:val="en-US" w:eastAsia="zh-CN"/>
                    </w:rPr>
                    <w:t>3</w:t>
                  </w:r>
                  <w:r>
                    <w:rPr>
                      <w:rFonts w:hint="eastAsia"/>
                      <w:b/>
                      <w:bCs/>
                      <w:color w:val="auto"/>
                      <w:sz w:val="21"/>
                      <w:szCs w:val="21"/>
                      <w:vertAlign w:val="baseline"/>
                      <w:lang w:val="en-US" w:eastAsia="zh-CN"/>
                    </w:rPr>
                    <w:t>）</w:t>
                  </w:r>
                </w:p>
              </w:tc>
              <w:tc>
                <w:tcPr>
                  <w:tcW w:w="917" w:type="dxa"/>
                  <w:vMerge w:val="restart"/>
                  <w:vAlign w:val="center"/>
                </w:tcPr>
                <w:p w14:paraId="2A09BE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浓度最大值（mg/m</w:t>
                  </w:r>
                  <w:r>
                    <w:rPr>
                      <w:rFonts w:hint="eastAsia"/>
                      <w:b/>
                      <w:bCs/>
                      <w:color w:val="auto"/>
                      <w:sz w:val="21"/>
                      <w:szCs w:val="21"/>
                      <w:vertAlign w:val="superscript"/>
                      <w:lang w:val="en-US" w:eastAsia="zh-CN"/>
                    </w:rPr>
                    <w:t>3</w:t>
                  </w:r>
                  <w:r>
                    <w:rPr>
                      <w:rFonts w:hint="eastAsia"/>
                      <w:b/>
                      <w:bCs/>
                      <w:color w:val="auto"/>
                      <w:sz w:val="21"/>
                      <w:szCs w:val="21"/>
                      <w:vertAlign w:val="baseline"/>
                      <w:lang w:val="en-US" w:eastAsia="zh-CN"/>
                    </w:rPr>
                    <w:t>）</w:t>
                  </w:r>
                </w:p>
              </w:tc>
              <w:tc>
                <w:tcPr>
                  <w:tcW w:w="917" w:type="dxa"/>
                  <w:vMerge w:val="restart"/>
                  <w:vAlign w:val="center"/>
                </w:tcPr>
                <w:p w14:paraId="4758D9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标准限值（mg/m</w:t>
                  </w:r>
                  <w:r>
                    <w:rPr>
                      <w:rFonts w:hint="eastAsia"/>
                      <w:b/>
                      <w:bCs/>
                      <w:color w:val="auto"/>
                      <w:sz w:val="21"/>
                      <w:szCs w:val="21"/>
                      <w:vertAlign w:val="superscript"/>
                      <w:lang w:val="en-US" w:eastAsia="zh-CN"/>
                    </w:rPr>
                    <w:t>3</w:t>
                  </w:r>
                  <w:r>
                    <w:rPr>
                      <w:rFonts w:hint="eastAsia"/>
                      <w:b/>
                      <w:bCs/>
                      <w:color w:val="auto"/>
                      <w:sz w:val="21"/>
                      <w:szCs w:val="21"/>
                      <w:vertAlign w:val="baseline"/>
                      <w:lang w:val="en-US" w:eastAsia="zh-CN"/>
                    </w:rPr>
                    <w:t>）</w:t>
                  </w:r>
                </w:p>
              </w:tc>
              <w:tc>
                <w:tcPr>
                  <w:tcW w:w="917" w:type="dxa"/>
                  <w:vMerge w:val="restart"/>
                  <w:vAlign w:val="center"/>
                </w:tcPr>
                <w:p w14:paraId="1E872F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达标情况</w:t>
                  </w:r>
                </w:p>
              </w:tc>
            </w:tr>
            <w:tr w14:paraId="064C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vAlign w:val="center"/>
                </w:tcPr>
                <w:p w14:paraId="0491EE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p>
              </w:tc>
              <w:tc>
                <w:tcPr>
                  <w:tcW w:w="751" w:type="dxa"/>
                  <w:vMerge w:val="continue"/>
                  <w:vAlign w:val="center"/>
                </w:tcPr>
                <w:p w14:paraId="6EA6DF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p>
              </w:tc>
              <w:tc>
                <w:tcPr>
                  <w:tcW w:w="1080" w:type="dxa"/>
                  <w:vAlign w:val="center"/>
                </w:tcPr>
                <w:p w14:paraId="2FE1D4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厂界上风向G1</w:t>
                  </w:r>
                </w:p>
              </w:tc>
              <w:tc>
                <w:tcPr>
                  <w:tcW w:w="916" w:type="dxa"/>
                  <w:vAlign w:val="center"/>
                </w:tcPr>
                <w:p w14:paraId="1C1CF3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厂界下风G2</w:t>
                  </w:r>
                </w:p>
              </w:tc>
              <w:tc>
                <w:tcPr>
                  <w:tcW w:w="917" w:type="dxa"/>
                  <w:vAlign w:val="center"/>
                </w:tcPr>
                <w:p w14:paraId="5B6E0E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厂界下风向G3</w:t>
                  </w:r>
                </w:p>
              </w:tc>
              <w:tc>
                <w:tcPr>
                  <w:tcW w:w="918" w:type="dxa"/>
                  <w:vAlign w:val="center"/>
                </w:tcPr>
                <w:p w14:paraId="22F935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厂界下风向G3</w:t>
                  </w:r>
                </w:p>
              </w:tc>
              <w:tc>
                <w:tcPr>
                  <w:tcW w:w="917" w:type="dxa"/>
                  <w:vMerge w:val="continue"/>
                  <w:vAlign w:val="center"/>
                </w:tcPr>
                <w:p w14:paraId="2A74A2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val="en-US" w:eastAsia="zh-CN"/>
                    </w:rPr>
                  </w:pPr>
                </w:p>
              </w:tc>
              <w:tc>
                <w:tcPr>
                  <w:tcW w:w="917" w:type="dxa"/>
                  <w:vMerge w:val="continue"/>
                  <w:vAlign w:val="center"/>
                </w:tcPr>
                <w:p w14:paraId="20E755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val="en-US" w:eastAsia="zh-CN"/>
                    </w:rPr>
                  </w:pPr>
                </w:p>
              </w:tc>
              <w:tc>
                <w:tcPr>
                  <w:tcW w:w="917" w:type="dxa"/>
                  <w:vMerge w:val="continue"/>
                  <w:vAlign w:val="center"/>
                </w:tcPr>
                <w:p w14:paraId="44B25A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val="en-US" w:eastAsia="zh-CN"/>
                    </w:rPr>
                  </w:pPr>
                </w:p>
              </w:tc>
            </w:tr>
            <w:tr w14:paraId="6A00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restart"/>
                  <w:vAlign w:val="center"/>
                </w:tcPr>
                <w:p w14:paraId="08CCDC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2020.11.16</w:t>
                  </w:r>
                </w:p>
              </w:tc>
              <w:tc>
                <w:tcPr>
                  <w:tcW w:w="751" w:type="dxa"/>
                  <w:vMerge w:val="restart"/>
                  <w:vAlign w:val="center"/>
                </w:tcPr>
                <w:p w14:paraId="41958A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颗粒物</w:t>
                  </w:r>
                </w:p>
              </w:tc>
              <w:tc>
                <w:tcPr>
                  <w:tcW w:w="1080" w:type="dxa"/>
                  <w:vAlign w:val="center"/>
                </w:tcPr>
                <w:p w14:paraId="6FF540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0.250</w:t>
                  </w:r>
                </w:p>
              </w:tc>
              <w:tc>
                <w:tcPr>
                  <w:tcW w:w="916" w:type="dxa"/>
                  <w:vAlign w:val="center"/>
                </w:tcPr>
                <w:p w14:paraId="65E72E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0.333</w:t>
                  </w:r>
                </w:p>
              </w:tc>
              <w:tc>
                <w:tcPr>
                  <w:tcW w:w="917" w:type="dxa"/>
                  <w:vAlign w:val="center"/>
                </w:tcPr>
                <w:p w14:paraId="30CABB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0.350</w:t>
                  </w:r>
                </w:p>
              </w:tc>
              <w:tc>
                <w:tcPr>
                  <w:tcW w:w="918" w:type="dxa"/>
                  <w:vAlign w:val="center"/>
                </w:tcPr>
                <w:p w14:paraId="34A789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0.383</w:t>
                  </w:r>
                </w:p>
              </w:tc>
              <w:tc>
                <w:tcPr>
                  <w:tcW w:w="917" w:type="dxa"/>
                  <w:vMerge w:val="restart"/>
                  <w:vAlign w:val="center"/>
                </w:tcPr>
                <w:p w14:paraId="0F15F0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0.483</w:t>
                  </w:r>
                </w:p>
              </w:tc>
              <w:tc>
                <w:tcPr>
                  <w:tcW w:w="917" w:type="dxa"/>
                  <w:vMerge w:val="restart"/>
                  <w:vAlign w:val="center"/>
                </w:tcPr>
                <w:p w14:paraId="515EFC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0.5</w:t>
                  </w:r>
                </w:p>
              </w:tc>
              <w:tc>
                <w:tcPr>
                  <w:tcW w:w="917" w:type="dxa"/>
                  <w:vMerge w:val="restart"/>
                  <w:vAlign w:val="center"/>
                </w:tcPr>
                <w:p w14:paraId="339062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r>
                    <w:rPr>
                      <w:rFonts w:hint="eastAsia"/>
                      <w:color w:val="auto"/>
                      <w:sz w:val="21"/>
                      <w:szCs w:val="21"/>
                      <w:vertAlign w:val="baseline"/>
                      <w:lang w:val="en-US" w:eastAsia="zh-CN"/>
                    </w:rPr>
                    <w:t>达标</w:t>
                  </w:r>
                </w:p>
              </w:tc>
            </w:tr>
            <w:tr w14:paraId="0FC5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vAlign w:val="center"/>
                </w:tcPr>
                <w:p w14:paraId="264D96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751" w:type="dxa"/>
                  <w:vMerge w:val="continue"/>
                  <w:vAlign w:val="center"/>
                </w:tcPr>
                <w:p w14:paraId="20C8DE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1080" w:type="dxa"/>
                  <w:vAlign w:val="center"/>
                </w:tcPr>
                <w:p w14:paraId="056B46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0.267</w:t>
                  </w:r>
                </w:p>
              </w:tc>
              <w:tc>
                <w:tcPr>
                  <w:tcW w:w="916" w:type="dxa"/>
                  <w:vAlign w:val="center"/>
                </w:tcPr>
                <w:p w14:paraId="2BB307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0.350</w:t>
                  </w:r>
                </w:p>
              </w:tc>
              <w:tc>
                <w:tcPr>
                  <w:tcW w:w="917" w:type="dxa"/>
                  <w:vAlign w:val="center"/>
                </w:tcPr>
                <w:p w14:paraId="3E0A6E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0.367</w:t>
                  </w:r>
                </w:p>
              </w:tc>
              <w:tc>
                <w:tcPr>
                  <w:tcW w:w="918" w:type="dxa"/>
                  <w:vAlign w:val="center"/>
                </w:tcPr>
                <w:p w14:paraId="66E07B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0.433</w:t>
                  </w:r>
                </w:p>
              </w:tc>
              <w:tc>
                <w:tcPr>
                  <w:tcW w:w="917" w:type="dxa"/>
                  <w:vMerge w:val="continue"/>
                  <w:vAlign w:val="center"/>
                </w:tcPr>
                <w:p w14:paraId="1E3875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917" w:type="dxa"/>
                  <w:vMerge w:val="continue"/>
                  <w:vAlign w:val="center"/>
                </w:tcPr>
                <w:p w14:paraId="785E7E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917" w:type="dxa"/>
                  <w:vMerge w:val="continue"/>
                  <w:vAlign w:val="center"/>
                </w:tcPr>
                <w:p w14:paraId="2CE005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r>
            <w:tr w14:paraId="2246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vAlign w:val="center"/>
                </w:tcPr>
                <w:p w14:paraId="7645CF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p>
              </w:tc>
              <w:tc>
                <w:tcPr>
                  <w:tcW w:w="751" w:type="dxa"/>
                  <w:vMerge w:val="continue"/>
                  <w:vAlign w:val="center"/>
                </w:tcPr>
                <w:p w14:paraId="0461E2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1080" w:type="dxa"/>
                  <w:vAlign w:val="center"/>
                </w:tcPr>
                <w:p w14:paraId="2887D0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0.283</w:t>
                  </w:r>
                </w:p>
              </w:tc>
              <w:tc>
                <w:tcPr>
                  <w:tcW w:w="916" w:type="dxa"/>
                  <w:vAlign w:val="center"/>
                </w:tcPr>
                <w:p w14:paraId="500B8C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0.383</w:t>
                  </w:r>
                </w:p>
              </w:tc>
              <w:tc>
                <w:tcPr>
                  <w:tcW w:w="917" w:type="dxa"/>
                  <w:vAlign w:val="center"/>
                </w:tcPr>
                <w:p w14:paraId="25DFA0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0.383</w:t>
                  </w:r>
                </w:p>
              </w:tc>
              <w:tc>
                <w:tcPr>
                  <w:tcW w:w="918" w:type="dxa"/>
                  <w:vAlign w:val="center"/>
                </w:tcPr>
                <w:p w14:paraId="7892EF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0.483</w:t>
                  </w:r>
                </w:p>
              </w:tc>
              <w:tc>
                <w:tcPr>
                  <w:tcW w:w="917" w:type="dxa"/>
                  <w:vMerge w:val="continue"/>
                  <w:vAlign w:val="center"/>
                </w:tcPr>
                <w:p w14:paraId="3EF97D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917" w:type="dxa"/>
                  <w:vMerge w:val="continue"/>
                  <w:vAlign w:val="center"/>
                </w:tcPr>
                <w:p w14:paraId="2D8EA3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917" w:type="dxa"/>
                  <w:vMerge w:val="continue"/>
                  <w:vAlign w:val="center"/>
                </w:tcPr>
                <w:p w14:paraId="63D7FE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r>
            <w:tr w14:paraId="0442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restart"/>
                  <w:vAlign w:val="center"/>
                </w:tcPr>
                <w:p w14:paraId="2BCB44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r>
                    <w:rPr>
                      <w:rFonts w:hint="eastAsia"/>
                      <w:color w:val="auto"/>
                      <w:sz w:val="21"/>
                      <w:szCs w:val="21"/>
                      <w:vertAlign w:val="baseline"/>
                      <w:lang w:val="en-US" w:eastAsia="zh-CN"/>
                    </w:rPr>
                    <w:t>2020.11.17</w:t>
                  </w:r>
                </w:p>
              </w:tc>
              <w:tc>
                <w:tcPr>
                  <w:tcW w:w="751" w:type="dxa"/>
                  <w:vMerge w:val="continue"/>
                  <w:vAlign w:val="center"/>
                </w:tcPr>
                <w:p w14:paraId="172A17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1080" w:type="dxa"/>
                  <w:vAlign w:val="center"/>
                </w:tcPr>
                <w:p w14:paraId="6D0AB1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0.250</w:t>
                  </w:r>
                </w:p>
              </w:tc>
              <w:tc>
                <w:tcPr>
                  <w:tcW w:w="916" w:type="dxa"/>
                  <w:vAlign w:val="center"/>
                </w:tcPr>
                <w:p w14:paraId="46752F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0.333</w:t>
                  </w:r>
                </w:p>
              </w:tc>
              <w:tc>
                <w:tcPr>
                  <w:tcW w:w="917" w:type="dxa"/>
                  <w:vAlign w:val="center"/>
                </w:tcPr>
                <w:p w14:paraId="36CD00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0.350</w:t>
                  </w:r>
                </w:p>
              </w:tc>
              <w:tc>
                <w:tcPr>
                  <w:tcW w:w="918" w:type="dxa"/>
                  <w:vAlign w:val="center"/>
                </w:tcPr>
                <w:p w14:paraId="1DD972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0.367</w:t>
                  </w:r>
                </w:p>
              </w:tc>
              <w:tc>
                <w:tcPr>
                  <w:tcW w:w="917" w:type="dxa"/>
                  <w:vMerge w:val="restart"/>
                  <w:vAlign w:val="center"/>
                </w:tcPr>
                <w:p w14:paraId="160C4C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0.483</w:t>
                  </w:r>
                </w:p>
              </w:tc>
              <w:tc>
                <w:tcPr>
                  <w:tcW w:w="917" w:type="dxa"/>
                  <w:vMerge w:val="restart"/>
                  <w:vAlign w:val="center"/>
                </w:tcPr>
                <w:p w14:paraId="568594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r>
                    <w:rPr>
                      <w:rFonts w:hint="eastAsia"/>
                      <w:color w:val="auto"/>
                      <w:sz w:val="21"/>
                      <w:szCs w:val="21"/>
                      <w:vertAlign w:val="baseline"/>
                      <w:lang w:val="en-US" w:eastAsia="zh-CN"/>
                    </w:rPr>
                    <w:t>0.5</w:t>
                  </w:r>
                </w:p>
              </w:tc>
              <w:tc>
                <w:tcPr>
                  <w:tcW w:w="917" w:type="dxa"/>
                  <w:vMerge w:val="restart"/>
                  <w:vAlign w:val="center"/>
                </w:tcPr>
                <w:p w14:paraId="793488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r>
                    <w:rPr>
                      <w:rFonts w:hint="eastAsia"/>
                      <w:color w:val="auto"/>
                      <w:sz w:val="21"/>
                      <w:szCs w:val="21"/>
                      <w:vertAlign w:val="baseline"/>
                      <w:lang w:val="en-US" w:eastAsia="zh-CN"/>
                    </w:rPr>
                    <w:t>达标</w:t>
                  </w:r>
                </w:p>
              </w:tc>
            </w:tr>
            <w:tr w14:paraId="0CB2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vAlign w:val="center"/>
                </w:tcPr>
                <w:p w14:paraId="47CA11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751" w:type="dxa"/>
                  <w:vMerge w:val="continue"/>
                  <w:vAlign w:val="center"/>
                </w:tcPr>
                <w:p w14:paraId="771D34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1080" w:type="dxa"/>
                  <w:vAlign w:val="center"/>
                </w:tcPr>
                <w:p w14:paraId="587606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0.283</w:t>
                  </w:r>
                </w:p>
              </w:tc>
              <w:tc>
                <w:tcPr>
                  <w:tcW w:w="916" w:type="dxa"/>
                  <w:vAlign w:val="center"/>
                </w:tcPr>
                <w:p w14:paraId="60B128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0.367</w:t>
                  </w:r>
                </w:p>
              </w:tc>
              <w:tc>
                <w:tcPr>
                  <w:tcW w:w="917" w:type="dxa"/>
                  <w:vAlign w:val="center"/>
                </w:tcPr>
                <w:p w14:paraId="21E351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0.383</w:t>
                  </w:r>
                </w:p>
              </w:tc>
              <w:tc>
                <w:tcPr>
                  <w:tcW w:w="918" w:type="dxa"/>
                  <w:vAlign w:val="center"/>
                </w:tcPr>
                <w:p w14:paraId="4497AE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0.433</w:t>
                  </w:r>
                </w:p>
              </w:tc>
              <w:tc>
                <w:tcPr>
                  <w:tcW w:w="917" w:type="dxa"/>
                  <w:vMerge w:val="continue"/>
                  <w:vAlign w:val="center"/>
                </w:tcPr>
                <w:p w14:paraId="2C5012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917" w:type="dxa"/>
                  <w:vMerge w:val="continue"/>
                  <w:vAlign w:val="center"/>
                </w:tcPr>
                <w:p w14:paraId="515C31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917" w:type="dxa"/>
                  <w:vMerge w:val="continue"/>
                  <w:vAlign w:val="center"/>
                </w:tcPr>
                <w:p w14:paraId="3D74A2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r>
            <w:tr w14:paraId="58E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vAlign w:val="center"/>
                </w:tcPr>
                <w:p w14:paraId="395898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751" w:type="dxa"/>
                  <w:vMerge w:val="continue"/>
                  <w:vAlign w:val="center"/>
                </w:tcPr>
                <w:p w14:paraId="10771C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1080" w:type="dxa"/>
                  <w:vAlign w:val="center"/>
                </w:tcPr>
                <w:p w14:paraId="0F2932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0.283</w:t>
                  </w:r>
                </w:p>
              </w:tc>
              <w:tc>
                <w:tcPr>
                  <w:tcW w:w="916" w:type="dxa"/>
                  <w:vAlign w:val="center"/>
                </w:tcPr>
                <w:p w14:paraId="4E5063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0.433</w:t>
                  </w:r>
                </w:p>
              </w:tc>
              <w:tc>
                <w:tcPr>
                  <w:tcW w:w="917" w:type="dxa"/>
                  <w:vAlign w:val="center"/>
                </w:tcPr>
                <w:p w14:paraId="03644B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0.467</w:t>
                  </w:r>
                </w:p>
              </w:tc>
              <w:tc>
                <w:tcPr>
                  <w:tcW w:w="918" w:type="dxa"/>
                  <w:vAlign w:val="center"/>
                </w:tcPr>
                <w:p w14:paraId="3557DF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0.483.</w:t>
                  </w:r>
                </w:p>
              </w:tc>
              <w:tc>
                <w:tcPr>
                  <w:tcW w:w="917" w:type="dxa"/>
                  <w:vMerge w:val="continue"/>
                  <w:vAlign w:val="center"/>
                </w:tcPr>
                <w:p w14:paraId="719D1E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917" w:type="dxa"/>
                  <w:vMerge w:val="continue"/>
                  <w:vAlign w:val="center"/>
                </w:tcPr>
                <w:p w14:paraId="7B8626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c>
                <w:tcPr>
                  <w:tcW w:w="917" w:type="dxa"/>
                  <w:vMerge w:val="continue"/>
                  <w:vAlign w:val="center"/>
                </w:tcPr>
                <w:p w14:paraId="67B54D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rPr>
                  </w:pPr>
                </w:p>
              </w:tc>
            </w:tr>
          </w:tbl>
          <w:p w14:paraId="5F912C9A">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b/>
                <w:bCs/>
                <w:color w:val="auto"/>
                <w:lang w:val="en-US" w:bidi="zh-CN"/>
              </w:rPr>
            </w:pPr>
            <w:r>
              <w:rPr>
                <w:rFonts w:hint="eastAsia"/>
                <w:b/>
                <w:bCs/>
                <w:color w:val="auto"/>
                <w:lang w:val="en-US" w:bidi="zh-CN"/>
              </w:rPr>
              <w:t xml:space="preserve">表2-10  </w:t>
            </w:r>
            <w:r>
              <w:rPr>
                <w:rFonts w:hint="eastAsia"/>
                <w:b/>
                <w:bCs/>
                <w:color w:val="auto"/>
              </w:rPr>
              <w:t>现有验收工程</w:t>
            </w:r>
            <w:r>
              <w:rPr>
                <w:rFonts w:hint="eastAsia"/>
                <w:b/>
                <w:bCs/>
                <w:color w:val="auto"/>
                <w:lang w:val="en-US" w:bidi="zh-CN"/>
              </w:rPr>
              <w:t>废气执行标准一览表</w:t>
            </w:r>
          </w:p>
          <w:tbl>
            <w:tblPr>
              <w:tblStyle w:val="27"/>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178"/>
              <w:gridCol w:w="1178"/>
              <w:gridCol w:w="1178"/>
              <w:gridCol w:w="1179"/>
              <w:gridCol w:w="1179"/>
              <w:gridCol w:w="1179"/>
            </w:tblGrid>
            <w:tr w14:paraId="341E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77" w:type="dxa"/>
                  <w:vMerge w:val="restart"/>
                  <w:vAlign w:val="center"/>
                </w:tcPr>
                <w:p w14:paraId="68A8E9C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bCs/>
                      <w:color w:val="auto"/>
                      <w:sz w:val="21"/>
                      <w:szCs w:val="21"/>
                      <w:vertAlign w:val="baseline"/>
                      <w:lang w:val="en-US" w:bidi="zh-CN"/>
                    </w:rPr>
                  </w:pPr>
                  <w:r>
                    <w:rPr>
                      <w:rFonts w:hint="eastAsia"/>
                      <w:b/>
                      <w:bCs/>
                      <w:color w:val="auto"/>
                      <w:sz w:val="21"/>
                      <w:szCs w:val="21"/>
                      <w:vertAlign w:val="baseline"/>
                      <w:lang w:val="en-US" w:bidi="zh-CN"/>
                    </w:rPr>
                    <w:t>污染物名称</w:t>
                  </w:r>
                </w:p>
              </w:tc>
              <w:tc>
                <w:tcPr>
                  <w:tcW w:w="3534" w:type="dxa"/>
                  <w:gridSpan w:val="3"/>
                  <w:vAlign w:val="center"/>
                </w:tcPr>
                <w:p w14:paraId="3CAEF1C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default"/>
                      <w:b/>
                      <w:bCs/>
                      <w:color w:val="auto"/>
                      <w:sz w:val="21"/>
                      <w:szCs w:val="21"/>
                      <w:vertAlign w:val="baseline"/>
                      <w:lang w:val="en-US" w:bidi="zh-CN"/>
                    </w:rPr>
                  </w:pPr>
                  <w:r>
                    <w:rPr>
                      <w:rFonts w:hint="eastAsia"/>
                      <w:b/>
                      <w:bCs/>
                      <w:color w:val="auto"/>
                      <w:sz w:val="21"/>
                      <w:szCs w:val="21"/>
                      <w:vertAlign w:val="baseline"/>
                      <w:lang w:val="en-US" w:bidi="zh-CN"/>
                    </w:rPr>
                    <w:t>环评执行标准（DB31/933-2015）</w:t>
                  </w:r>
                </w:p>
              </w:tc>
              <w:tc>
                <w:tcPr>
                  <w:tcW w:w="3537" w:type="dxa"/>
                  <w:gridSpan w:val="3"/>
                  <w:vAlign w:val="center"/>
                </w:tcPr>
                <w:p w14:paraId="4481077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bCs/>
                      <w:color w:val="auto"/>
                      <w:sz w:val="21"/>
                      <w:szCs w:val="21"/>
                      <w:vertAlign w:val="baseline"/>
                      <w:lang w:val="en-US" w:bidi="zh-CN"/>
                    </w:rPr>
                  </w:pPr>
                  <w:r>
                    <w:rPr>
                      <w:rFonts w:hint="eastAsia"/>
                      <w:b/>
                      <w:bCs/>
                      <w:color w:val="auto"/>
                      <w:sz w:val="21"/>
                      <w:szCs w:val="21"/>
                      <w:vertAlign w:val="baseline"/>
                      <w:lang w:val="en-US" w:bidi="zh-CN"/>
                    </w:rPr>
                    <w:t>现行执行标准（DB34/3576-2020）</w:t>
                  </w:r>
                </w:p>
              </w:tc>
            </w:tr>
            <w:tr w14:paraId="36D2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7" w:type="dxa"/>
                  <w:vMerge w:val="continue"/>
                  <w:vAlign w:val="center"/>
                </w:tcPr>
                <w:p w14:paraId="6CD73CF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color w:val="auto"/>
                    </w:rPr>
                  </w:pPr>
                </w:p>
              </w:tc>
              <w:tc>
                <w:tcPr>
                  <w:tcW w:w="1178" w:type="dxa"/>
                  <w:vAlign w:val="center"/>
                </w:tcPr>
                <w:p w14:paraId="765E41C0">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bCs/>
                      <w:color w:val="auto"/>
                      <w:sz w:val="21"/>
                      <w:szCs w:val="21"/>
                      <w:vertAlign w:val="baseline"/>
                      <w:lang w:val="en-US" w:bidi="zh-CN"/>
                    </w:rPr>
                  </w:pPr>
                  <w:r>
                    <w:rPr>
                      <w:rFonts w:hint="eastAsia"/>
                      <w:b/>
                      <w:bCs/>
                      <w:color w:val="auto"/>
                      <w:sz w:val="21"/>
                      <w:szCs w:val="21"/>
                      <w:vertAlign w:val="baseline"/>
                      <w:lang w:val="en-US" w:bidi="zh-CN"/>
                    </w:rPr>
                    <w:t>最高允许排放浓度</w:t>
                  </w:r>
                  <w:r>
                    <w:rPr>
                      <w:rFonts w:hint="eastAsia"/>
                      <w:b/>
                      <w:bCs/>
                      <w:color w:val="auto"/>
                      <w:sz w:val="21"/>
                      <w:szCs w:val="21"/>
                      <w:vertAlign w:val="baseline"/>
                      <w:lang w:val="en-US" w:eastAsia="zh-CN"/>
                    </w:rPr>
                    <w:t>（mg/m</w:t>
                  </w:r>
                  <w:r>
                    <w:rPr>
                      <w:rFonts w:hint="eastAsia"/>
                      <w:b/>
                      <w:bCs/>
                      <w:color w:val="auto"/>
                      <w:sz w:val="21"/>
                      <w:szCs w:val="21"/>
                      <w:vertAlign w:val="superscript"/>
                      <w:lang w:val="en-US" w:eastAsia="zh-CN"/>
                    </w:rPr>
                    <w:t>3</w:t>
                  </w:r>
                  <w:r>
                    <w:rPr>
                      <w:rFonts w:hint="eastAsia"/>
                      <w:b/>
                      <w:bCs/>
                      <w:color w:val="auto"/>
                      <w:sz w:val="21"/>
                      <w:szCs w:val="21"/>
                      <w:vertAlign w:val="baseline"/>
                      <w:lang w:val="en-US" w:eastAsia="zh-CN"/>
                    </w:rPr>
                    <w:t>）</w:t>
                  </w:r>
                </w:p>
              </w:tc>
              <w:tc>
                <w:tcPr>
                  <w:tcW w:w="1178" w:type="dxa"/>
                  <w:vAlign w:val="center"/>
                </w:tcPr>
                <w:p w14:paraId="17ADCC64">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bCs/>
                      <w:color w:val="auto"/>
                      <w:sz w:val="21"/>
                      <w:szCs w:val="21"/>
                      <w:vertAlign w:val="baseline"/>
                      <w:lang w:val="en-US" w:bidi="zh-CN"/>
                    </w:rPr>
                  </w:pPr>
                  <w:r>
                    <w:rPr>
                      <w:rFonts w:hint="eastAsia"/>
                      <w:b/>
                      <w:bCs/>
                      <w:color w:val="auto"/>
                      <w:sz w:val="21"/>
                      <w:szCs w:val="21"/>
                      <w:vertAlign w:val="baseline"/>
                      <w:lang w:val="en-US" w:bidi="zh-CN"/>
                    </w:rPr>
                    <w:t>最高允许排放浓度（kg/h）</w:t>
                  </w:r>
                </w:p>
              </w:tc>
              <w:tc>
                <w:tcPr>
                  <w:tcW w:w="1178" w:type="dxa"/>
                  <w:vAlign w:val="center"/>
                </w:tcPr>
                <w:p w14:paraId="3FCC70FE">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bCs/>
                      <w:color w:val="auto"/>
                      <w:sz w:val="21"/>
                      <w:szCs w:val="21"/>
                      <w:vertAlign w:val="baseline"/>
                      <w:lang w:val="en-US" w:bidi="zh-CN"/>
                    </w:rPr>
                  </w:pPr>
                  <w:r>
                    <w:rPr>
                      <w:rFonts w:hint="eastAsia"/>
                      <w:b/>
                      <w:bCs/>
                      <w:color w:val="auto"/>
                      <w:sz w:val="21"/>
                      <w:szCs w:val="21"/>
                      <w:vertAlign w:val="baseline"/>
                      <w:lang w:val="en-US" w:bidi="zh-CN"/>
                    </w:rPr>
                    <w:t>无组织排放监控浓度限制</w:t>
                  </w:r>
                  <w:r>
                    <w:rPr>
                      <w:rFonts w:hint="eastAsia"/>
                      <w:b/>
                      <w:bCs/>
                      <w:color w:val="auto"/>
                      <w:sz w:val="21"/>
                      <w:szCs w:val="21"/>
                      <w:vertAlign w:val="baseline"/>
                      <w:lang w:val="en-US" w:eastAsia="zh-CN"/>
                    </w:rPr>
                    <w:t>（mg/m</w:t>
                  </w:r>
                  <w:r>
                    <w:rPr>
                      <w:rFonts w:hint="eastAsia"/>
                      <w:b/>
                      <w:bCs/>
                      <w:color w:val="auto"/>
                      <w:sz w:val="21"/>
                      <w:szCs w:val="21"/>
                      <w:vertAlign w:val="superscript"/>
                      <w:lang w:val="en-US" w:eastAsia="zh-CN"/>
                    </w:rPr>
                    <w:t>3</w:t>
                  </w:r>
                  <w:r>
                    <w:rPr>
                      <w:rFonts w:hint="eastAsia"/>
                      <w:b/>
                      <w:bCs/>
                      <w:color w:val="auto"/>
                      <w:sz w:val="21"/>
                      <w:szCs w:val="21"/>
                      <w:vertAlign w:val="baseline"/>
                      <w:lang w:val="en-US" w:eastAsia="zh-CN"/>
                    </w:rPr>
                    <w:t>）</w:t>
                  </w:r>
                </w:p>
              </w:tc>
              <w:tc>
                <w:tcPr>
                  <w:tcW w:w="1179" w:type="dxa"/>
                  <w:shd w:val="clear" w:color="auto" w:fill="auto"/>
                  <w:vAlign w:val="center"/>
                </w:tcPr>
                <w:p w14:paraId="70441438">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bCs/>
                      <w:color w:val="auto"/>
                      <w:kern w:val="2"/>
                      <w:sz w:val="21"/>
                      <w:szCs w:val="21"/>
                      <w:vertAlign w:val="baseline"/>
                      <w:lang w:val="en-US" w:eastAsia="zh-CN" w:bidi="zh-CN"/>
                    </w:rPr>
                  </w:pPr>
                  <w:r>
                    <w:rPr>
                      <w:rFonts w:hint="eastAsia"/>
                      <w:b/>
                      <w:bCs/>
                      <w:color w:val="auto"/>
                      <w:sz w:val="21"/>
                      <w:szCs w:val="21"/>
                      <w:vertAlign w:val="baseline"/>
                      <w:lang w:val="en-US" w:bidi="zh-CN"/>
                    </w:rPr>
                    <w:t>最高允许排放浓度</w:t>
                  </w:r>
                  <w:r>
                    <w:rPr>
                      <w:rFonts w:hint="eastAsia"/>
                      <w:b/>
                      <w:bCs/>
                      <w:color w:val="auto"/>
                      <w:sz w:val="21"/>
                      <w:szCs w:val="21"/>
                      <w:vertAlign w:val="baseline"/>
                      <w:lang w:val="en-US" w:eastAsia="zh-CN"/>
                    </w:rPr>
                    <w:t>（mg/m</w:t>
                  </w:r>
                  <w:r>
                    <w:rPr>
                      <w:rFonts w:hint="eastAsia"/>
                      <w:b/>
                      <w:bCs/>
                      <w:color w:val="auto"/>
                      <w:sz w:val="21"/>
                      <w:szCs w:val="21"/>
                      <w:vertAlign w:val="superscript"/>
                      <w:lang w:val="en-US" w:eastAsia="zh-CN"/>
                    </w:rPr>
                    <w:t>3</w:t>
                  </w:r>
                  <w:r>
                    <w:rPr>
                      <w:rFonts w:hint="eastAsia"/>
                      <w:b/>
                      <w:bCs/>
                      <w:color w:val="auto"/>
                      <w:sz w:val="21"/>
                      <w:szCs w:val="21"/>
                      <w:vertAlign w:val="baseline"/>
                      <w:lang w:val="en-US" w:eastAsia="zh-CN"/>
                    </w:rPr>
                    <w:t>）</w:t>
                  </w:r>
                </w:p>
              </w:tc>
              <w:tc>
                <w:tcPr>
                  <w:tcW w:w="1179" w:type="dxa"/>
                  <w:shd w:val="clear" w:color="auto" w:fill="auto"/>
                  <w:vAlign w:val="center"/>
                </w:tcPr>
                <w:p w14:paraId="149772DF">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bCs/>
                      <w:color w:val="auto"/>
                      <w:kern w:val="2"/>
                      <w:sz w:val="21"/>
                      <w:szCs w:val="21"/>
                      <w:vertAlign w:val="baseline"/>
                      <w:lang w:val="en-US" w:eastAsia="zh-CN" w:bidi="zh-CN"/>
                    </w:rPr>
                  </w:pPr>
                  <w:r>
                    <w:rPr>
                      <w:rFonts w:hint="eastAsia"/>
                      <w:b/>
                      <w:bCs/>
                      <w:color w:val="auto"/>
                      <w:sz w:val="21"/>
                      <w:szCs w:val="21"/>
                      <w:vertAlign w:val="baseline"/>
                      <w:lang w:val="en-US" w:bidi="zh-CN"/>
                    </w:rPr>
                    <w:t>最高允许排放速率（kg/h）</w:t>
                  </w:r>
                </w:p>
              </w:tc>
              <w:tc>
                <w:tcPr>
                  <w:tcW w:w="1179" w:type="dxa"/>
                  <w:shd w:val="clear" w:color="auto" w:fill="auto"/>
                  <w:vAlign w:val="center"/>
                </w:tcPr>
                <w:p w14:paraId="7587BB2A">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bCs/>
                      <w:color w:val="auto"/>
                      <w:kern w:val="2"/>
                      <w:sz w:val="21"/>
                      <w:szCs w:val="21"/>
                      <w:vertAlign w:val="baseline"/>
                      <w:lang w:val="en-US" w:eastAsia="zh-CN" w:bidi="zh-CN"/>
                    </w:rPr>
                  </w:pPr>
                  <w:r>
                    <w:rPr>
                      <w:rFonts w:hint="eastAsia"/>
                      <w:b/>
                      <w:bCs/>
                      <w:color w:val="auto"/>
                      <w:sz w:val="21"/>
                      <w:szCs w:val="21"/>
                      <w:vertAlign w:val="baseline"/>
                      <w:lang w:val="en-US" w:bidi="zh-CN"/>
                    </w:rPr>
                    <w:t>无组织排放监控浓度限制</w:t>
                  </w:r>
                  <w:r>
                    <w:rPr>
                      <w:rFonts w:hint="eastAsia"/>
                      <w:b/>
                      <w:bCs/>
                      <w:color w:val="auto"/>
                      <w:sz w:val="21"/>
                      <w:szCs w:val="21"/>
                      <w:vertAlign w:val="baseline"/>
                      <w:lang w:val="en-US" w:eastAsia="zh-CN"/>
                    </w:rPr>
                    <w:t>（mg/m</w:t>
                  </w:r>
                  <w:r>
                    <w:rPr>
                      <w:rFonts w:hint="eastAsia"/>
                      <w:b/>
                      <w:bCs/>
                      <w:color w:val="auto"/>
                      <w:sz w:val="21"/>
                      <w:szCs w:val="21"/>
                      <w:vertAlign w:val="superscript"/>
                      <w:lang w:val="en-US" w:eastAsia="zh-CN"/>
                    </w:rPr>
                    <w:t>3</w:t>
                  </w:r>
                  <w:r>
                    <w:rPr>
                      <w:rFonts w:hint="eastAsia"/>
                      <w:b/>
                      <w:bCs/>
                      <w:color w:val="auto"/>
                      <w:sz w:val="21"/>
                      <w:szCs w:val="21"/>
                      <w:vertAlign w:val="baseline"/>
                      <w:lang w:val="en-US" w:eastAsia="zh-CN"/>
                    </w:rPr>
                    <w:t>）</w:t>
                  </w:r>
                </w:p>
              </w:tc>
            </w:tr>
            <w:tr w14:paraId="4BE0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7" w:type="dxa"/>
                  <w:vAlign w:val="center"/>
                </w:tcPr>
                <w:p w14:paraId="0876B5E5">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val="0"/>
                      <w:bCs w:val="0"/>
                      <w:color w:val="auto"/>
                      <w:sz w:val="21"/>
                      <w:szCs w:val="21"/>
                      <w:vertAlign w:val="baseline"/>
                      <w:lang w:val="en-US" w:bidi="zh-CN"/>
                    </w:rPr>
                  </w:pPr>
                  <w:r>
                    <w:rPr>
                      <w:rFonts w:hint="eastAsia"/>
                      <w:b w:val="0"/>
                      <w:bCs w:val="0"/>
                      <w:color w:val="auto"/>
                      <w:sz w:val="21"/>
                      <w:szCs w:val="21"/>
                      <w:vertAlign w:val="baseline"/>
                      <w:lang w:val="en-US" w:bidi="zh-CN"/>
                    </w:rPr>
                    <w:t>颗粒物</w:t>
                  </w:r>
                </w:p>
              </w:tc>
              <w:tc>
                <w:tcPr>
                  <w:tcW w:w="1178" w:type="dxa"/>
                  <w:vAlign w:val="center"/>
                </w:tcPr>
                <w:p w14:paraId="3D015C36">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val="0"/>
                      <w:bCs w:val="0"/>
                      <w:color w:val="auto"/>
                      <w:sz w:val="21"/>
                      <w:szCs w:val="21"/>
                      <w:vertAlign w:val="baseline"/>
                      <w:lang w:val="en-US" w:bidi="zh-CN"/>
                    </w:rPr>
                  </w:pPr>
                  <w:r>
                    <w:rPr>
                      <w:rFonts w:hint="eastAsia"/>
                      <w:b w:val="0"/>
                      <w:bCs w:val="0"/>
                      <w:color w:val="auto"/>
                      <w:sz w:val="21"/>
                      <w:szCs w:val="21"/>
                      <w:vertAlign w:val="baseline"/>
                      <w:lang w:val="en-US" w:bidi="zh-CN"/>
                    </w:rPr>
                    <w:t>30</w:t>
                  </w:r>
                </w:p>
              </w:tc>
              <w:tc>
                <w:tcPr>
                  <w:tcW w:w="1178" w:type="dxa"/>
                  <w:vAlign w:val="center"/>
                </w:tcPr>
                <w:p w14:paraId="75BF4B12">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val="0"/>
                      <w:bCs w:val="0"/>
                      <w:color w:val="auto"/>
                      <w:sz w:val="21"/>
                      <w:szCs w:val="21"/>
                      <w:vertAlign w:val="baseline"/>
                      <w:lang w:val="en-US" w:bidi="zh-CN"/>
                    </w:rPr>
                  </w:pPr>
                  <w:r>
                    <w:rPr>
                      <w:rFonts w:hint="eastAsia"/>
                      <w:b w:val="0"/>
                      <w:bCs w:val="0"/>
                      <w:color w:val="auto"/>
                      <w:sz w:val="21"/>
                      <w:szCs w:val="21"/>
                      <w:vertAlign w:val="baseline"/>
                      <w:lang w:val="en-US" w:bidi="zh-CN"/>
                    </w:rPr>
                    <w:t>1.5</w:t>
                  </w:r>
                </w:p>
              </w:tc>
              <w:tc>
                <w:tcPr>
                  <w:tcW w:w="1178" w:type="dxa"/>
                  <w:vAlign w:val="center"/>
                </w:tcPr>
                <w:p w14:paraId="4C40C57B">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val="0"/>
                      <w:bCs w:val="0"/>
                      <w:color w:val="auto"/>
                      <w:sz w:val="21"/>
                      <w:szCs w:val="21"/>
                      <w:vertAlign w:val="baseline"/>
                      <w:lang w:val="en-US" w:bidi="zh-CN"/>
                    </w:rPr>
                  </w:pPr>
                  <w:r>
                    <w:rPr>
                      <w:rFonts w:hint="eastAsia"/>
                      <w:b w:val="0"/>
                      <w:bCs w:val="0"/>
                      <w:color w:val="auto"/>
                      <w:sz w:val="21"/>
                      <w:szCs w:val="21"/>
                      <w:vertAlign w:val="baseline"/>
                      <w:lang w:val="en-US" w:bidi="zh-CN"/>
                    </w:rPr>
                    <w:t>0.5</w:t>
                  </w:r>
                </w:p>
              </w:tc>
              <w:tc>
                <w:tcPr>
                  <w:tcW w:w="1179" w:type="dxa"/>
                  <w:vAlign w:val="center"/>
                </w:tcPr>
                <w:p w14:paraId="0848CE72">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val="0"/>
                      <w:bCs w:val="0"/>
                      <w:color w:val="auto"/>
                      <w:sz w:val="21"/>
                      <w:szCs w:val="21"/>
                      <w:vertAlign w:val="baseline"/>
                      <w:lang w:val="en-US" w:bidi="zh-CN"/>
                    </w:rPr>
                  </w:pPr>
                  <w:r>
                    <w:rPr>
                      <w:rFonts w:hint="eastAsia"/>
                      <w:b w:val="0"/>
                      <w:bCs w:val="0"/>
                      <w:color w:val="auto"/>
                      <w:sz w:val="21"/>
                      <w:szCs w:val="21"/>
                      <w:vertAlign w:val="baseline"/>
                      <w:lang w:val="en-US" w:bidi="zh-CN"/>
                    </w:rPr>
                    <w:t>10</w:t>
                  </w:r>
                </w:p>
              </w:tc>
              <w:tc>
                <w:tcPr>
                  <w:tcW w:w="1179" w:type="dxa"/>
                  <w:vAlign w:val="center"/>
                </w:tcPr>
                <w:p w14:paraId="38E4FD20">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val="0"/>
                      <w:bCs w:val="0"/>
                      <w:color w:val="auto"/>
                      <w:sz w:val="21"/>
                      <w:szCs w:val="21"/>
                      <w:vertAlign w:val="baseline"/>
                      <w:lang w:val="en-US" w:bidi="zh-CN"/>
                    </w:rPr>
                  </w:pPr>
                  <w:r>
                    <w:rPr>
                      <w:rFonts w:hint="eastAsia"/>
                      <w:b w:val="0"/>
                      <w:bCs w:val="0"/>
                      <w:color w:val="auto"/>
                      <w:sz w:val="21"/>
                      <w:szCs w:val="21"/>
                      <w:vertAlign w:val="baseline"/>
                      <w:lang w:val="en-US" w:bidi="zh-CN"/>
                    </w:rPr>
                    <w:t>/</w:t>
                  </w:r>
                </w:p>
              </w:tc>
              <w:tc>
                <w:tcPr>
                  <w:tcW w:w="1179" w:type="dxa"/>
                  <w:vAlign w:val="center"/>
                </w:tcPr>
                <w:p w14:paraId="1086CE91">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val="0"/>
                      <w:bCs w:val="0"/>
                      <w:color w:val="auto"/>
                      <w:sz w:val="21"/>
                      <w:szCs w:val="21"/>
                      <w:vertAlign w:val="baseline"/>
                      <w:lang w:val="en-US" w:bidi="zh-CN"/>
                    </w:rPr>
                  </w:pPr>
                  <w:r>
                    <w:rPr>
                      <w:rFonts w:hint="eastAsia"/>
                      <w:b w:val="0"/>
                      <w:bCs w:val="0"/>
                      <w:color w:val="auto"/>
                      <w:sz w:val="21"/>
                      <w:szCs w:val="21"/>
                      <w:vertAlign w:val="baseline"/>
                      <w:lang w:val="en-US" w:bidi="zh-CN"/>
                    </w:rPr>
                    <w:t>0.5</w:t>
                  </w:r>
                </w:p>
              </w:tc>
            </w:tr>
          </w:tbl>
          <w:p w14:paraId="0DCB8C4A">
            <w:pPr>
              <w:widowControl/>
              <w:ind w:firstLine="480"/>
              <w:rPr>
                <w:color w:val="auto"/>
              </w:rPr>
            </w:pPr>
            <w:r>
              <w:rPr>
                <w:rFonts w:hint="eastAsia"/>
                <w:color w:val="auto"/>
              </w:rPr>
              <w:t>由上表可知，废气能够达标排放，</w:t>
            </w:r>
            <w:r>
              <w:rPr>
                <w:rFonts w:hint="eastAsia"/>
                <w:color w:val="auto"/>
                <w:lang w:val="en-US" w:eastAsia="zh-CN"/>
              </w:rPr>
              <w:t>且根据验收报告（验收工况为100%，即年产50万吨机制砂、年产35万吨干混砂浆（砌筑砂浆））现有工程颗粒物排放量为0.8544t/a，未超出全厂颗粒物6.666t/a许可排放量</w:t>
            </w:r>
            <w:r>
              <w:rPr>
                <w:rFonts w:hint="eastAsia"/>
                <w:color w:val="auto"/>
                <w:lang w:eastAsia="zh-CN"/>
              </w:rPr>
              <w:t>，</w:t>
            </w:r>
            <w:r>
              <w:rPr>
                <w:rFonts w:hint="eastAsia"/>
                <w:color w:val="auto"/>
                <w:lang w:val="en-US" w:eastAsia="zh-CN"/>
              </w:rPr>
              <w:t>同时能满足现有污染物新增排放容量核定表许可排放量，废气</w:t>
            </w:r>
            <w:r>
              <w:rPr>
                <w:color w:val="auto"/>
              </w:rPr>
              <w:t>排放浓度</w:t>
            </w:r>
            <w:r>
              <w:rPr>
                <w:rFonts w:hint="eastAsia"/>
                <w:color w:val="auto"/>
              </w:rPr>
              <w:t>既能</w:t>
            </w:r>
            <w:r>
              <w:rPr>
                <w:color w:val="auto"/>
              </w:rPr>
              <w:t>满足</w:t>
            </w:r>
            <w:r>
              <w:rPr>
                <w:rFonts w:hint="eastAsia"/>
                <w:color w:val="auto"/>
              </w:rPr>
              <w:t>原环评</w:t>
            </w:r>
            <w:r>
              <w:rPr>
                <w:rFonts w:hint="eastAsia"/>
                <w:color w:val="auto"/>
                <w:lang w:val="en-US" w:eastAsia="zh-CN"/>
              </w:rPr>
              <w:t>上海市地方标准《大气污染物综合排放标准》（DB31/933-2015）</w:t>
            </w:r>
            <w:r>
              <w:rPr>
                <w:rFonts w:hint="eastAsia"/>
                <w:color w:val="auto"/>
              </w:rPr>
              <w:t>中相关标准也能满足现行安徽省地方标准《水泥工业大气污染物排放标准》（DB34/3576-2020）中相关标准。</w:t>
            </w:r>
          </w:p>
          <w:p w14:paraId="3B335D42">
            <w:pPr>
              <w:bidi w:val="0"/>
              <w:rPr>
                <w:rFonts w:hint="default" w:eastAsia="宋体"/>
                <w:b/>
                <w:bCs/>
                <w:color w:val="auto"/>
                <w:lang w:val="en-US" w:eastAsia="zh-CN"/>
              </w:rPr>
            </w:pPr>
            <w:r>
              <w:rPr>
                <w:rFonts w:hint="eastAsia"/>
                <w:b/>
                <w:bCs/>
                <w:color w:val="auto"/>
                <w:lang w:eastAsia="zh-CN"/>
              </w:rPr>
              <w:t>（</w:t>
            </w:r>
            <w:r>
              <w:rPr>
                <w:rFonts w:hint="eastAsia"/>
                <w:b/>
                <w:bCs/>
                <w:color w:val="auto"/>
                <w:lang w:val="en-US" w:eastAsia="zh-CN"/>
              </w:rPr>
              <w:t>2</w:t>
            </w:r>
            <w:r>
              <w:rPr>
                <w:rFonts w:hint="eastAsia"/>
                <w:b/>
                <w:bCs/>
                <w:color w:val="auto"/>
                <w:lang w:eastAsia="zh-CN"/>
              </w:rPr>
              <w:t>）</w:t>
            </w:r>
            <w:r>
              <w:rPr>
                <w:rFonts w:hint="eastAsia"/>
                <w:b/>
                <w:bCs/>
                <w:color w:val="auto"/>
                <w:lang w:val="en-US" w:eastAsia="zh-CN"/>
              </w:rPr>
              <w:t>废水达标分析</w:t>
            </w:r>
          </w:p>
          <w:p w14:paraId="580760F8">
            <w:pPr>
              <w:widowControl/>
              <w:spacing w:after="0"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根据验收报告，现有项目废水排放量为264</w:t>
            </w:r>
            <w:r>
              <w:rPr>
                <w:rFonts w:hint="eastAsia"/>
                <w:color w:val="auto"/>
                <w:lang w:val="en-US" w:eastAsia="zh-CN"/>
              </w:rPr>
              <w:t>m</w:t>
            </w:r>
            <w:r>
              <w:rPr>
                <w:rFonts w:hint="eastAsia"/>
                <w:color w:val="auto"/>
                <w:vertAlign w:val="superscript"/>
                <w:lang w:val="en-US" w:eastAsia="zh-CN"/>
              </w:rPr>
              <w:t>3</w:t>
            </w:r>
            <w:r>
              <w:rPr>
                <w:rFonts w:hint="eastAsia"/>
                <w:color w:val="auto"/>
                <w:lang w:val="en-US" w:eastAsia="zh-CN"/>
              </w:rPr>
              <w:t>/a</w:t>
            </w:r>
            <w:r>
              <w:rPr>
                <w:rFonts w:hint="eastAsia" w:ascii="Times New Roman" w:hAnsi="Times New Roman" w:cs="Times New Roman" w:eastAsiaTheme="minorEastAsia"/>
                <w:color w:val="auto"/>
                <w:sz w:val="24"/>
                <w:szCs w:val="24"/>
                <w:lang w:val="en-US" w:eastAsia="zh-CN"/>
              </w:rPr>
              <w:t>。</w:t>
            </w:r>
            <w:r>
              <w:rPr>
                <w:rFonts w:hint="eastAsia"/>
                <w:color w:val="auto"/>
              </w:rPr>
              <w:t>全厂雨污分流；</w:t>
            </w:r>
            <w:r>
              <w:rPr>
                <w:rFonts w:hint="eastAsia"/>
                <w:color w:val="auto"/>
                <w:lang w:val="en-US" w:eastAsia="zh-CN"/>
              </w:rPr>
              <w:t>食堂废水经隔油池处理后汇同生活污水经化粪池预处理后定期抽运，不外排；车辆清洗废水经厂区沉淀池沉淀后，循环使用、不外排。</w:t>
            </w:r>
          </w:p>
          <w:p w14:paraId="5DD9AE2E">
            <w:pPr>
              <w:widowControl/>
              <w:ind w:firstLine="420"/>
              <w:rPr>
                <w:b/>
                <w:bCs/>
                <w:color w:val="auto"/>
              </w:rPr>
            </w:pPr>
            <w:r>
              <w:rPr>
                <w:rFonts w:hint="eastAsia"/>
                <w:b/>
                <w:bCs/>
                <w:color w:val="auto"/>
                <w:lang w:eastAsia="zh-CN"/>
              </w:rPr>
              <w:t>（</w:t>
            </w:r>
            <w:r>
              <w:rPr>
                <w:rFonts w:hint="eastAsia"/>
                <w:b/>
                <w:bCs/>
                <w:color w:val="auto"/>
                <w:lang w:val="en-US" w:eastAsia="zh-CN"/>
              </w:rPr>
              <w:t>3</w:t>
            </w:r>
            <w:r>
              <w:rPr>
                <w:rFonts w:hint="eastAsia"/>
                <w:b/>
                <w:bCs/>
                <w:color w:val="auto"/>
                <w:lang w:eastAsia="zh-CN"/>
              </w:rPr>
              <w:t>）</w:t>
            </w:r>
            <w:r>
              <w:rPr>
                <w:rFonts w:hint="eastAsia"/>
                <w:b/>
                <w:bCs/>
                <w:color w:val="auto"/>
              </w:rPr>
              <w:t>噪声</w:t>
            </w:r>
            <w:r>
              <w:rPr>
                <w:rFonts w:hint="eastAsia"/>
                <w:b/>
                <w:bCs/>
                <w:color w:val="auto"/>
                <w:lang w:val="en-US" w:eastAsia="zh-CN"/>
              </w:rPr>
              <w:t>达标</w:t>
            </w:r>
            <w:r>
              <w:rPr>
                <w:rFonts w:hint="eastAsia"/>
                <w:b/>
                <w:bCs/>
                <w:color w:val="auto"/>
              </w:rPr>
              <w:t>分析</w:t>
            </w:r>
          </w:p>
          <w:p w14:paraId="466D0EA6">
            <w:pPr>
              <w:ind w:firstLine="480"/>
              <w:rPr>
                <w:color w:val="auto"/>
              </w:rPr>
            </w:pPr>
            <w:r>
              <w:rPr>
                <w:rFonts w:hint="eastAsia"/>
                <w:color w:val="auto"/>
              </w:rPr>
              <w:t>根据验收报告</w:t>
            </w:r>
            <w:r>
              <w:rPr>
                <w:rFonts w:hint="eastAsia"/>
                <w:color w:val="auto"/>
                <w:lang w:val="en-US" w:eastAsia="zh-CN"/>
              </w:rPr>
              <w:t>（监测时间为2020.11.16-2020.11.17）</w:t>
            </w:r>
            <w:r>
              <w:rPr>
                <w:rFonts w:hint="eastAsia"/>
                <w:color w:val="auto"/>
              </w:rPr>
              <w:t>，具体数据见下表</w:t>
            </w:r>
            <w:r>
              <w:rPr>
                <w:color w:val="auto"/>
              </w:rPr>
              <w:t>。</w:t>
            </w:r>
          </w:p>
          <w:p w14:paraId="59ABF904">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lang w:val="en-US" w:eastAsia="zh-CN"/>
              </w:rPr>
            </w:pPr>
            <w:r>
              <w:rPr>
                <w:rFonts w:hint="eastAsia"/>
                <w:b/>
                <w:bCs/>
                <w:color w:val="auto"/>
                <w:lang w:val="en-US" w:eastAsia="zh-CN"/>
              </w:rPr>
              <w:t>表2-11  现有验收工程厂界噪声监测结果  单位：dB（A）</w:t>
            </w:r>
          </w:p>
          <w:tbl>
            <w:tblPr>
              <w:tblStyle w:val="27"/>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665"/>
              <w:gridCol w:w="1335"/>
              <w:gridCol w:w="1205"/>
              <w:gridCol w:w="1376"/>
              <w:gridCol w:w="1376"/>
            </w:tblGrid>
            <w:tr w14:paraId="3189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4DA8B4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监测日期</w:t>
                  </w:r>
                </w:p>
              </w:tc>
              <w:tc>
                <w:tcPr>
                  <w:tcW w:w="1665" w:type="dxa"/>
                  <w:vAlign w:val="center"/>
                </w:tcPr>
                <w:p w14:paraId="0F2767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监测位置</w:t>
                  </w:r>
                </w:p>
              </w:tc>
              <w:tc>
                <w:tcPr>
                  <w:tcW w:w="1335" w:type="dxa"/>
                  <w:vAlign w:val="center"/>
                </w:tcPr>
                <w:p w14:paraId="3AC2A9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检测时间</w:t>
                  </w:r>
                </w:p>
              </w:tc>
              <w:tc>
                <w:tcPr>
                  <w:tcW w:w="1205" w:type="dxa"/>
                  <w:vAlign w:val="center"/>
                </w:tcPr>
                <w:p w14:paraId="7F40D7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结果</w:t>
                  </w:r>
                </w:p>
              </w:tc>
              <w:tc>
                <w:tcPr>
                  <w:tcW w:w="1376" w:type="dxa"/>
                  <w:vAlign w:val="center"/>
                </w:tcPr>
                <w:p w14:paraId="74AFF6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执行标准值</w:t>
                  </w:r>
                </w:p>
              </w:tc>
              <w:tc>
                <w:tcPr>
                  <w:tcW w:w="1376" w:type="dxa"/>
                  <w:vAlign w:val="center"/>
                </w:tcPr>
                <w:p w14:paraId="0219B5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达标情况</w:t>
                  </w:r>
                </w:p>
              </w:tc>
            </w:tr>
            <w:tr w14:paraId="126E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restart"/>
                  <w:shd w:val="clear" w:color="auto" w:fill="auto"/>
                  <w:vAlign w:val="center"/>
                </w:tcPr>
                <w:p w14:paraId="3148902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2020.11.16</w:t>
                  </w:r>
                </w:p>
              </w:tc>
              <w:tc>
                <w:tcPr>
                  <w:tcW w:w="1665" w:type="dxa"/>
                  <w:vMerge w:val="restart"/>
                  <w:vAlign w:val="center"/>
                </w:tcPr>
                <w:p w14:paraId="456359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东厂界外1m处</w:t>
                  </w:r>
                </w:p>
              </w:tc>
              <w:tc>
                <w:tcPr>
                  <w:tcW w:w="1335" w:type="dxa"/>
                  <w:vAlign w:val="center"/>
                </w:tcPr>
                <w:p w14:paraId="53EEE6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16:52-16:53</w:t>
                  </w:r>
                </w:p>
              </w:tc>
              <w:tc>
                <w:tcPr>
                  <w:tcW w:w="1205" w:type="dxa"/>
                  <w:vAlign w:val="center"/>
                </w:tcPr>
                <w:p w14:paraId="7BDFB2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58</w:t>
                  </w:r>
                </w:p>
              </w:tc>
              <w:tc>
                <w:tcPr>
                  <w:tcW w:w="1376" w:type="dxa"/>
                  <w:vAlign w:val="center"/>
                </w:tcPr>
                <w:p w14:paraId="54E7E9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60</w:t>
                  </w:r>
                </w:p>
              </w:tc>
              <w:tc>
                <w:tcPr>
                  <w:tcW w:w="1376" w:type="dxa"/>
                  <w:vAlign w:val="center"/>
                </w:tcPr>
                <w:p w14:paraId="1623EC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078E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1EDD07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665" w:type="dxa"/>
                  <w:vMerge w:val="continue"/>
                  <w:vAlign w:val="center"/>
                </w:tcPr>
                <w:p w14:paraId="3895B3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335" w:type="dxa"/>
                  <w:shd w:val="clear" w:color="auto" w:fill="auto"/>
                  <w:vAlign w:val="center"/>
                </w:tcPr>
                <w:p w14:paraId="635F4D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22:00-22:01</w:t>
                  </w:r>
                </w:p>
              </w:tc>
              <w:tc>
                <w:tcPr>
                  <w:tcW w:w="1205" w:type="dxa"/>
                  <w:shd w:val="clear" w:color="auto" w:fill="auto"/>
                  <w:vAlign w:val="center"/>
                </w:tcPr>
                <w:p w14:paraId="0A30FF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48</w:t>
                  </w:r>
                </w:p>
              </w:tc>
              <w:tc>
                <w:tcPr>
                  <w:tcW w:w="1376" w:type="dxa"/>
                  <w:shd w:val="clear" w:color="auto" w:fill="auto"/>
                  <w:vAlign w:val="center"/>
                </w:tcPr>
                <w:p w14:paraId="1E6136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50</w:t>
                  </w:r>
                </w:p>
              </w:tc>
              <w:tc>
                <w:tcPr>
                  <w:tcW w:w="1376" w:type="dxa"/>
                  <w:vAlign w:val="center"/>
                </w:tcPr>
                <w:p w14:paraId="727BA0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7DC1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51E5CA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p>
              </w:tc>
              <w:tc>
                <w:tcPr>
                  <w:tcW w:w="1665" w:type="dxa"/>
                  <w:vMerge w:val="restart"/>
                  <w:vAlign w:val="center"/>
                </w:tcPr>
                <w:p w14:paraId="265531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南厂界外1m处</w:t>
                  </w:r>
                </w:p>
              </w:tc>
              <w:tc>
                <w:tcPr>
                  <w:tcW w:w="1335" w:type="dxa"/>
                  <w:vAlign w:val="center"/>
                </w:tcPr>
                <w:p w14:paraId="649A52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17:05-17：06</w:t>
                  </w:r>
                </w:p>
              </w:tc>
              <w:tc>
                <w:tcPr>
                  <w:tcW w:w="1205" w:type="dxa"/>
                  <w:vAlign w:val="center"/>
                </w:tcPr>
                <w:p w14:paraId="05CB46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57</w:t>
                  </w:r>
                </w:p>
              </w:tc>
              <w:tc>
                <w:tcPr>
                  <w:tcW w:w="1376" w:type="dxa"/>
                  <w:vAlign w:val="center"/>
                </w:tcPr>
                <w:p w14:paraId="770B84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60</w:t>
                  </w:r>
                </w:p>
              </w:tc>
              <w:tc>
                <w:tcPr>
                  <w:tcW w:w="1376" w:type="dxa"/>
                  <w:vAlign w:val="center"/>
                </w:tcPr>
                <w:p w14:paraId="3BC48C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5E83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11F2A3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p>
              </w:tc>
              <w:tc>
                <w:tcPr>
                  <w:tcW w:w="1665" w:type="dxa"/>
                  <w:vMerge w:val="continue"/>
                  <w:vAlign w:val="center"/>
                </w:tcPr>
                <w:p w14:paraId="0969E7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335" w:type="dxa"/>
                  <w:vAlign w:val="center"/>
                </w:tcPr>
                <w:p w14:paraId="7137AA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22:11-22:12</w:t>
                  </w:r>
                </w:p>
              </w:tc>
              <w:tc>
                <w:tcPr>
                  <w:tcW w:w="1205" w:type="dxa"/>
                  <w:vAlign w:val="center"/>
                </w:tcPr>
                <w:p w14:paraId="11DA50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49</w:t>
                  </w:r>
                </w:p>
              </w:tc>
              <w:tc>
                <w:tcPr>
                  <w:tcW w:w="1376" w:type="dxa"/>
                  <w:vAlign w:val="center"/>
                </w:tcPr>
                <w:p w14:paraId="00AFBC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50</w:t>
                  </w:r>
                </w:p>
              </w:tc>
              <w:tc>
                <w:tcPr>
                  <w:tcW w:w="1376" w:type="dxa"/>
                  <w:vAlign w:val="center"/>
                </w:tcPr>
                <w:p w14:paraId="62F8CF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5E4C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068B40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p>
              </w:tc>
              <w:tc>
                <w:tcPr>
                  <w:tcW w:w="1665" w:type="dxa"/>
                  <w:vMerge w:val="restart"/>
                  <w:vAlign w:val="center"/>
                </w:tcPr>
                <w:p w14:paraId="414396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西厂界外1m处</w:t>
                  </w:r>
                </w:p>
              </w:tc>
              <w:tc>
                <w:tcPr>
                  <w:tcW w:w="1335" w:type="dxa"/>
                  <w:vAlign w:val="center"/>
                </w:tcPr>
                <w:p w14:paraId="350151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17:13-17:14</w:t>
                  </w:r>
                </w:p>
              </w:tc>
              <w:tc>
                <w:tcPr>
                  <w:tcW w:w="1205" w:type="dxa"/>
                  <w:vAlign w:val="center"/>
                </w:tcPr>
                <w:p w14:paraId="15C711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58</w:t>
                  </w:r>
                </w:p>
              </w:tc>
              <w:tc>
                <w:tcPr>
                  <w:tcW w:w="1376" w:type="dxa"/>
                  <w:vAlign w:val="center"/>
                </w:tcPr>
                <w:p w14:paraId="005E73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60</w:t>
                  </w:r>
                </w:p>
              </w:tc>
              <w:tc>
                <w:tcPr>
                  <w:tcW w:w="1376" w:type="dxa"/>
                  <w:vAlign w:val="center"/>
                </w:tcPr>
                <w:p w14:paraId="0827A5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79E3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shd w:val="clear" w:color="auto" w:fill="auto"/>
                  <w:vAlign w:val="center"/>
                </w:tcPr>
                <w:p w14:paraId="37EB273C">
                  <w:pPr>
                    <w:pStyle w:val="3"/>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bCs w:val="0"/>
                      <w:color w:val="auto"/>
                      <w:kern w:val="44"/>
                      <w:sz w:val="21"/>
                      <w:szCs w:val="24"/>
                      <w:lang w:val="en-US" w:eastAsia="zh-CN" w:bidi="ar-SA"/>
                    </w:rPr>
                  </w:pPr>
                </w:p>
              </w:tc>
              <w:tc>
                <w:tcPr>
                  <w:tcW w:w="1665" w:type="dxa"/>
                  <w:vMerge w:val="continue"/>
                  <w:vAlign w:val="center"/>
                </w:tcPr>
                <w:p w14:paraId="208ECD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335" w:type="dxa"/>
                  <w:vAlign w:val="center"/>
                </w:tcPr>
                <w:p w14:paraId="5028BA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22:22-22:23</w:t>
                  </w:r>
                </w:p>
              </w:tc>
              <w:tc>
                <w:tcPr>
                  <w:tcW w:w="1205" w:type="dxa"/>
                  <w:vAlign w:val="center"/>
                </w:tcPr>
                <w:p w14:paraId="3E005B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49</w:t>
                  </w:r>
                </w:p>
              </w:tc>
              <w:tc>
                <w:tcPr>
                  <w:tcW w:w="1376" w:type="dxa"/>
                  <w:vAlign w:val="center"/>
                </w:tcPr>
                <w:p w14:paraId="09ED7B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50</w:t>
                  </w:r>
                </w:p>
              </w:tc>
              <w:tc>
                <w:tcPr>
                  <w:tcW w:w="1376" w:type="dxa"/>
                  <w:vAlign w:val="center"/>
                </w:tcPr>
                <w:p w14:paraId="06ECF3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22EB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225634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p>
              </w:tc>
              <w:tc>
                <w:tcPr>
                  <w:tcW w:w="1665" w:type="dxa"/>
                  <w:vMerge w:val="restart"/>
                  <w:vAlign w:val="center"/>
                </w:tcPr>
                <w:p w14:paraId="2A90A1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北厂界外1m处</w:t>
                  </w:r>
                </w:p>
              </w:tc>
              <w:tc>
                <w:tcPr>
                  <w:tcW w:w="1335" w:type="dxa"/>
                  <w:vAlign w:val="center"/>
                </w:tcPr>
                <w:p w14:paraId="2F63AB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17:21-17:22</w:t>
                  </w:r>
                </w:p>
              </w:tc>
              <w:tc>
                <w:tcPr>
                  <w:tcW w:w="1205" w:type="dxa"/>
                  <w:vAlign w:val="center"/>
                </w:tcPr>
                <w:p w14:paraId="387106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58</w:t>
                  </w:r>
                </w:p>
              </w:tc>
              <w:tc>
                <w:tcPr>
                  <w:tcW w:w="1376" w:type="dxa"/>
                  <w:vAlign w:val="center"/>
                </w:tcPr>
                <w:p w14:paraId="7C1AAC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60</w:t>
                  </w:r>
                </w:p>
              </w:tc>
              <w:tc>
                <w:tcPr>
                  <w:tcW w:w="1376" w:type="dxa"/>
                  <w:vAlign w:val="center"/>
                </w:tcPr>
                <w:p w14:paraId="013418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1447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455627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p>
              </w:tc>
              <w:tc>
                <w:tcPr>
                  <w:tcW w:w="1665" w:type="dxa"/>
                  <w:vMerge w:val="continue"/>
                  <w:vAlign w:val="center"/>
                </w:tcPr>
                <w:p w14:paraId="3827A5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335" w:type="dxa"/>
                  <w:vAlign w:val="center"/>
                </w:tcPr>
                <w:p w14:paraId="7377BD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22：32-22:33</w:t>
                  </w:r>
                </w:p>
              </w:tc>
              <w:tc>
                <w:tcPr>
                  <w:tcW w:w="1205" w:type="dxa"/>
                  <w:vAlign w:val="center"/>
                </w:tcPr>
                <w:p w14:paraId="2734A7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49</w:t>
                  </w:r>
                </w:p>
              </w:tc>
              <w:tc>
                <w:tcPr>
                  <w:tcW w:w="1376" w:type="dxa"/>
                  <w:vAlign w:val="center"/>
                </w:tcPr>
                <w:p w14:paraId="551951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50</w:t>
                  </w:r>
                </w:p>
              </w:tc>
              <w:tc>
                <w:tcPr>
                  <w:tcW w:w="1376" w:type="dxa"/>
                  <w:vAlign w:val="center"/>
                </w:tcPr>
                <w:p w14:paraId="241D7C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6E30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restart"/>
                  <w:vAlign w:val="center"/>
                </w:tcPr>
                <w:p w14:paraId="7CF01B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2020.11.17</w:t>
                  </w:r>
                </w:p>
              </w:tc>
              <w:tc>
                <w:tcPr>
                  <w:tcW w:w="1665" w:type="dxa"/>
                  <w:vMerge w:val="restart"/>
                  <w:shd w:val="clear" w:color="auto" w:fill="auto"/>
                  <w:vAlign w:val="center"/>
                </w:tcPr>
                <w:p w14:paraId="3B7862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东厂界外1m处</w:t>
                  </w:r>
                </w:p>
              </w:tc>
              <w:tc>
                <w:tcPr>
                  <w:tcW w:w="1335" w:type="dxa"/>
                  <w:vAlign w:val="center"/>
                </w:tcPr>
                <w:p w14:paraId="71F5E2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12:52-12:53</w:t>
                  </w:r>
                </w:p>
              </w:tc>
              <w:tc>
                <w:tcPr>
                  <w:tcW w:w="1205" w:type="dxa"/>
                  <w:vAlign w:val="center"/>
                </w:tcPr>
                <w:p w14:paraId="2825D8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57</w:t>
                  </w:r>
                </w:p>
              </w:tc>
              <w:tc>
                <w:tcPr>
                  <w:tcW w:w="1376" w:type="dxa"/>
                  <w:vAlign w:val="center"/>
                </w:tcPr>
                <w:p w14:paraId="37B37C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60</w:t>
                  </w:r>
                </w:p>
              </w:tc>
              <w:tc>
                <w:tcPr>
                  <w:tcW w:w="1376" w:type="dxa"/>
                  <w:vAlign w:val="center"/>
                </w:tcPr>
                <w:p w14:paraId="19AA55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4D8E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250131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665" w:type="dxa"/>
                  <w:vMerge w:val="continue"/>
                  <w:shd w:val="clear" w:color="auto" w:fill="auto"/>
                  <w:vAlign w:val="center"/>
                </w:tcPr>
                <w:p w14:paraId="15CE16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335" w:type="dxa"/>
                  <w:vAlign w:val="center"/>
                </w:tcPr>
                <w:p w14:paraId="4DCF5C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22:01-22:02</w:t>
                  </w:r>
                </w:p>
              </w:tc>
              <w:tc>
                <w:tcPr>
                  <w:tcW w:w="1205" w:type="dxa"/>
                  <w:vAlign w:val="center"/>
                </w:tcPr>
                <w:p w14:paraId="06776E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47</w:t>
                  </w:r>
                </w:p>
              </w:tc>
              <w:tc>
                <w:tcPr>
                  <w:tcW w:w="1376" w:type="dxa"/>
                  <w:vAlign w:val="center"/>
                </w:tcPr>
                <w:p w14:paraId="17EC92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50</w:t>
                  </w:r>
                </w:p>
              </w:tc>
              <w:tc>
                <w:tcPr>
                  <w:tcW w:w="1376" w:type="dxa"/>
                  <w:vAlign w:val="center"/>
                </w:tcPr>
                <w:p w14:paraId="483D08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4FCA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7254B9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p>
              </w:tc>
              <w:tc>
                <w:tcPr>
                  <w:tcW w:w="1665" w:type="dxa"/>
                  <w:vMerge w:val="restart"/>
                  <w:shd w:val="clear" w:color="auto" w:fill="auto"/>
                  <w:vAlign w:val="center"/>
                </w:tcPr>
                <w:p w14:paraId="674AF8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南厂界外1m处</w:t>
                  </w:r>
                </w:p>
              </w:tc>
              <w:tc>
                <w:tcPr>
                  <w:tcW w:w="1335" w:type="dxa"/>
                  <w:vAlign w:val="center"/>
                </w:tcPr>
                <w:p w14:paraId="313763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13:04-13:05</w:t>
                  </w:r>
                </w:p>
              </w:tc>
              <w:tc>
                <w:tcPr>
                  <w:tcW w:w="1205" w:type="dxa"/>
                  <w:vAlign w:val="center"/>
                </w:tcPr>
                <w:p w14:paraId="7AA8C3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57</w:t>
                  </w:r>
                </w:p>
              </w:tc>
              <w:tc>
                <w:tcPr>
                  <w:tcW w:w="1376" w:type="dxa"/>
                  <w:vAlign w:val="center"/>
                </w:tcPr>
                <w:p w14:paraId="05F227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60</w:t>
                  </w:r>
                </w:p>
              </w:tc>
              <w:tc>
                <w:tcPr>
                  <w:tcW w:w="1376" w:type="dxa"/>
                  <w:vAlign w:val="center"/>
                </w:tcPr>
                <w:p w14:paraId="5E6345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2703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440F6D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p>
              </w:tc>
              <w:tc>
                <w:tcPr>
                  <w:tcW w:w="1665" w:type="dxa"/>
                  <w:vMerge w:val="continue"/>
                  <w:shd w:val="clear" w:color="auto" w:fill="auto"/>
                  <w:vAlign w:val="center"/>
                </w:tcPr>
                <w:p w14:paraId="48F016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335" w:type="dxa"/>
                  <w:vAlign w:val="center"/>
                </w:tcPr>
                <w:p w14:paraId="750FD6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22:13-22:14</w:t>
                  </w:r>
                </w:p>
              </w:tc>
              <w:tc>
                <w:tcPr>
                  <w:tcW w:w="1205" w:type="dxa"/>
                  <w:vAlign w:val="center"/>
                </w:tcPr>
                <w:p w14:paraId="59E292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48</w:t>
                  </w:r>
                </w:p>
              </w:tc>
              <w:tc>
                <w:tcPr>
                  <w:tcW w:w="1376" w:type="dxa"/>
                  <w:vAlign w:val="center"/>
                </w:tcPr>
                <w:p w14:paraId="3E1702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50</w:t>
                  </w:r>
                </w:p>
              </w:tc>
              <w:tc>
                <w:tcPr>
                  <w:tcW w:w="1376" w:type="dxa"/>
                  <w:vAlign w:val="center"/>
                </w:tcPr>
                <w:p w14:paraId="7AE654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73F4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763786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p>
              </w:tc>
              <w:tc>
                <w:tcPr>
                  <w:tcW w:w="1665" w:type="dxa"/>
                  <w:vMerge w:val="restart"/>
                  <w:shd w:val="clear" w:color="auto" w:fill="auto"/>
                  <w:vAlign w:val="center"/>
                </w:tcPr>
                <w:p w14:paraId="083947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西厂界外1m处</w:t>
                  </w:r>
                </w:p>
              </w:tc>
              <w:tc>
                <w:tcPr>
                  <w:tcW w:w="1335" w:type="dxa"/>
                  <w:vAlign w:val="center"/>
                </w:tcPr>
                <w:p w14:paraId="55FAFE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13:14-13:15</w:t>
                  </w:r>
                </w:p>
              </w:tc>
              <w:tc>
                <w:tcPr>
                  <w:tcW w:w="1205" w:type="dxa"/>
                  <w:vAlign w:val="center"/>
                </w:tcPr>
                <w:p w14:paraId="67E64D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57</w:t>
                  </w:r>
                </w:p>
              </w:tc>
              <w:tc>
                <w:tcPr>
                  <w:tcW w:w="1376" w:type="dxa"/>
                  <w:vAlign w:val="center"/>
                </w:tcPr>
                <w:p w14:paraId="20E053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60</w:t>
                  </w:r>
                </w:p>
              </w:tc>
              <w:tc>
                <w:tcPr>
                  <w:tcW w:w="1376" w:type="dxa"/>
                  <w:vAlign w:val="center"/>
                </w:tcPr>
                <w:p w14:paraId="6DE0DC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0BC8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285433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p>
              </w:tc>
              <w:tc>
                <w:tcPr>
                  <w:tcW w:w="1665" w:type="dxa"/>
                  <w:vMerge w:val="continue"/>
                  <w:shd w:val="clear" w:color="auto" w:fill="auto"/>
                  <w:vAlign w:val="center"/>
                </w:tcPr>
                <w:p w14:paraId="54D79D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335" w:type="dxa"/>
                  <w:vAlign w:val="center"/>
                </w:tcPr>
                <w:p w14:paraId="15A4F4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22:25-22:26</w:t>
                  </w:r>
                </w:p>
              </w:tc>
              <w:tc>
                <w:tcPr>
                  <w:tcW w:w="1205" w:type="dxa"/>
                  <w:vAlign w:val="center"/>
                </w:tcPr>
                <w:p w14:paraId="6A3AD1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47</w:t>
                  </w:r>
                </w:p>
              </w:tc>
              <w:tc>
                <w:tcPr>
                  <w:tcW w:w="1376" w:type="dxa"/>
                  <w:vAlign w:val="center"/>
                </w:tcPr>
                <w:p w14:paraId="41EA9E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50</w:t>
                  </w:r>
                </w:p>
              </w:tc>
              <w:tc>
                <w:tcPr>
                  <w:tcW w:w="1376" w:type="dxa"/>
                  <w:vAlign w:val="center"/>
                </w:tcPr>
                <w:p w14:paraId="63B58D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5BB3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4782ED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p>
              </w:tc>
              <w:tc>
                <w:tcPr>
                  <w:tcW w:w="1665" w:type="dxa"/>
                  <w:vMerge w:val="restart"/>
                  <w:shd w:val="clear" w:color="auto" w:fill="auto"/>
                  <w:vAlign w:val="center"/>
                </w:tcPr>
                <w:p w14:paraId="68A8D8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北厂界外1m处</w:t>
                  </w:r>
                </w:p>
              </w:tc>
              <w:tc>
                <w:tcPr>
                  <w:tcW w:w="1335" w:type="dxa"/>
                  <w:vAlign w:val="center"/>
                </w:tcPr>
                <w:p w14:paraId="270C33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13:27-13:28</w:t>
                  </w:r>
                </w:p>
              </w:tc>
              <w:tc>
                <w:tcPr>
                  <w:tcW w:w="1205" w:type="dxa"/>
                  <w:vAlign w:val="center"/>
                </w:tcPr>
                <w:p w14:paraId="75C7F8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58</w:t>
                  </w:r>
                </w:p>
              </w:tc>
              <w:tc>
                <w:tcPr>
                  <w:tcW w:w="1376" w:type="dxa"/>
                  <w:vAlign w:val="center"/>
                </w:tcPr>
                <w:p w14:paraId="0FF02D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60</w:t>
                  </w:r>
                </w:p>
              </w:tc>
              <w:tc>
                <w:tcPr>
                  <w:tcW w:w="1376" w:type="dxa"/>
                  <w:vAlign w:val="center"/>
                </w:tcPr>
                <w:p w14:paraId="48C17D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r w14:paraId="36F6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Merge w:val="continue"/>
                  <w:vAlign w:val="center"/>
                </w:tcPr>
                <w:p w14:paraId="3D0819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p>
              </w:tc>
              <w:tc>
                <w:tcPr>
                  <w:tcW w:w="1665" w:type="dxa"/>
                  <w:vMerge w:val="continue"/>
                  <w:shd w:val="clear" w:color="auto" w:fill="auto"/>
                  <w:vAlign w:val="center"/>
                </w:tcPr>
                <w:p w14:paraId="7841EC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335" w:type="dxa"/>
                  <w:vAlign w:val="center"/>
                </w:tcPr>
                <w:p w14:paraId="467BBB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22:37-22:38</w:t>
                  </w:r>
                </w:p>
              </w:tc>
              <w:tc>
                <w:tcPr>
                  <w:tcW w:w="1205" w:type="dxa"/>
                  <w:vAlign w:val="center"/>
                </w:tcPr>
                <w:p w14:paraId="0D2F7E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48</w:t>
                  </w:r>
                </w:p>
              </w:tc>
              <w:tc>
                <w:tcPr>
                  <w:tcW w:w="1376" w:type="dxa"/>
                  <w:vAlign w:val="center"/>
                </w:tcPr>
                <w:p w14:paraId="37DA74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50</w:t>
                  </w:r>
                </w:p>
              </w:tc>
              <w:tc>
                <w:tcPr>
                  <w:tcW w:w="1376" w:type="dxa"/>
                  <w:vAlign w:val="center"/>
                </w:tcPr>
                <w:p w14:paraId="39C593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达标</w:t>
                  </w:r>
                </w:p>
              </w:tc>
            </w:tr>
          </w:tbl>
          <w:p w14:paraId="0AEDED0E">
            <w:pPr>
              <w:bidi w:val="0"/>
              <w:rPr>
                <w:rFonts w:hint="default" w:eastAsia="宋体"/>
                <w:color w:val="auto"/>
                <w:lang w:val="en-US" w:eastAsia="zh-CN"/>
              </w:rPr>
            </w:pPr>
            <w:r>
              <w:rPr>
                <w:rFonts w:hint="eastAsia"/>
                <w:color w:val="auto"/>
              </w:rPr>
              <w:t>由上表可知</w:t>
            </w:r>
            <w:r>
              <w:rPr>
                <w:rFonts w:hint="eastAsia"/>
                <w:color w:val="auto"/>
                <w:lang w:eastAsia="zh-CN"/>
              </w:rPr>
              <w:t>，</w:t>
            </w:r>
            <w:r>
              <w:rPr>
                <w:rFonts w:hint="eastAsia"/>
                <w:color w:val="auto"/>
                <w:lang w:val="en-US" w:eastAsia="zh-CN"/>
              </w:rPr>
              <w:t>现有工程昼夜噪声监测结果均能满足《工业企业厂界环境噪声排放标准》（GB 12348-2008）中2类标准限值。</w:t>
            </w:r>
          </w:p>
          <w:p w14:paraId="5C7F4669">
            <w:pPr>
              <w:numPr>
                <w:ilvl w:val="0"/>
                <w:numId w:val="4"/>
              </w:numPr>
              <w:bidi w:val="0"/>
              <w:rPr>
                <w:rFonts w:hint="eastAsia"/>
                <w:b/>
                <w:bCs/>
                <w:color w:val="auto"/>
                <w:lang w:val="en-US" w:eastAsia="zh-CN"/>
              </w:rPr>
            </w:pPr>
            <w:r>
              <w:rPr>
                <w:rFonts w:hint="eastAsia"/>
                <w:b/>
                <w:bCs/>
                <w:color w:val="auto"/>
                <w:lang w:val="en-US" w:eastAsia="zh-CN"/>
              </w:rPr>
              <w:t>固废达标分析</w:t>
            </w:r>
          </w:p>
          <w:p w14:paraId="65BADF05">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根据验收报告可知现有工程固废产品情况见下表：</w:t>
            </w:r>
          </w:p>
          <w:p w14:paraId="18D398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Cs/>
                <w:color w:val="auto"/>
                <w:szCs w:val="21"/>
              </w:rPr>
            </w:pPr>
            <w:r>
              <w:rPr>
                <w:rFonts w:hint="eastAsia"/>
                <w:b/>
                <w:bCs/>
                <w:color w:val="auto"/>
              </w:rPr>
              <w:t>表2-</w:t>
            </w:r>
            <w:r>
              <w:rPr>
                <w:rFonts w:hint="eastAsia"/>
                <w:b/>
                <w:bCs/>
                <w:color w:val="auto"/>
                <w:lang w:val="en-US" w:eastAsia="zh-CN"/>
              </w:rPr>
              <w:t>12</w:t>
            </w:r>
            <w:r>
              <w:rPr>
                <w:rFonts w:hint="eastAsia"/>
                <w:b/>
                <w:bCs/>
                <w:color w:val="auto"/>
              </w:rPr>
              <w:t xml:space="preserve">  现有验收工程产排一览表  单位：t/a</w:t>
            </w:r>
          </w:p>
          <w:tbl>
            <w:tblPr>
              <w:tblStyle w:val="27"/>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748"/>
              <w:gridCol w:w="1200"/>
              <w:gridCol w:w="2259"/>
              <w:gridCol w:w="2148"/>
            </w:tblGrid>
            <w:tr w14:paraId="6526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 w:type="dxa"/>
                  <w:vAlign w:val="center"/>
                </w:tcPr>
                <w:p w14:paraId="5ED8AB81">
                  <w:pPr>
                    <w:pStyle w:val="3"/>
                    <w:outlineLvl w:val="0"/>
                    <w:rPr>
                      <w:b/>
                      <w:color w:val="auto"/>
                    </w:rPr>
                  </w:pPr>
                  <w:r>
                    <w:rPr>
                      <w:b/>
                      <w:color w:val="auto"/>
                    </w:rPr>
                    <w:t>序号</w:t>
                  </w:r>
                </w:p>
              </w:tc>
              <w:tc>
                <w:tcPr>
                  <w:tcW w:w="1748" w:type="dxa"/>
                  <w:vAlign w:val="center"/>
                </w:tcPr>
                <w:p w14:paraId="420BDB97">
                  <w:pPr>
                    <w:pStyle w:val="3"/>
                    <w:outlineLvl w:val="0"/>
                    <w:rPr>
                      <w:b/>
                      <w:color w:val="auto"/>
                    </w:rPr>
                  </w:pPr>
                  <w:r>
                    <w:rPr>
                      <w:b/>
                      <w:color w:val="auto"/>
                    </w:rPr>
                    <w:t>固废种类</w:t>
                  </w:r>
                </w:p>
              </w:tc>
              <w:tc>
                <w:tcPr>
                  <w:tcW w:w="1200" w:type="dxa"/>
                  <w:vAlign w:val="center"/>
                </w:tcPr>
                <w:p w14:paraId="0D7459AF">
                  <w:pPr>
                    <w:pStyle w:val="3"/>
                    <w:outlineLvl w:val="0"/>
                    <w:rPr>
                      <w:b/>
                      <w:color w:val="auto"/>
                    </w:rPr>
                  </w:pPr>
                  <w:r>
                    <w:rPr>
                      <w:rFonts w:hint="eastAsia"/>
                      <w:b/>
                      <w:color w:val="auto"/>
                    </w:rPr>
                    <w:t>产生量</w:t>
                  </w:r>
                </w:p>
              </w:tc>
              <w:tc>
                <w:tcPr>
                  <w:tcW w:w="2259" w:type="dxa"/>
                  <w:vAlign w:val="center"/>
                </w:tcPr>
                <w:p w14:paraId="46157429">
                  <w:pPr>
                    <w:pStyle w:val="3"/>
                    <w:outlineLvl w:val="0"/>
                    <w:rPr>
                      <w:b/>
                      <w:color w:val="auto"/>
                    </w:rPr>
                  </w:pPr>
                  <w:r>
                    <w:rPr>
                      <w:b/>
                      <w:color w:val="auto"/>
                    </w:rPr>
                    <w:t>环评要求处理方式</w:t>
                  </w:r>
                </w:p>
              </w:tc>
              <w:tc>
                <w:tcPr>
                  <w:tcW w:w="2148" w:type="dxa"/>
                  <w:vAlign w:val="center"/>
                </w:tcPr>
                <w:p w14:paraId="12083978">
                  <w:pPr>
                    <w:pStyle w:val="3"/>
                    <w:outlineLvl w:val="0"/>
                    <w:rPr>
                      <w:b/>
                      <w:color w:val="auto"/>
                    </w:rPr>
                  </w:pPr>
                  <w:r>
                    <w:rPr>
                      <w:b/>
                      <w:color w:val="auto"/>
                    </w:rPr>
                    <w:t>固废暂存</w:t>
                  </w:r>
                  <w:r>
                    <w:rPr>
                      <w:rFonts w:hint="eastAsia"/>
                      <w:b/>
                      <w:color w:val="auto"/>
                    </w:rPr>
                    <w:t>间</w:t>
                  </w:r>
                  <w:r>
                    <w:rPr>
                      <w:b/>
                      <w:color w:val="auto"/>
                    </w:rPr>
                    <w:t>建设、管理要求</w:t>
                  </w:r>
                </w:p>
              </w:tc>
            </w:tr>
            <w:tr w14:paraId="153B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 w:type="dxa"/>
                  <w:vAlign w:val="center"/>
                </w:tcPr>
                <w:p w14:paraId="664A9A57">
                  <w:pPr>
                    <w:pStyle w:val="3"/>
                    <w:outlineLvl w:val="0"/>
                    <w:rPr>
                      <w:color w:val="auto"/>
                    </w:rPr>
                  </w:pPr>
                  <w:r>
                    <w:rPr>
                      <w:rFonts w:hint="eastAsia"/>
                      <w:color w:val="auto"/>
                    </w:rPr>
                    <w:t>1</w:t>
                  </w:r>
                </w:p>
              </w:tc>
              <w:tc>
                <w:tcPr>
                  <w:tcW w:w="1748" w:type="dxa"/>
                  <w:vAlign w:val="center"/>
                </w:tcPr>
                <w:p w14:paraId="45B0C4DF">
                  <w:pPr>
                    <w:pStyle w:val="3"/>
                    <w:outlineLvl w:val="0"/>
                    <w:rPr>
                      <w:color w:val="auto"/>
                    </w:rPr>
                  </w:pPr>
                  <w:r>
                    <w:rPr>
                      <w:rFonts w:hint="eastAsia"/>
                      <w:color w:val="auto"/>
                    </w:rPr>
                    <w:t>生活垃圾</w:t>
                  </w:r>
                </w:p>
              </w:tc>
              <w:tc>
                <w:tcPr>
                  <w:tcW w:w="1200" w:type="dxa"/>
                  <w:vAlign w:val="center"/>
                </w:tcPr>
                <w:p w14:paraId="4E845F0A">
                  <w:pPr>
                    <w:pStyle w:val="3"/>
                    <w:outlineLvl w:val="0"/>
                    <w:rPr>
                      <w:rFonts w:hint="default" w:eastAsia="宋体"/>
                      <w:color w:val="auto"/>
                      <w:lang w:val="en-US" w:eastAsia="zh-CN"/>
                    </w:rPr>
                  </w:pPr>
                  <w:r>
                    <w:rPr>
                      <w:rFonts w:hint="eastAsia"/>
                      <w:color w:val="auto"/>
                      <w:lang w:val="en-US" w:eastAsia="zh-CN"/>
                    </w:rPr>
                    <w:t>8.1</w:t>
                  </w:r>
                </w:p>
              </w:tc>
              <w:tc>
                <w:tcPr>
                  <w:tcW w:w="4407" w:type="dxa"/>
                  <w:gridSpan w:val="2"/>
                  <w:vAlign w:val="center"/>
                </w:tcPr>
                <w:p w14:paraId="574F9018">
                  <w:pPr>
                    <w:pStyle w:val="3"/>
                    <w:jc w:val="both"/>
                    <w:outlineLvl w:val="0"/>
                    <w:rPr>
                      <w:color w:val="auto"/>
                    </w:rPr>
                  </w:pPr>
                  <w:r>
                    <w:rPr>
                      <w:rFonts w:hint="eastAsia"/>
                      <w:color w:val="auto"/>
                    </w:rPr>
                    <w:t>a、分类存放、袋装化收集；</w:t>
                  </w:r>
                </w:p>
                <w:p w14:paraId="07E7FFED">
                  <w:pPr>
                    <w:pStyle w:val="3"/>
                    <w:jc w:val="both"/>
                    <w:outlineLvl w:val="0"/>
                    <w:rPr>
                      <w:color w:val="auto"/>
                    </w:rPr>
                  </w:pPr>
                  <w:r>
                    <w:rPr>
                      <w:rFonts w:hint="eastAsia"/>
                      <w:color w:val="auto"/>
                    </w:rPr>
                    <w:t>b、定点设加盖垃圾收集桶；</w:t>
                  </w:r>
                </w:p>
                <w:p w14:paraId="12948C8A">
                  <w:pPr>
                    <w:pStyle w:val="3"/>
                    <w:jc w:val="both"/>
                    <w:outlineLvl w:val="0"/>
                    <w:rPr>
                      <w:color w:val="auto"/>
                    </w:rPr>
                  </w:pPr>
                  <w:r>
                    <w:rPr>
                      <w:rFonts w:hint="eastAsia"/>
                      <w:color w:val="auto"/>
                    </w:rPr>
                    <w:t>c、日产日清，环卫部门统一处理</w:t>
                  </w:r>
                </w:p>
              </w:tc>
            </w:tr>
            <w:tr w14:paraId="11A6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 w:type="dxa"/>
                  <w:vAlign w:val="center"/>
                </w:tcPr>
                <w:p w14:paraId="26331C79">
                  <w:pPr>
                    <w:pStyle w:val="3"/>
                    <w:outlineLvl w:val="0"/>
                    <w:rPr>
                      <w:rFonts w:hint="eastAsia" w:eastAsia="宋体"/>
                      <w:color w:val="auto"/>
                      <w:lang w:val="en-US" w:eastAsia="zh-CN"/>
                    </w:rPr>
                  </w:pPr>
                  <w:r>
                    <w:rPr>
                      <w:rFonts w:hint="eastAsia"/>
                      <w:color w:val="auto"/>
                      <w:lang w:val="en-US" w:eastAsia="zh-CN"/>
                    </w:rPr>
                    <w:t>2</w:t>
                  </w:r>
                </w:p>
              </w:tc>
              <w:tc>
                <w:tcPr>
                  <w:tcW w:w="1748" w:type="dxa"/>
                  <w:vAlign w:val="center"/>
                </w:tcPr>
                <w:p w14:paraId="31938126">
                  <w:pPr>
                    <w:pStyle w:val="3"/>
                    <w:outlineLvl w:val="0"/>
                    <w:rPr>
                      <w:rFonts w:hint="default" w:eastAsia="宋体"/>
                      <w:color w:val="auto"/>
                      <w:lang w:val="en-US" w:eastAsia="zh-CN"/>
                    </w:rPr>
                  </w:pPr>
                  <w:r>
                    <w:rPr>
                      <w:rFonts w:hint="eastAsia"/>
                      <w:color w:val="auto"/>
                      <w:lang w:val="en-US" w:eastAsia="zh-CN"/>
                    </w:rPr>
                    <w:t>除尘器收集粉尘</w:t>
                  </w:r>
                </w:p>
              </w:tc>
              <w:tc>
                <w:tcPr>
                  <w:tcW w:w="1200" w:type="dxa"/>
                  <w:vAlign w:val="center"/>
                </w:tcPr>
                <w:p w14:paraId="27C54A6D">
                  <w:pPr>
                    <w:pStyle w:val="3"/>
                    <w:outlineLvl w:val="0"/>
                    <w:rPr>
                      <w:rFonts w:hint="default" w:eastAsia="宋体"/>
                      <w:color w:val="auto"/>
                      <w:lang w:val="en-US" w:eastAsia="zh-CN"/>
                    </w:rPr>
                  </w:pPr>
                  <w:r>
                    <w:rPr>
                      <w:rFonts w:hint="eastAsia"/>
                      <w:color w:val="auto"/>
                      <w:lang w:val="en-US" w:eastAsia="zh-CN"/>
                    </w:rPr>
                    <w:t>652.129</w:t>
                  </w:r>
                </w:p>
              </w:tc>
              <w:tc>
                <w:tcPr>
                  <w:tcW w:w="4407" w:type="dxa"/>
                  <w:gridSpan w:val="2"/>
                  <w:vMerge w:val="restart"/>
                  <w:vAlign w:val="center"/>
                </w:tcPr>
                <w:p w14:paraId="29D4B272">
                  <w:pPr>
                    <w:pStyle w:val="3"/>
                    <w:jc w:val="center"/>
                    <w:outlineLvl w:val="0"/>
                    <w:rPr>
                      <w:rFonts w:hint="default" w:eastAsia="宋体"/>
                      <w:color w:val="auto"/>
                      <w:lang w:val="en-US" w:eastAsia="zh-CN"/>
                    </w:rPr>
                  </w:pPr>
                  <w:r>
                    <w:rPr>
                      <w:rFonts w:hint="eastAsia" w:eastAsia="宋体"/>
                      <w:color w:val="auto"/>
                      <w:lang w:val="en-US" w:eastAsia="zh-CN"/>
                    </w:rPr>
                    <w:t>一般工业固体废物暂存场所</w:t>
                  </w:r>
                  <w:r>
                    <w:rPr>
                      <w:rFonts w:hint="eastAsia"/>
                      <w:color w:val="auto"/>
                      <w:lang w:val="en-US" w:eastAsia="zh-CN"/>
                    </w:rPr>
                    <w:t>，定期外售</w:t>
                  </w:r>
                </w:p>
              </w:tc>
            </w:tr>
            <w:tr w14:paraId="4329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 w:type="dxa"/>
                  <w:vAlign w:val="center"/>
                </w:tcPr>
                <w:p w14:paraId="49A6B5A9">
                  <w:pPr>
                    <w:pStyle w:val="3"/>
                    <w:outlineLvl w:val="0"/>
                    <w:rPr>
                      <w:rFonts w:hint="eastAsia" w:eastAsia="宋体"/>
                      <w:color w:val="auto"/>
                      <w:lang w:val="en-US" w:eastAsia="zh-CN"/>
                    </w:rPr>
                  </w:pPr>
                  <w:r>
                    <w:rPr>
                      <w:rFonts w:hint="eastAsia"/>
                      <w:color w:val="auto"/>
                      <w:lang w:val="en-US" w:eastAsia="zh-CN"/>
                    </w:rPr>
                    <w:t>3</w:t>
                  </w:r>
                </w:p>
              </w:tc>
              <w:tc>
                <w:tcPr>
                  <w:tcW w:w="1748" w:type="dxa"/>
                  <w:vAlign w:val="center"/>
                </w:tcPr>
                <w:p w14:paraId="282E9F8A">
                  <w:pPr>
                    <w:pStyle w:val="3"/>
                    <w:outlineLvl w:val="0"/>
                    <w:rPr>
                      <w:rFonts w:hint="default"/>
                      <w:color w:val="auto"/>
                      <w:lang w:val="en-US" w:eastAsia="zh-CN"/>
                    </w:rPr>
                  </w:pPr>
                  <w:r>
                    <w:rPr>
                      <w:rFonts w:hint="eastAsia"/>
                      <w:color w:val="auto"/>
                      <w:lang w:val="en-US" w:eastAsia="zh-CN"/>
                    </w:rPr>
                    <w:t>自然沉降粉尘</w:t>
                  </w:r>
                </w:p>
              </w:tc>
              <w:tc>
                <w:tcPr>
                  <w:tcW w:w="1200" w:type="dxa"/>
                  <w:vAlign w:val="center"/>
                </w:tcPr>
                <w:p w14:paraId="2DE2E6D7">
                  <w:pPr>
                    <w:pStyle w:val="3"/>
                    <w:outlineLvl w:val="0"/>
                    <w:rPr>
                      <w:rFonts w:hint="default" w:eastAsia="宋体"/>
                      <w:color w:val="auto"/>
                      <w:lang w:val="en-US" w:eastAsia="zh-CN"/>
                    </w:rPr>
                  </w:pPr>
                  <w:r>
                    <w:rPr>
                      <w:rFonts w:hint="eastAsia"/>
                      <w:color w:val="auto"/>
                      <w:lang w:val="en-US" w:eastAsia="zh-CN"/>
                    </w:rPr>
                    <w:t>39.04</w:t>
                  </w:r>
                </w:p>
              </w:tc>
              <w:tc>
                <w:tcPr>
                  <w:tcW w:w="4407" w:type="dxa"/>
                  <w:gridSpan w:val="2"/>
                  <w:vMerge w:val="continue"/>
                  <w:vAlign w:val="center"/>
                </w:tcPr>
                <w:p w14:paraId="6233D5ED">
                  <w:pPr>
                    <w:pStyle w:val="3"/>
                    <w:jc w:val="center"/>
                    <w:outlineLvl w:val="0"/>
                    <w:rPr>
                      <w:rFonts w:hint="eastAsia"/>
                      <w:color w:val="auto"/>
                    </w:rPr>
                  </w:pPr>
                </w:p>
              </w:tc>
            </w:tr>
            <w:tr w14:paraId="6567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 w:type="dxa"/>
                  <w:vAlign w:val="center"/>
                </w:tcPr>
                <w:p w14:paraId="46464C0D">
                  <w:pPr>
                    <w:pStyle w:val="3"/>
                    <w:outlineLvl w:val="0"/>
                    <w:rPr>
                      <w:rFonts w:hint="eastAsia" w:eastAsia="宋体"/>
                      <w:color w:val="auto"/>
                      <w:lang w:val="en-US" w:eastAsia="zh-CN"/>
                    </w:rPr>
                  </w:pPr>
                  <w:r>
                    <w:rPr>
                      <w:rFonts w:hint="eastAsia"/>
                      <w:color w:val="auto"/>
                      <w:lang w:val="en-US" w:eastAsia="zh-CN"/>
                    </w:rPr>
                    <w:t>4</w:t>
                  </w:r>
                </w:p>
              </w:tc>
              <w:tc>
                <w:tcPr>
                  <w:tcW w:w="1748" w:type="dxa"/>
                  <w:vAlign w:val="center"/>
                </w:tcPr>
                <w:p w14:paraId="5376245D">
                  <w:pPr>
                    <w:pStyle w:val="3"/>
                    <w:outlineLvl w:val="0"/>
                    <w:rPr>
                      <w:rFonts w:hint="default"/>
                      <w:color w:val="auto"/>
                      <w:lang w:val="en-US" w:eastAsia="zh-CN"/>
                    </w:rPr>
                  </w:pPr>
                  <w:r>
                    <w:rPr>
                      <w:rFonts w:hint="eastAsia"/>
                      <w:color w:val="auto"/>
                      <w:lang w:val="en-US" w:eastAsia="zh-CN"/>
                    </w:rPr>
                    <w:t>剔除的金属物</w:t>
                  </w:r>
                </w:p>
              </w:tc>
              <w:tc>
                <w:tcPr>
                  <w:tcW w:w="1200" w:type="dxa"/>
                  <w:vAlign w:val="center"/>
                </w:tcPr>
                <w:p w14:paraId="20EA07E2">
                  <w:pPr>
                    <w:pStyle w:val="3"/>
                    <w:outlineLvl w:val="0"/>
                    <w:rPr>
                      <w:rFonts w:hint="default" w:eastAsia="宋体"/>
                      <w:color w:val="auto"/>
                      <w:lang w:val="en-US" w:eastAsia="zh-CN"/>
                    </w:rPr>
                  </w:pPr>
                  <w:r>
                    <w:rPr>
                      <w:rFonts w:hint="eastAsia"/>
                      <w:color w:val="auto"/>
                      <w:lang w:val="en-US" w:eastAsia="zh-CN"/>
                    </w:rPr>
                    <w:t>33.11</w:t>
                  </w:r>
                </w:p>
              </w:tc>
              <w:tc>
                <w:tcPr>
                  <w:tcW w:w="4407" w:type="dxa"/>
                  <w:gridSpan w:val="2"/>
                  <w:vMerge w:val="continue"/>
                  <w:vAlign w:val="center"/>
                </w:tcPr>
                <w:p w14:paraId="2D22C26E">
                  <w:pPr>
                    <w:pStyle w:val="3"/>
                    <w:jc w:val="center"/>
                    <w:outlineLvl w:val="0"/>
                    <w:rPr>
                      <w:rFonts w:hint="eastAsia"/>
                      <w:color w:val="auto"/>
                    </w:rPr>
                  </w:pPr>
                </w:p>
              </w:tc>
            </w:tr>
            <w:tr w14:paraId="3C3D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 w:type="dxa"/>
                  <w:vAlign w:val="center"/>
                </w:tcPr>
                <w:p w14:paraId="775CF94C">
                  <w:pPr>
                    <w:pStyle w:val="3"/>
                    <w:outlineLvl w:val="0"/>
                    <w:rPr>
                      <w:rFonts w:hint="eastAsia" w:eastAsia="宋体"/>
                      <w:color w:val="auto"/>
                      <w:lang w:val="en-US" w:eastAsia="zh-CN"/>
                    </w:rPr>
                  </w:pPr>
                  <w:r>
                    <w:rPr>
                      <w:rFonts w:hint="eastAsia"/>
                      <w:color w:val="auto"/>
                      <w:lang w:val="en-US" w:eastAsia="zh-CN"/>
                    </w:rPr>
                    <w:t>5</w:t>
                  </w:r>
                </w:p>
              </w:tc>
              <w:tc>
                <w:tcPr>
                  <w:tcW w:w="1748" w:type="dxa"/>
                  <w:vAlign w:val="center"/>
                </w:tcPr>
                <w:p w14:paraId="2F38CCC0">
                  <w:pPr>
                    <w:pStyle w:val="3"/>
                    <w:outlineLvl w:val="0"/>
                    <w:rPr>
                      <w:rFonts w:hint="default"/>
                      <w:color w:val="auto"/>
                      <w:lang w:val="en-US" w:eastAsia="zh-CN"/>
                    </w:rPr>
                  </w:pPr>
                  <w:r>
                    <w:rPr>
                      <w:rFonts w:hint="eastAsia"/>
                      <w:color w:val="auto"/>
                      <w:lang w:val="en-US" w:eastAsia="zh-CN"/>
                    </w:rPr>
                    <w:t>去除的轻物质</w:t>
                  </w:r>
                </w:p>
              </w:tc>
              <w:tc>
                <w:tcPr>
                  <w:tcW w:w="1200" w:type="dxa"/>
                  <w:vAlign w:val="center"/>
                </w:tcPr>
                <w:p w14:paraId="5955DD66">
                  <w:pPr>
                    <w:pStyle w:val="3"/>
                    <w:outlineLvl w:val="0"/>
                    <w:rPr>
                      <w:rFonts w:hint="default" w:eastAsia="宋体"/>
                      <w:color w:val="auto"/>
                      <w:lang w:val="en-US" w:eastAsia="zh-CN"/>
                    </w:rPr>
                  </w:pPr>
                  <w:r>
                    <w:rPr>
                      <w:rFonts w:hint="eastAsia"/>
                      <w:color w:val="auto"/>
                      <w:lang w:val="en-US" w:eastAsia="zh-CN"/>
                    </w:rPr>
                    <w:t>5.07</w:t>
                  </w:r>
                </w:p>
              </w:tc>
              <w:tc>
                <w:tcPr>
                  <w:tcW w:w="4407" w:type="dxa"/>
                  <w:gridSpan w:val="2"/>
                  <w:vMerge w:val="continue"/>
                  <w:vAlign w:val="center"/>
                </w:tcPr>
                <w:p w14:paraId="2F1444AA">
                  <w:pPr>
                    <w:pStyle w:val="3"/>
                    <w:jc w:val="center"/>
                    <w:outlineLvl w:val="0"/>
                    <w:rPr>
                      <w:rFonts w:hint="eastAsia"/>
                      <w:color w:val="auto"/>
                    </w:rPr>
                  </w:pPr>
                </w:p>
              </w:tc>
            </w:tr>
            <w:tr w14:paraId="219D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 w:type="dxa"/>
                  <w:vAlign w:val="center"/>
                </w:tcPr>
                <w:p w14:paraId="010B7748">
                  <w:pPr>
                    <w:pStyle w:val="3"/>
                    <w:outlineLvl w:val="0"/>
                    <w:rPr>
                      <w:rFonts w:hint="eastAsia" w:eastAsia="宋体"/>
                      <w:color w:val="auto"/>
                      <w:lang w:val="en-US" w:eastAsia="zh-CN"/>
                    </w:rPr>
                  </w:pPr>
                  <w:r>
                    <w:rPr>
                      <w:rFonts w:hint="eastAsia"/>
                      <w:color w:val="auto"/>
                      <w:lang w:val="en-US" w:eastAsia="zh-CN"/>
                    </w:rPr>
                    <w:t>6</w:t>
                  </w:r>
                </w:p>
              </w:tc>
              <w:tc>
                <w:tcPr>
                  <w:tcW w:w="1748" w:type="dxa"/>
                  <w:vAlign w:val="center"/>
                </w:tcPr>
                <w:p w14:paraId="77BA1084">
                  <w:pPr>
                    <w:pStyle w:val="3"/>
                    <w:outlineLvl w:val="0"/>
                    <w:rPr>
                      <w:rFonts w:hint="default"/>
                      <w:color w:val="auto"/>
                      <w:lang w:val="en-US" w:eastAsia="zh-CN"/>
                    </w:rPr>
                  </w:pPr>
                  <w:r>
                    <w:rPr>
                      <w:rFonts w:hint="eastAsia"/>
                      <w:color w:val="auto"/>
                      <w:lang w:val="en-US" w:eastAsia="zh-CN"/>
                    </w:rPr>
                    <w:t>沉淀池沉渣</w:t>
                  </w:r>
                </w:p>
              </w:tc>
              <w:tc>
                <w:tcPr>
                  <w:tcW w:w="1200" w:type="dxa"/>
                  <w:vAlign w:val="center"/>
                </w:tcPr>
                <w:p w14:paraId="5E2E5767">
                  <w:pPr>
                    <w:pStyle w:val="3"/>
                    <w:outlineLvl w:val="0"/>
                    <w:rPr>
                      <w:rFonts w:hint="default" w:eastAsia="宋体"/>
                      <w:color w:val="auto"/>
                      <w:lang w:val="en-US" w:eastAsia="zh-CN"/>
                    </w:rPr>
                  </w:pPr>
                  <w:r>
                    <w:rPr>
                      <w:rFonts w:hint="eastAsia"/>
                      <w:color w:val="auto"/>
                      <w:lang w:val="en-US" w:eastAsia="zh-CN"/>
                    </w:rPr>
                    <w:t>3.85</w:t>
                  </w:r>
                </w:p>
              </w:tc>
              <w:tc>
                <w:tcPr>
                  <w:tcW w:w="4407" w:type="dxa"/>
                  <w:gridSpan w:val="2"/>
                  <w:vMerge w:val="continue"/>
                  <w:vAlign w:val="center"/>
                </w:tcPr>
                <w:p w14:paraId="10F0A44E">
                  <w:pPr>
                    <w:pStyle w:val="3"/>
                    <w:jc w:val="center"/>
                    <w:outlineLvl w:val="0"/>
                    <w:rPr>
                      <w:rFonts w:hint="eastAsia"/>
                      <w:color w:val="auto"/>
                    </w:rPr>
                  </w:pPr>
                </w:p>
              </w:tc>
            </w:tr>
            <w:tr w14:paraId="69FA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 w:type="dxa"/>
                  <w:vAlign w:val="center"/>
                </w:tcPr>
                <w:p w14:paraId="3995AC0B">
                  <w:pPr>
                    <w:pStyle w:val="3"/>
                    <w:outlineLvl w:val="0"/>
                    <w:rPr>
                      <w:rFonts w:hint="eastAsia" w:eastAsia="宋体"/>
                      <w:color w:val="auto"/>
                      <w:lang w:val="en-US" w:eastAsia="zh-CN"/>
                    </w:rPr>
                  </w:pPr>
                  <w:r>
                    <w:rPr>
                      <w:rFonts w:hint="eastAsia"/>
                      <w:color w:val="auto"/>
                      <w:lang w:val="en-US" w:eastAsia="zh-CN"/>
                    </w:rPr>
                    <w:t>7</w:t>
                  </w:r>
                </w:p>
              </w:tc>
              <w:tc>
                <w:tcPr>
                  <w:tcW w:w="1748" w:type="dxa"/>
                  <w:vAlign w:val="center"/>
                </w:tcPr>
                <w:p w14:paraId="63F99CD6">
                  <w:pPr>
                    <w:pStyle w:val="3"/>
                    <w:outlineLvl w:val="0"/>
                    <w:rPr>
                      <w:rFonts w:hint="default"/>
                      <w:color w:val="auto"/>
                      <w:lang w:val="en-US" w:eastAsia="zh-CN"/>
                    </w:rPr>
                  </w:pPr>
                  <w:r>
                    <w:rPr>
                      <w:rFonts w:hint="eastAsia"/>
                      <w:color w:val="auto"/>
                      <w:lang w:val="en-US" w:eastAsia="zh-CN"/>
                    </w:rPr>
                    <w:t>废机油</w:t>
                  </w:r>
                </w:p>
              </w:tc>
              <w:tc>
                <w:tcPr>
                  <w:tcW w:w="1200" w:type="dxa"/>
                  <w:vAlign w:val="center"/>
                </w:tcPr>
                <w:p w14:paraId="7C5030BD">
                  <w:pPr>
                    <w:pStyle w:val="3"/>
                    <w:outlineLvl w:val="0"/>
                    <w:rPr>
                      <w:rFonts w:hint="default" w:eastAsia="宋体"/>
                      <w:color w:val="auto"/>
                      <w:lang w:val="en-US" w:eastAsia="zh-CN"/>
                    </w:rPr>
                  </w:pPr>
                  <w:r>
                    <w:rPr>
                      <w:rFonts w:hint="eastAsia"/>
                      <w:color w:val="auto"/>
                      <w:lang w:val="en-US" w:eastAsia="zh-CN"/>
                    </w:rPr>
                    <w:t>0.2</w:t>
                  </w:r>
                </w:p>
              </w:tc>
              <w:tc>
                <w:tcPr>
                  <w:tcW w:w="4407" w:type="dxa"/>
                  <w:gridSpan w:val="2"/>
                  <w:vMerge w:val="restart"/>
                  <w:vAlign w:val="center"/>
                </w:tcPr>
                <w:p w14:paraId="098074FB">
                  <w:pPr>
                    <w:pStyle w:val="3"/>
                    <w:jc w:val="center"/>
                    <w:outlineLvl w:val="0"/>
                    <w:rPr>
                      <w:rFonts w:hint="default" w:eastAsia="宋体"/>
                      <w:color w:val="auto"/>
                      <w:lang w:val="en-US" w:eastAsia="zh-CN"/>
                    </w:rPr>
                  </w:pPr>
                  <w:r>
                    <w:rPr>
                      <w:rFonts w:hint="eastAsia"/>
                      <w:color w:val="auto"/>
                      <w:lang w:val="en-US" w:eastAsia="zh-CN"/>
                    </w:rPr>
                    <w:t>暂存于危废暂存库，定期交由有资质单位处置</w:t>
                  </w:r>
                </w:p>
              </w:tc>
            </w:tr>
            <w:tr w14:paraId="4145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 w:type="dxa"/>
                  <w:vAlign w:val="center"/>
                </w:tcPr>
                <w:p w14:paraId="654B4F84">
                  <w:pPr>
                    <w:pStyle w:val="3"/>
                    <w:outlineLvl w:val="0"/>
                    <w:rPr>
                      <w:rFonts w:hint="eastAsia" w:eastAsia="宋体"/>
                      <w:color w:val="auto"/>
                      <w:lang w:val="en-US" w:eastAsia="zh-CN"/>
                    </w:rPr>
                  </w:pPr>
                  <w:r>
                    <w:rPr>
                      <w:rFonts w:hint="eastAsia"/>
                      <w:color w:val="auto"/>
                      <w:lang w:val="en-US" w:eastAsia="zh-CN"/>
                    </w:rPr>
                    <w:t>8</w:t>
                  </w:r>
                </w:p>
              </w:tc>
              <w:tc>
                <w:tcPr>
                  <w:tcW w:w="1748" w:type="dxa"/>
                  <w:vAlign w:val="center"/>
                </w:tcPr>
                <w:p w14:paraId="4F7B9DB7">
                  <w:pPr>
                    <w:pStyle w:val="3"/>
                    <w:outlineLvl w:val="0"/>
                    <w:rPr>
                      <w:rFonts w:hint="default"/>
                      <w:color w:val="auto"/>
                      <w:lang w:val="en-US" w:eastAsia="zh-CN"/>
                    </w:rPr>
                  </w:pPr>
                  <w:r>
                    <w:rPr>
                      <w:rFonts w:hint="eastAsia"/>
                      <w:color w:val="auto"/>
                      <w:lang w:val="en-US" w:eastAsia="zh-CN"/>
                    </w:rPr>
                    <w:t>废含油抹布、废劳保用品</w:t>
                  </w:r>
                </w:p>
              </w:tc>
              <w:tc>
                <w:tcPr>
                  <w:tcW w:w="1200" w:type="dxa"/>
                  <w:vAlign w:val="center"/>
                </w:tcPr>
                <w:p w14:paraId="5D084D32">
                  <w:pPr>
                    <w:pStyle w:val="3"/>
                    <w:outlineLvl w:val="0"/>
                    <w:rPr>
                      <w:rFonts w:hint="default" w:eastAsia="宋体"/>
                      <w:color w:val="auto"/>
                      <w:lang w:val="en-US" w:eastAsia="zh-CN"/>
                    </w:rPr>
                  </w:pPr>
                  <w:r>
                    <w:rPr>
                      <w:rFonts w:hint="eastAsia"/>
                      <w:color w:val="auto"/>
                      <w:lang w:val="en-US" w:eastAsia="zh-CN"/>
                    </w:rPr>
                    <w:t>0.05</w:t>
                  </w:r>
                </w:p>
              </w:tc>
              <w:tc>
                <w:tcPr>
                  <w:tcW w:w="4407" w:type="dxa"/>
                  <w:gridSpan w:val="2"/>
                  <w:vMerge w:val="continue"/>
                  <w:vAlign w:val="center"/>
                </w:tcPr>
                <w:p w14:paraId="2B561C8C">
                  <w:pPr>
                    <w:pStyle w:val="3"/>
                    <w:jc w:val="both"/>
                    <w:outlineLvl w:val="0"/>
                    <w:rPr>
                      <w:rFonts w:hint="eastAsia"/>
                      <w:color w:val="auto"/>
                    </w:rPr>
                  </w:pPr>
                </w:p>
              </w:tc>
            </w:tr>
          </w:tbl>
          <w:p w14:paraId="43C57719">
            <w:pPr>
              <w:spacing w:line="240" w:lineRule="auto"/>
              <w:ind w:firstLine="0" w:firstLineChars="0"/>
              <w:jc w:val="center"/>
              <w:rPr>
                <w:rFonts w:hint="default"/>
                <w:b/>
                <w:bCs/>
                <w:color w:val="auto"/>
                <w:vertAlign w:val="baseline"/>
                <w:lang w:val="en-US" w:eastAsia="zh-CN"/>
              </w:rPr>
            </w:pPr>
            <w:r>
              <w:rPr>
                <w:rFonts w:hint="eastAsia"/>
                <w:b/>
                <w:bCs/>
                <w:color w:val="auto"/>
                <w:lang w:val="en-US" w:eastAsia="zh-CN"/>
              </w:rPr>
              <w:t>表2-13  现有工程污染物排放量情况表  单位：t/a</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556"/>
              <w:gridCol w:w="967"/>
              <w:gridCol w:w="3071"/>
              <w:gridCol w:w="2771"/>
            </w:tblGrid>
            <w:tr w14:paraId="0429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Align w:val="center"/>
                </w:tcPr>
                <w:p w14:paraId="1FE34F8D">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lang w:val="en-US" w:eastAsia="zh-CN"/>
                    </w:rPr>
                  </w:pPr>
                  <w:r>
                    <w:rPr>
                      <w:rFonts w:hint="eastAsia"/>
                      <w:b/>
                      <w:bCs/>
                      <w:color w:val="auto"/>
                      <w:lang w:val="en-US" w:eastAsia="zh-CN"/>
                    </w:rPr>
                    <w:t>序号</w:t>
                  </w:r>
                </w:p>
              </w:tc>
              <w:tc>
                <w:tcPr>
                  <w:tcW w:w="3439" w:type="dxa"/>
                  <w:gridSpan w:val="3"/>
                  <w:vAlign w:val="center"/>
                </w:tcPr>
                <w:p w14:paraId="0934AC65">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lang w:val="en-US" w:eastAsia="zh-CN"/>
                    </w:rPr>
                  </w:pPr>
                  <w:r>
                    <w:rPr>
                      <w:rFonts w:hint="eastAsia"/>
                      <w:b/>
                      <w:bCs/>
                      <w:color w:val="auto"/>
                      <w:lang w:val="en-US" w:eastAsia="zh-CN"/>
                    </w:rPr>
                    <w:t>名称</w:t>
                  </w:r>
                </w:p>
              </w:tc>
              <w:tc>
                <w:tcPr>
                  <w:tcW w:w="2074" w:type="dxa"/>
                  <w:vAlign w:val="center"/>
                </w:tcPr>
                <w:p w14:paraId="5DAD98EA">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lang w:val="en-US" w:eastAsia="zh-CN"/>
                    </w:rPr>
                  </w:pPr>
                  <w:r>
                    <w:rPr>
                      <w:rFonts w:hint="eastAsia"/>
                      <w:b/>
                      <w:bCs/>
                      <w:color w:val="auto"/>
                      <w:lang w:val="en-US" w:eastAsia="zh-CN"/>
                    </w:rPr>
                    <w:t>排放量</w:t>
                  </w:r>
                </w:p>
              </w:tc>
            </w:tr>
            <w:tr w14:paraId="2C33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Align w:val="center"/>
                </w:tcPr>
                <w:p w14:paraId="4CCD99B0">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1</w:t>
                  </w:r>
                </w:p>
              </w:tc>
              <w:tc>
                <w:tcPr>
                  <w:tcW w:w="3439" w:type="dxa"/>
                  <w:gridSpan w:val="3"/>
                  <w:vAlign w:val="center"/>
                </w:tcPr>
                <w:p w14:paraId="602F633B">
                  <w:pPr>
                    <w:pStyle w:val="3"/>
                    <w:keepNext/>
                    <w:keepLines/>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r>
                    <w:rPr>
                      <w:rFonts w:hint="eastAsia"/>
                      <w:color w:val="auto"/>
                      <w:lang w:val="en-US" w:eastAsia="zh-CN"/>
                    </w:rPr>
                    <w:t>废水</w:t>
                  </w:r>
                </w:p>
              </w:tc>
              <w:tc>
                <w:tcPr>
                  <w:tcW w:w="2074" w:type="dxa"/>
                  <w:vAlign w:val="center"/>
                </w:tcPr>
                <w:p w14:paraId="7E6FBE9D">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0</w:t>
                  </w:r>
                </w:p>
              </w:tc>
            </w:tr>
            <w:tr w14:paraId="5129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Merge w:val="restart"/>
                  <w:vAlign w:val="center"/>
                </w:tcPr>
                <w:p w14:paraId="59E30D99">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2</w:t>
                  </w:r>
                </w:p>
              </w:tc>
              <w:tc>
                <w:tcPr>
                  <w:tcW w:w="416" w:type="dxa"/>
                  <w:vMerge w:val="restart"/>
                  <w:vAlign w:val="center"/>
                </w:tcPr>
                <w:p w14:paraId="5F0BFA4F">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废气</w:t>
                  </w:r>
                </w:p>
              </w:tc>
              <w:tc>
                <w:tcPr>
                  <w:tcW w:w="724" w:type="dxa"/>
                  <w:vAlign w:val="center"/>
                </w:tcPr>
                <w:p w14:paraId="60256E3A">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有组织</w:t>
                  </w:r>
                </w:p>
              </w:tc>
              <w:tc>
                <w:tcPr>
                  <w:tcW w:w="2299" w:type="dxa"/>
                  <w:vMerge w:val="restart"/>
                  <w:vAlign w:val="center"/>
                </w:tcPr>
                <w:p w14:paraId="4D1F14BB">
                  <w:pPr>
                    <w:pStyle w:val="3"/>
                    <w:keepNext/>
                    <w:keepLines/>
                    <w:pageBreakBefore w:val="0"/>
                    <w:widowControl w:val="0"/>
                    <w:kinsoku/>
                    <w:wordWrap/>
                    <w:overflowPunct/>
                    <w:topLinePunct w:val="0"/>
                    <w:autoSpaceDE/>
                    <w:autoSpaceDN/>
                    <w:bidi w:val="0"/>
                    <w:adjustRightInd/>
                    <w:snapToGrid/>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颗粒物</w:t>
                  </w:r>
                </w:p>
              </w:tc>
              <w:tc>
                <w:tcPr>
                  <w:tcW w:w="2074" w:type="dxa"/>
                  <w:vAlign w:val="center"/>
                </w:tcPr>
                <w:p w14:paraId="0F8F85EC">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0.8544</w:t>
                  </w:r>
                </w:p>
              </w:tc>
            </w:tr>
            <w:tr w14:paraId="2036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Merge w:val="continue"/>
                  <w:vAlign w:val="center"/>
                </w:tcPr>
                <w:p w14:paraId="196CC01E">
                  <w:pPr>
                    <w:pStyle w:val="3"/>
                    <w:keepNext/>
                    <w:keepLines/>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c>
                <w:tcPr>
                  <w:tcW w:w="416" w:type="dxa"/>
                  <w:vMerge w:val="continue"/>
                  <w:vAlign w:val="center"/>
                </w:tcPr>
                <w:p w14:paraId="13D986CF">
                  <w:pPr>
                    <w:pStyle w:val="3"/>
                    <w:keepNext/>
                    <w:keepLines/>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c>
                <w:tcPr>
                  <w:tcW w:w="724" w:type="dxa"/>
                  <w:vAlign w:val="center"/>
                </w:tcPr>
                <w:p w14:paraId="448C6731">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无组织</w:t>
                  </w:r>
                </w:p>
              </w:tc>
              <w:tc>
                <w:tcPr>
                  <w:tcW w:w="2299" w:type="dxa"/>
                  <w:vMerge w:val="continue"/>
                  <w:vAlign w:val="center"/>
                </w:tcPr>
                <w:p w14:paraId="182A2BA7">
                  <w:pPr>
                    <w:pStyle w:val="3"/>
                    <w:keepNext/>
                    <w:keepLines/>
                    <w:pageBreakBefore w:val="0"/>
                    <w:widowControl w:val="0"/>
                    <w:kinsoku/>
                    <w:wordWrap/>
                    <w:overflowPunct/>
                    <w:topLinePunct w:val="0"/>
                    <w:autoSpaceDE/>
                    <w:autoSpaceDN/>
                    <w:bidi w:val="0"/>
                    <w:adjustRightInd/>
                    <w:snapToGrid/>
                    <w:jc w:val="center"/>
                    <w:textAlignment w:val="auto"/>
                    <w:rPr>
                      <w:rFonts w:hint="eastAsia" w:cs="Times New Roman"/>
                      <w:b w:val="0"/>
                      <w:bCs w:val="0"/>
                      <w:color w:val="auto"/>
                      <w:sz w:val="21"/>
                      <w:szCs w:val="21"/>
                      <w:lang w:val="en-US" w:eastAsia="zh-CN"/>
                    </w:rPr>
                  </w:pPr>
                </w:p>
              </w:tc>
              <w:tc>
                <w:tcPr>
                  <w:tcW w:w="2074" w:type="dxa"/>
                  <w:vAlign w:val="center"/>
                </w:tcPr>
                <w:p w14:paraId="6F6AE2E2">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8.81</w:t>
                  </w:r>
                </w:p>
              </w:tc>
            </w:tr>
            <w:tr w14:paraId="220B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Merge w:val="restart"/>
                  <w:vAlign w:val="center"/>
                </w:tcPr>
                <w:p w14:paraId="6EDA809B">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3</w:t>
                  </w:r>
                </w:p>
              </w:tc>
              <w:tc>
                <w:tcPr>
                  <w:tcW w:w="1140" w:type="dxa"/>
                  <w:gridSpan w:val="2"/>
                  <w:vMerge w:val="restart"/>
                  <w:vAlign w:val="center"/>
                </w:tcPr>
                <w:p w14:paraId="5A59A03C">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固废</w:t>
                  </w:r>
                </w:p>
              </w:tc>
              <w:tc>
                <w:tcPr>
                  <w:tcW w:w="2299" w:type="dxa"/>
                  <w:vAlign w:val="center"/>
                </w:tcPr>
                <w:p w14:paraId="1767D554">
                  <w:pPr>
                    <w:pStyle w:val="3"/>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Times New Roman" w:hAnsi="Times New Roman" w:eastAsia="宋体" w:cs="Times New Roman"/>
                      <w:color w:val="auto"/>
                      <w:kern w:val="44"/>
                      <w:sz w:val="21"/>
                      <w:szCs w:val="24"/>
                      <w:lang w:val="en-US" w:eastAsia="zh-CN" w:bidi="ar-SA"/>
                    </w:rPr>
                  </w:pPr>
                  <w:r>
                    <w:rPr>
                      <w:rFonts w:hint="eastAsia"/>
                      <w:color w:val="auto"/>
                    </w:rPr>
                    <w:t>生活垃圾</w:t>
                  </w:r>
                </w:p>
              </w:tc>
              <w:tc>
                <w:tcPr>
                  <w:tcW w:w="2074" w:type="dxa"/>
                  <w:vAlign w:val="center"/>
                </w:tcPr>
                <w:p w14:paraId="5C0AE935">
                  <w:pPr>
                    <w:pStyle w:val="3"/>
                    <w:ind w:firstLine="0" w:firstLineChars="0"/>
                    <w:jc w:val="center"/>
                    <w:outlineLvl w:val="0"/>
                    <w:rPr>
                      <w:rFonts w:hint="default"/>
                      <w:color w:val="auto"/>
                      <w:lang w:val="en-US" w:eastAsia="zh-CN"/>
                    </w:rPr>
                  </w:pPr>
                  <w:r>
                    <w:rPr>
                      <w:rFonts w:hint="eastAsia"/>
                      <w:color w:val="auto"/>
                      <w:lang w:val="en-US" w:eastAsia="zh-CN"/>
                    </w:rPr>
                    <w:t>8.1</w:t>
                  </w:r>
                </w:p>
              </w:tc>
            </w:tr>
            <w:tr w14:paraId="657B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Merge w:val="continue"/>
                  <w:vAlign w:val="center"/>
                </w:tcPr>
                <w:p w14:paraId="67EF83BD">
                  <w:pPr>
                    <w:pStyle w:val="3"/>
                    <w:keepNext/>
                    <w:keepLines/>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c>
                <w:tcPr>
                  <w:tcW w:w="1140" w:type="dxa"/>
                  <w:gridSpan w:val="2"/>
                  <w:vMerge w:val="continue"/>
                  <w:vAlign w:val="center"/>
                </w:tcPr>
                <w:p w14:paraId="79A617C5">
                  <w:pPr>
                    <w:pStyle w:val="3"/>
                    <w:keepNext/>
                    <w:keepLines/>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c>
                <w:tcPr>
                  <w:tcW w:w="2299" w:type="dxa"/>
                  <w:vAlign w:val="center"/>
                </w:tcPr>
                <w:p w14:paraId="45A9FCA3">
                  <w:pPr>
                    <w:pStyle w:val="3"/>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color w:val="auto"/>
                      <w:lang w:val="en-US" w:eastAsia="zh-CN"/>
                    </w:rPr>
                  </w:pPr>
                  <w:r>
                    <w:rPr>
                      <w:rFonts w:hint="eastAsia"/>
                      <w:color w:val="auto"/>
                      <w:lang w:val="en-US" w:eastAsia="zh-CN"/>
                    </w:rPr>
                    <w:t>除尘器收集粉尘</w:t>
                  </w:r>
                </w:p>
              </w:tc>
              <w:tc>
                <w:tcPr>
                  <w:tcW w:w="2074" w:type="dxa"/>
                  <w:vAlign w:val="center"/>
                </w:tcPr>
                <w:p w14:paraId="42A5C00B">
                  <w:pPr>
                    <w:pStyle w:val="3"/>
                    <w:ind w:firstLine="0" w:firstLineChars="0"/>
                    <w:jc w:val="center"/>
                    <w:outlineLvl w:val="0"/>
                    <w:rPr>
                      <w:rFonts w:hint="eastAsia"/>
                      <w:color w:val="auto"/>
                      <w:lang w:val="en-US" w:eastAsia="zh-CN"/>
                    </w:rPr>
                  </w:pPr>
                  <w:r>
                    <w:rPr>
                      <w:rFonts w:hint="eastAsia"/>
                      <w:color w:val="auto"/>
                      <w:lang w:val="en-US" w:eastAsia="zh-CN"/>
                    </w:rPr>
                    <w:t>652.129</w:t>
                  </w:r>
                </w:p>
              </w:tc>
            </w:tr>
            <w:tr w14:paraId="0A29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Merge w:val="continue"/>
                  <w:vAlign w:val="center"/>
                </w:tcPr>
                <w:p w14:paraId="35BB4167">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1140" w:type="dxa"/>
                  <w:gridSpan w:val="2"/>
                  <w:vMerge w:val="continue"/>
                  <w:vAlign w:val="center"/>
                </w:tcPr>
                <w:p w14:paraId="6EC9D454">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2299" w:type="dxa"/>
                  <w:vAlign w:val="center"/>
                </w:tcPr>
                <w:p w14:paraId="7116C729">
                  <w:pPr>
                    <w:pStyle w:val="3"/>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自然沉降粉尘</w:t>
                  </w:r>
                </w:p>
              </w:tc>
              <w:tc>
                <w:tcPr>
                  <w:tcW w:w="2074" w:type="dxa"/>
                  <w:vAlign w:val="center"/>
                </w:tcPr>
                <w:p w14:paraId="58D9962A">
                  <w:pPr>
                    <w:pStyle w:val="3"/>
                    <w:ind w:firstLine="0" w:firstLineChars="0"/>
                    <w:jc w:val="center"/>
                    <w:outlineLvl w:val="0"/>
                    <w:rPr>
                      <w:rFonts w:hint="default"/>
                      <w:color w:val="auto"/>
                      <w:lang w:val="en-US" w:eastAsia="zh-CN"/>
                    </w:rPr>
                  </w:pPr>
                  <w:r>
                    <w:rPr>
                      <w:rFonts w:hint="eastAsia"/>
                      <w:color w:val="auto"/>
                      <w:lang w:val="en-US" w:eastAsia="zh-CN"/>
                    </w:rPr>
                    <w:t>39.04</w:t>
                  </w:r>
                </w:p>
              </w:tc>
            </w:tr>
            <w:tr w14:paraId="3ADF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Merge w:val="continue"/>
                  <w:vAlign w:val="center"/>
                </w:tcPr>
                <w:p w14:paraId="30E035A2">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1140" w:type="dxa"/>
                  <w:gridSpan w:val="2"/>
                  <w:vMerge w:val="continue"/>
                  <w:vAlign w:val="center"/>
                </w:tcPr>
                <w:p w14:paraId="214933E0">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2299" w:type="dxa"/>
                  <w:vAlign w:val="center"/>
                </w:tcPr>
                <w:p w14:paraId="7DC5CA76">
                  <w:pPr>
                    <w:pStyle w:val="3"/>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剔除的金属物</w:t>
                  </w:r>
                </w:p>
              </w:tc>
              <w:tc>
                <w:tcPr>
                  <w:tcW w:w="2074" w:type="dxa"/>
                  <w:vAlign w:val="center"/>
                </w:tcPr>
                <w:p w14:paraId="11A74E22">
                  <w:pPr>
                    <w:pStyle w:val="3"/>
                    <w:ind w:firstLine="0" w:firstLineChars="0"/>
                    <w:jc w:val="center"/>
                    <w:outlineLvl w:val="0"/>
                    <w:rPr>
                      <w:rFonts w:hint="default"/>
                      <w:color w:val="auto"/>
                      <w:lang w:val="en-US" w:eastAsia="zh-CN"/>
                    </w:rPr>
                  </w:pPr>
                  <w:r>
                    <w:rPr>
                      <w:rFonts w:hint="eastAsia"/>
                      <w:color w:val="auto"/>
                      <w:lang w:val="en-US" w:eastAsia="zh-CN"/>
                    </w:rPr>
                    <w:t>33.11</w:t>
                  </w:r>
                </w:p>
              </w:tc>
            </w:tr>
            <w:tr w14:paraId="2C5D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Merge w:val="continue"/>
                  <w:vAlign w:val="center"/>
                </w:tcPr>
                <w:p w14:paraId="43FA8977">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1140" w:type="dxa"/>
                  <w:gridSpan w:val="2"/>
                  <w:vMerge w:val="continue"/>
                  <w:vAlign w:val="center"/>
                </w:tcPr>
                <w:p w14:paraId="606D9E24">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2299" w:type="dxa"/>
                  <w:vAlign w:val="center"/>
                </w:tcPr>
                <w:p w14:paraId="2930534B">
                  <w:pPr>
                    <w:pStyle w:val="3"/>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cs="Times New Roman"/>
                      <w:color w:val="auto"/>
                      <w:sz w:val="21"/>
                      <w:szCs w:val="21"/>
                    </w:rPr>
                  </w:pPr>
                  <w:r>
                    <w:rPr>
                      <w:rFonts w:hint="eastAsia"/>
                      <w:color w:val="auto"/>
                      <w:lang w:val="en-US" w:eastAsia="zh-CN"/>
                    </w:rPr>
                    <w:t>去除的轻物质</w:t>
                  </w:r>
                </w:p>
              </w:tc>
              <w:tc>
                <w:tcPr>
                  <w:tcW w:w="2074" w:type="dxa"/>
                  <w:vAlign w:val="center"/>
                </w:tcPr>
                <w:p w14:paraId="4C2A5B3F">
                  <w:pPr>
                    <w:pStyle w:val="3"/>
                    <w:ind w:firstLine="0" w:firstLineChars="0"/>
                    <w:jc w:val="center"/>
                    <w:outlineLvl w:val="0"/>
                    <w:rPr>
                      <w:rFonts w:hint="eastAsia"/>
                      <w:color w:val="auto"/>
                      <w:lang w:val="en-US" w:eastAsia="zh-CN"/>
                    </w:rPr>
                  </w:pPr>
                  <w:r>
                    <w:rPr>
                      <w:rFonts w:hint="eastAsia"/>
                      <w:color w:val="auto"/>
                      <w:lang w:val="en-US" w:eastAsia="zh-CN"/>
                    </w:rPr>
                    <w:t>5.07</w:t>
                  </w:r>
                </w:p>
              </w:tc>
            </w:tr>
            <w:tr w14:paraId="7F45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Merge w:val="continue"/>
                  <w:vAlign w:val="center"/>
                </w:tcPr>
                <w:p w14:paraId="0EB19A6F">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1140" w:type="dxa"/>
                  <w:gridSpan w:val="2"/>
                  <w:vMerge w:val="continue"/>
                  <w:vAlign w:val="center"/>
                </w:tcPr>
                <w:p w14:paraId="278F6A7F">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2299" w:type="dxa"/>
                  <w:vAlign w:val="center"/>
                </w:tcPr>
                <w:p w14:paraId="5C142D6A">
                  <w:pPr>
                    <w:pStyle w:val="3"/>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cs="Times New Roman"/>
                      <w:color w:val="auto"/>
                      <w:sz w:val="21"/>
                      <w:szCs w:val="21"/>
                    </w:rPr>
                  </w:pPr>
                  <w:r>
                    <w:rPr>
                      <w:rFonts w:hint="eastAsia"/>
                      <w:color w:val="auto"/>
                      <w:lang w:val="en-US" w:eastAsia="zh-CN"/>
                    </w:rPr>
                    <w:t>沉淀池沉渣</w:t>
                  </w:r>
                </w:p>
              </w:tc>
              <w:tc>
                <w:tcPr>
                  <w:tcW w:w="2074" w:type="dxa"/>
                  <w:vAlign w:val="center"/>
                </w:tcPr>
                <w:p w14:paraId="1AB8A592">
                  <w:pPr>
                    <w:pStyle w:val="3"/>
                    <w:ind w:firstLine="0" w:firstLineChars="0"/>
                    <w:jc w:val="center"/>
                    <w:outlineLvl w:val="0"/>
                    <w:rPr>
                      <w:rFonts w:hint="eastAsia"/>
                      <w:color w:val="auto"/>
                      <w:lang w:val="en-US" w:eastAsia="zh-CN"/>
                    </w:rPr>
                  </w:pPr>
                  <w:r>
                    <w:rPr>
                      <w:rFonts w:hint="eastAsia"/>
                      <w:color w:val="auto"/>
                      <w:lang w:val="en-US" w:eastAsia="zh-CN"/>
                    </w:rPr>
                    <w:t>3.85</w:t>
                  </w:r>
                </w:p>
              </w:tc>
            </w:tr>
            <w:tr w14:paraId="418E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Merge w:val="continue"/>
                  <w:vAlign w:val="center"/>
                </w:tcPr>
                <w:p w14:paraId="5F446C64">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1140" w:type="dxa"/>
                  <w:gridSpan w:val="2"/>
                  <w:vMerge w:val="continue"/>
                  <w:vAlign w:val="center"/>
                </w:tcPr>
                <w:p w14:paraId="62E90949">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2299" w:type="dxa"/>
                  <w:vAlign w:val="center"/>
                </w:tcPr>
                <w:p w14:paraId="5FD9ACE8">
                  <w:pPr>
                    <w:pStyle w:val="3"/>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cs="Times New Roman"/>
                      <w:color w:val="auto"/>
                      <w:sz w:val="21"/>
                      <w:szCs w:val="21"/>
                    </w:rPr>
                  </w:pPr>
                  <w:r>
                    <w:rPr>
                      <w:rFonts w:hint="eastAsia"/>
                      <w:color w:val="auto"/>
                      <w:lang w:val="en-US" w:eastAsia="zh-CN"/>
                    </w:rPr>
                    <w:t>废机油</w:t>
                  </w:r>
                </w:p>
              </w:tc>
              <w:tc>
                <w:tcPr>
                  <w:tcW w:w="2074" w:type="dxa"/>
                  <w:vAlign w:val="center"/>
                </w:tcPr>
                <w:p w14:paraId="708036F1">
                  <w:pPr>
                    <w:pStyle w:val="3"/>
                    <w:ind w:firstLine="0" w:firstLineChars="0"/>
                    <w:jc w:val="center"/>
                    <w:outlineLvl w:val="0"/>
                    <w:rPr>
                      <w:rFonts w:hint="eastAsia"/>
                      <w:color w:val="auto"/>
                      <w:lang w:val="en-US" w:eastAsia="zh-CN"/>
                    </w:rPr>
                  </w:pPr>
                  <w:r>
                    <w:rPr>
                      <w:rFonts w:hint="eastAsia"/>
                      <w:color w:val="auto"/>
                      <w:lang w:val="en-US" w:eastAsia="zh-CN"/>
                    </w:rPr>
                    <w:t>0.2</w:t>
                  </w:r>
                </w:p>
              </w:tc>
            </w:tr>
            <w:tr w14:paraId="7559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Merge w:val="continue"/>
                  <w:vAlign w:val="center"/>
                </w:tcPr>
                <w:p w14:paraId="14BA3D44">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1140" w:type="dxa"/>
                  <w:gridSpan w:val="2"/>
                  <w:vMerge w:val="continue"/>
                  <w:vAlign w:val="center"/>
                </w:tcPr>
                <w:p w14:paraId="07296D3B">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2299" w:type="dxa"/>
                  <w:vAlign w:val="center"/>
                </w:tcPr>
                <w:p w14:paraId="018E6937">
                  <w:pPr>
                    <w:pStyle w:val="3"/>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cs="Times New Roman"/>
                      <w:color w:val="auto"/>
                      <w:sz w:val="21"/>
                      <w:szCs w:val="21"/>
                    </w:rPr>
                  </w:pPr>
                  <w:r>
                    <w:rPr>
                      <w:rFonts w:hint="eastAsia"/>
                      <w:color w:val="auto"/>
                      <w:lang w:val="en-US" w:eastAsia="zh-CN"/>
                    </w:rPr>
                    <w:t>废含油抹布、废劳保用品</w:t>
                  </w:r>
                </w:p>
              </w:tc>
              <w:tc>
                <w:tcPr>
                  <w:tcW w:w="2074" w:type="dxa"/>
                  <w:vAlign w:val="center"/>
                </w:tcPr>
                <w:p w14:paraId="361AA58B">
                  <w:pPr>
                    <w:pStyle w:val="3"/>
                    <w:ind w:firstLine="0" w:firstLineChars="0"/>
                    <w:jc w:val="center"/>
                    <w:outlineLvl w:val="0"/>
                    <w:rPr>
                      <w:rFonts w:hint="eastAsia"/>
                      <w:color w:val="auto"/>
                      <w:lang w:val="en-US" w:eastAsia="zh-CN"/>
                    </w:rPr>
                  </w:pPr>
                  <w:r>
                    <w:rPr>
                      <w:rFonts w:hint="eastAsia"/>
                      <w:color w:val="auto"/>
                      <w:lang w:val="en-US" w:eastAsia="zh-CN"/>
                    </w:rPr>
                    <w:t>0.05</w:t>
                  </w:r>
                </w:p>
              </w:tc>
            </w:tr>
            <w:tr w14:paraId="296D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 w:type="dxa"/>
                  <w:vMerge w:val="continue"/>
                  <w:vAlign w:val="center"/>
                </w:tcPr>
                <w:p w14:paraId="0A140431">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1140" w:type="dxa"/>
                  <w:gridSpan w:val="2"/>
                  <w:vMerge w:val="continue"/>
                  <w:vAlign w:val="center"/>
                </w:tcPr>
                <w:p w14:paraId="231E29A9">
                  <w:pPr>
                    <w:pStyle w:val="3"/>
                    <w:keepNext/>
                    <w:keepLines/>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p>
              </w:tc>
              <w:tc>
                <w:tcPr>
                  <w:tcW w:w="2299" w:type="dxa"/>
                  <w:vAlign w:val="center"/>
                </w:tcPr>
                <w:p w14:paraId="26755255">
                  <w:pPr>
                    <w:pStyle w:val="3"/>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cs="Times New Roman"/>
                      <w:color w:val="auto"/>
                      <w:sz w:val="21"/>
                      <w:szCs w:val="21"/>
                    </w:rPr>
                  </w:pPr>
                  <w:r>
                    <w:rPr>
                      <w:rFonts w:hint="eastAsia"/>
                      <w:color w:val="auto"/>
                    </w:rPr>
                    <w:t>生活垃圾</w:t>
                  </w:r>
                </w:p>
              </w:tc>
              <w:tc>
                <w:tcPr>
                  <w:tcW w:w="2074" w:type="dxa"/>
                  <w:vAlign w:val="center"/>
                </w:tcPr>
                <w:p w14:paraId="09FAE52A">
                  <w:pPr>
                    <w:pStyle w:val="3"/>
                    <w:ind w:firstLine="0" w:firstLineChars="0"/>
                    <w:jc w:val="center"/>
                    <w:outlineLvl w:val="0"/>
                    <w:rPr>
                      <w:rFonts w:hint="eastAsia"/>
                      <w:color w:val="auto"/>
                      <w:lang w:val="en-US" w:eastAsia="zh-CN"/>
                    </w:rPr>
                  </w:pPr>
                  <w:r>
                    <w:rPr>
                      <w:rFonts w:hint="eastAsia"/>
                      <w:color w:val="auto"/>
                      <w:lang w:val="en-US" w:eastAsia="zh-CN"/>
                    </w:rPr>
                    <w:t>8.1</w:t>
                  </w:r>
                </w:p>
              </w:tc>
            </w:tr>
          </w:tbl>
          <w:p w14:paraId="21F00805">
            <w:pPr>
              <w:ind w:firstLine="0" w:firstLineChars="0"/>
              <w:rPr>
                <w:b/>
                <w:bCs/>
                <w:color w:val="auto"/>
              </w:rPr>
            </w:pPr>
            <w:r>
              <w:rPr>
                <w:rFonts w:hint="eastAsia"/>
                <w:b/>
                <w:bCs/>
                <w:color w:val="auto"/>
                <w:lang w:val="en-US" w:eastAsia="zh-CN"/>
              </w:rPr>
              <w:t>4</w:t>
            </w:r>
            <w:r>
              <w:rPr>
                <w:rFonts w:hint="eastAsia"/>
                <w:b/>
                <w:bCs/>
                <w:color w:val="auto"/>
              </w:rPr>
              <w:t>、现有工程</w:t>
            </w:r>
            <w:r>
              <w:rPr>
                <w:b/>
                <w:bCs/>
                <w:color w:val="auto"/>
              </w:rPr>
              <w:t>环保措施落实情况</w:t>
            </w:r>
          </w:p>
          <w:p w14:paraId="4BE7918B">
            <w:pPr>
              <w:ind w:firstLine="480"/>
              <w:rPr>
                <w:color w:val="auto"/>
              </w:rPr>
            </w:pPr>
            <w:r>
              <w:rPr>
                <w:rFonts w:hint="eastAsia"/>
                <w:color w:val="auto"/>
              </w:rPr>
              <w:t>淮北市鸿济新型建材有限责任公司</w:t>
            </w:r>
            <w:r>
              <w:rPr>
                <w:rFonts w:hint="eastAsia" w:ascii="宋体" w:hAnsi="宋体"/>
                <w:bCs/>
                <w:color w:val="auto"/>
                <w:szCs w:val="21"/>
              </w:rPr>
              <w:t>现有工程</w:t>
            </w:r>
            <w:r>
              <w:rPr>
                <w:color w:val="auto"/>
              </w:rPr>
              <w:t>环评批复及落实情况见</w:t>
            </w:r>
            <w:r>
              <w:rPr>
                <w:rFonts w:hint="eastAsia"/>
                <w:color w:val="auto"/>
              </w:rPr>
              <w:t>下表</w:t>
            </w:r>
            <w:r>
              <w:rPr>
                <w:color w:val="auto"/>
              </w:rPr>
              <w:t>。</w:t>
            </w:r>
          </w:p>
          <w:p w14:paraId="771C4AF7">
            <w:pPr>
              <w:adjustRightInd w:val="0"/>
              <w:snapToGrid w:val="0"/>
              <w:spacing w:line="240" w:lineRule="auto"/>
              <w:ind w:firstLine="0" w:firstLineChars="0"/>
              <w:jc w:val="center"/>
              <w:rPr>
                <w:rFonts w:ascii="宋体" w:hAnsi="宋体"/>
                <w:bCs/>
                <w:color w:val="auto"/>
                <w:szCs w:val="21"/>
              </w:rPr>
            </w:pPr>
            <w:r>
              <w:rPr>
                <w:b/>
                <w:bCs/>
                <w:color w:val="auto"/>
              </w:rPr>
              <w:t>表</w:t>
            </w:r>
            <w:r>
              <w:rPr>
                <w:rFonts w:hint="eastAsia"/>
                <w:b/>
                <w:bCs/>
                <w:color w:val="auto"/>
              </w:rPr>
              <w:t>2</w:t>
            </w:r>
            <w:r>
              <w:rPr>
                <w:rFonts w:hint="eastAsia"/>
                <w:b/>
                <w:bCs/>
                <w:color w:val="auto"/>
                <w:lang w:val="en-US" w:eastAsia="zh-CN"/>
              </w:rPr>
              <w:t>-14</w:t>
            </w:r>
            <w:r>
              <w:rPr>
                <w:b/>
                <w:bCs/>
                <w:color w:val="auto"/>
              </w:rPr>
              <w:t xml:space="preserve">  现有工程“环评批复意见落实情况”一览表</w:t>
            </w:r>
            <w:r>
              <w:rPr>
                <w:rFonts w:hint="eastAsia"/>
                <w:b/>
                <w:bCs/>
                <w:color w:val="auto"/>
              </w:rPr>
              <w:t>验收</w:t>
            </w:r>
          </w:p>
          <w:tbl>
            <w:tblPr>
              <w:tblStyle w:val="27"/>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591"/>
              <w:gridCol w:w="2887"/>
            </w:tblGrid>
            <w:tr w14:paraId="7F47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70" w:type="dxa"/>
                  <w:vAlign w:val="center"/>
                </w:tcPr>
                <w:p w14:paraId="1593D7E8">
                  <w:pPr>
                    <w:pStyle w:val="3"/>
                    <w:outlineLvl w:val="0"/>
                    <w:rPr>
                      <w:b/>
                      <w:bCs/>
                      <w:color w:val="auto"/>
                    </w:rPr>
                  </w:pPr>
                  <w:r>
                    <w:rPr>
                      <w:b/>
                      <w:bCs/>
                      <w:color w:val="auto"/>
                    </w:rPr>
                    <w:t>建设</w:t>
                  </w:r>
                </w:p>
                <w:p w14:paraId="38C1D758">
                  <w:pPr>
                    <w:pStyle w:val="3"/>
                    <w:outlineLvl w:val="0"/>
                    <w:rPr>
                      <w:b/>
                      <w:bCs/>
                      <w:color w:val="auto"/>
                    </w:rPr>
                  </w:pPr>
                  <w:r>
                    <w:rPr>
                      <w:b/>
                      <w:bCs/>
                      <w:color w:val="auto"/>
                    </w:rPr>
                    <w:t>项目</w:t>
                  </w:r>
                </w:p>
              </w:tc>
              <w:tc>
                <w:tcPr>
                  <w:tcW w:w="4591" w:type="dxa"/>
                  <w:vAlign w:val="center"/>
                </w:tcPr>
                <w:p w14:paraId="1775972F">
                  <w:pPr>
                    <w:pStyle w:val="3"/>
                    <w:outlineLvl w:val="0"/>
                    <w:rPr>
                      <w:b/>
                      <w:bCs/>
                      <w:color w:val="auto"/>
                    </w:rPr>
                  </w:pPr>
                  <w:r>
                    <w:rPr>
                      <w:b/>
                      <w:bCs/>
                      <w:color w:val="auto"/>
                    </w:rPr>
                    <w:t>环评批复要求</w:t>
                  </w:r>
                </w:p>
              </w:tc>
              <w:tc>
                <w:tcPr>
                  <w:tcW w:w="2887" w:type="dxa"/>
                  <w:vAlign w:val="center"/>
                </w:tcPr>
                <w:p w14:paraId="3EDA4AD3">
                  <w:pPr>
                    <w:pStyle w:val="3"/>
                    <w:outlineLvl w:val="0"/>
                    <w:rPr>
                      <w:b/>
                      <w:bCs/>
                      <w:color w:val="auto"/>
                    </w:rPr>
                  </w:pPr>
                  <w:r>
                    <w:rPr>
                      <w:b/>
                      <w:bCs/>
                      <w:color w:val="auto"/>
                    </w:rPr>
                    <w:t>执行情况</w:t>
                  </w:r>
                </w:p>
              </w:tc>
            </w:tr>
            <w:tr w14:paraId="7795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0" w:type="dxa"/>
                  <w:vMerge w:val="restart"/>
                  <w:vAlign w:val="center"/>
                </w:tcPr>
                <w:p w14:paraId="1DD90C87">
                  <w:pPr>
                    <w:pStyle w:val="3"/>
                    <w:outlineLvl w:val="0"/>
                    <w:rPr>
                      <w:color w:val="auto"/>
                    </w:rPr>
                  </w:pPr>
                  <w:r>
                    <w:rPr>
                      <w:rFonts w:hint="eastAsia"/>
                      <w:color w:val="auto"/>
                    </w:rPr>
                    <w:t>淮北市鸿济新型建材有限责任公司</w:t>
                  </w:r>
                  <w:r>
                    <w:rPr>
                      <w:rFonts w:hint="eastAsia"/>
                      <w:color w:val="auto"/>
                      <w:lang w:val="en-US" w:eastAsia="zh-CN"/>
                    </w:rPr>
                    <w:t>年产50万吨机制砂暨70万吨干混砂浆项目</w:t>
                  </w:r>
                </w:p>
              </w:tc>
              <w:tc>
                <w:tcPr>
                  <w:tcW w:w="4591" w:type="dxa"/>
                  <w:vAlign w:val="center"/>
                </w:tcPr>
                <w:p w14:paraId="6CA14700">
                  <w:pPr>
                    <w:pStyle w:val="3"/>
                    <w:outlineLvl w:val="0"/>
                    <w:rPr>
                      <w:color w:val="auto"/>
                    </w:rPr>
                  </w:pPr>
                  <w:r>
                    <w:rPr>
                      <w:rFonts w:hint="eastAsia"/>
                      <w:color w:val="auto"/>
                      <w:szCs w:val="21"/>
                    </w:rPr>
                    <w:t>1、落实报告表提出的大气污染防治措施。无组织粉尘通过封闭式卸料、地面硬化、车间密闭、库房密闭、输送管道密闭、定期</w:t>
                  </w:r>
                  <w:r>
                    <w:rPr>
                      <w:rFonts w:hint="eastAsia"/>
                      <w:color w:val="auto"/>
                      <w:szCs w:val="21"/>
                      <w:lang w:val="en-US" w:eastAsia="zh-CN"/>
                    </w:rPr>
                    <w:t>洒</w:t>
                  </w:r>
                  <w:r>
                    <w:rPr>
                      <w:rFonts w:hint="eastAsia"/>
                      <w:color w:val="auto"/>
                      <w:szCs w:val="21"/>
                    </w:rPr>
                    <w:t>水抑尘等措施处理</w:t>
                  </w:r>
                  <w:r>
                    <w:rPr>
                      <w:rFonts w:hint="eastAsia"/>
                      <w:color w:val="auto"/>
                      <w:szCs w:val="21"/>
                      <w:lang w:eastAsia="zh-CN"/>
                    </w:rPr>
                    <w:t>；</w:t>
                  </w:r>
                  <w:r>
                    <w:rPr>
                      <w:rFonts w:hint="eastAsia"/>
                      <w:color w:val="auto"/>
                      <w:szCs w:val="21"/>
                    </w:rPr>
                    <w:t>石块破碎筛分粉尘通过封闭车间生产，上料、输送、进料环节均密闭</w:t>
                  </w:r>
                  <w:r>
                    <w:rPr>
                      <w:rFonts w:hint="eastAsia"/>
                      <w:color w:val="auto"/>
                      <w:szCs w:val="21"/>
                      <w:lang w:eastAsia="zh-CN"/>
                    </w:rPr>
                    <w:t>；</w:t>
                  </w:r>
                  <w:r>
                    <w:rPr>
                      <w:rFonts w:hint="eastAsia"/>
                      <w:color w:val="auto"/>
                      <w:szCs w:val="21"/>
                    </w:rPr>
                    <w:t>每台设备上方采用1套</w:t>
                  </w:r>
                  <w:r>
                    <w:rPr>
                      <w:rFonts w:hint="eastAsia"/>
                      <w:color w:val="auto"/>
                      <w:szCs w:val="21"/>
                      <w:lang w:eastAsia="zh-CN"/>
                    </w:rPr>
                    <w:t>集气罩</w:t>
                  </w:r>
                  <w:r>
                    <w:rPr>
                      <w:rFonts w:hint="eastAsia"/>
                      <w:color w:val="auto"/>
                      <w:szCs w:val="21"/>
                    </w:rPr>
                    <w:t>布袋除尘器处理后经15米排气筒排放</w:t>
                  </w:r>
                  <w:r>
                    <w:rPr>
                      <w:rFonts w:hint="eastAsia"/>
                      <w:color w:val="auto"/>
                      <w:szCs w:val="21"/>
                      <w:lang w:eastAsia="zh-CN"/>
                    </w:rPr>
                    <w:t>；</w:t>
                  </w:r>
                  <w:r>
                    <w:rPr>
                      <w:rFonts w:hint="eastAsia"/>
                      <w:color w:val="auto"/>
                      <w:szCs w:val="21"/>
                    </w:rPr>
                    <w:t>制砂破碎筛分+砂石粉分离通过1套集气罩收集和1台脉冲式除尘器处理后经15 米排气筒排放</w:t>
                  </w:r>
                  <w:r>
                    <w:rPr>
                      <w:rFonts w:hint="eastAsia"/>
                      <w:color w:val="auto"/>
                      <w:szCs w:val="21"/>
                      <w:lang w:eastAsia="zh-CN"/>
                    </w:rPr>
                    <w:t>；</w:t>
                  </w:r>
                  <w:r>
                    <w:rPr>
                      <w:rFonts w:hint="eastAsia"/>
                      <w:color w:val="auto"/>
                      <w:szCs w:val="21"/>
                    </w:rPr>
                    <w:t>干混砂浆生产线(机制砂)</w:t>
                  </w:r>
                  <w:r>
                    <w:rPr>
                      <w:rFonts w:hint="eastAsia"/>
                      <w:color w:val="auto"/>
                      <w:szCs w:val="21"/>
                      <w:lang w:val="en-US" w:eastAsia="zh-CN"/>
                    </w:rPr>
                    <w:t>筒</w:t>
                  </w:r>
                  <w:r>
                    <w:rPr>
                      <w:rFonts w:hint="eastAsia"/>
                      <w:color w:val="auto"/>
                      <w:szCs w:val="21"/>
                    </w:rPr>
                    <w:t>仓仓顶配脉冲袋式除尘器仓顶排放，干混砂浆生产线(机制砂和黄砂)</w:t>
                  </w:r>
                  <w:r>
                    <w:rPr>
                      <w:rFonts w:hint="eastAsia"/>
                      <w:color w:val="auto"/>
                      <w:szCs w:val="21"/>
                      <w:lang w:val="en-US" w:eastAsia="zh-CN"/>
                    </w:rPr>
                    <w:t>筒</w:t>
                  </w:r>
                  <w:r>
                    <w:rPr>
                      <w:rFonts w:hint="eastAsia"/>
                      <w:color w:val="auto"/>
                      <w:szCs w:val="21"/>
                    </w:rPr>
                    <w:t>仓仓顶配滤芯除尘器，仓顶排放</w:t>
                  </w:r>
                  <w:r>
                    <w:rPr>
                      <w:rFonts w:hint="eastAsia"/>
                      <w:color w:val="auto"/>
                      <w:szCs w:val="21"/>
                      <w:lang w:eastAsia="zh-CN"/>
                    </w:rPr>
                    <w:t>；</w:t>
                  </w:r>
                  <w:r>
                    <w:rPr>
                      <w:rFonts w:hint="eastAsia"/>
                      <w:color w:val="auto"/>
                      <w:szCs w:val="21"/>
                    </w:rPr>
                    <w:t>烘干废气和生物质燃烧废气通过设备自带脉冲除尘器+双碱法洗涤+SNCR法脱硝处理后经15米排气筒排放</w:t>
                  </w:r>
                  <w:r>
                    <w:rPr>
                      <w:rFonts w:hint="eastAsia"/>
                      <w:color w:val="auto"/>
                      <w:szCs w:val="21"/>
                      <w:lang w:eastAsia="zh-CN"/>
                    </w:rPr>
                    <w:t>；</w:t>
                  </w:r>
                  <w:r>
                    <w:rPr>
                      <w:rFonts w:hint="eastAsia"/>
                      <w:color w:val="auto"/>
                      <w:szCs w:val="21"/>
                    </w:rPr>
                    <w:t>废砂整形筛分粉尘通过1套集气罩收集和1台脉冲式除尘器处理后经15 米排气</w:t>
                  </w:r>
                  <w:r>
                    <w:rPr>
                      <w:rFonts w:hint="eastAsia"/>
                      <w:color w:val="auto"/>
                      <w:szCs w:val="21"/>
                      <w:lang w:val="en-US" w:eastAsia="zh-CN"/>
                    </w:rPr>
                    <w:t>筒</w:t>
                  </w:r>
                  <w:r>
                    <w:rPr>
                      <w:rFonts w:hint="eastAsia"/>
                      <w:color w:val="auto"/>
                      <w:szCs w:val="21"/>
                    </w:rPr>
                    <w:t>排放;搅拌和包装粉尘分别通过1套集气罩收集和1台脉冲式除尘器处理后经15米排气</w:t>
                  </w:r>
                  <w:r>
                    <w:rPr>
                      <w:rFonts w:hint="eastAsia"/>
                      <w:color w:val="auto"/>
                      <w:szCs w:val="21"/>
                      <w:lang w:val="en-US" w:eastAsia="zh-CN"/>
                    </w:rPr>
                    <w:t>筒</w:t>
                  </w:r>
                  <w:r>
                    <w:rPr>
                      <w:rFonts w:hint="eastAsia"/>
                      <w:color w:val="auto"/>
                      <w:szCs w:val="21"/>
                    </w:rPr>
                    <w:t>排放</w:t>
                  </w:r>
                  <w:r>
                    <w:rPr>
                      <w:rFonts w:hint="eastAsia"/>
                      <w:color w:val="auto"/>
                      <w:szCs w:val="21"/>
                      <w:lang w:eastAsia="zh-CN"/>
                    </w:rPr>
                    <w:t>；</w:t>
                  </w:r>
                  <w:r>
                    <w:rPr>
                      <w:rFonts w:hint="eastAsia"/>
                      <w:color w:val="auto"/>
                      <w:szCs w:val="21"/>
                    </w:rPr>
                    <w:t>食堂油烟经高效油烟净化器处理后通过专用烟道排放</w:t>
                  </w:r>
                  <w:r>
                    <w:rPr>
                      <w:rFonts w:hint="eastAsia"/>
                      <w:color w:val="auto"/>
                      <w:szCs w:val="21"/>
                      <w:lang w:eastAsia="zh-CN"/>
                    </w:rPr>
                    <w:t>；</w:t>
                  </w:r>
                  <w:r>
                    <w:rPr>
                      <w:rFonts w:hint="eastAsia"/>
                      <w:color w:val="auto"/>
                      <w:szCs w:val="21"/>
                    </w:rPr>
                    <w:t>车辆运输扬尘通过</w:t>
                  </w:r>
                  <w:r>
                    <w:rPr>
                      <w:rFonts w:hint="eastAsia"/>
                      <w:color w:val="auto"/>
                      <w:szCs w:val="21"/>
                      <w:lang w:val="en-US" w:eastAsia="zh-CN"/>
                    </w:rPr>
                    <w:t>洒</w:t>
                  </w:r>
                  <w:r>
                    <w:rPr>
                      <w:rFonts w:hint="eastAsia"/>
                      <w:color w:val="auto"/>
                      <w:szCs w:val="21"/>
                    </w:rPr>
                    <w:t>水抑尘、定期清扫地面处理</w:t>
                  </w:r>
                  <w:r>
                    <w:rPr>
                      <w:rFonts w:hint="eastAsia"/>
                      <w:color w:val="auto"/>
                      <w:szCs w:val="21"/>
                      <w:lang w:eastAsia="zh-CN"/>
                    </w:rPr>
                    <w:t>；</w:t>
                  </w:r>
                  <w:r>
                    <w:rPr>
                      <w:rFonts w:hint="eastAsia"/>
                      <w:color w:val="auto"/>
                      <w:szCs w:val="21"/>
                    </w:rPr>
                    <w:t>以上废气中机制砂生产线工艺废气执行上海市《大气污染物综合排放标准》(D)B31/933-2015)表1中排放限值干混砂浆生产线烘干炉废气参照执行《关于加快推进燃煤锅炉超低排放的实施意见》相关标准，其他工艺废气排放执行安徽省地方标准《水泥工业大气污染物排放标准》(DB34/3576-2020)中相关限值。</w:t>
                  </w:r>
                </w:p>
              </w:tc>
              <w:tc>
                <w:tcPr>
                  <w:tcW w:w="2887" w:type="dxa"/>
                  <w:vAlign w:val="center"/>
                </w:tcPr>
                <w:p w14:paraId="4E25A5BC">
                  <w:pPr>
                    <w:pStyle w:val="3"/>
                    <w:bidi w:val="0"/>
                    <w:jc w:val="left"/>
                    <w:rPr>
                      <w:rFonts w:hint="eastAsia"/>
                      <w:color w:val="auto"/>
                      <w:lang w:val="en-US" w:eastAsia="zh-CN"/>
                    </w:rPr>
                  </w:pPr>
                  <w:r>
                    <w:rPr>
                      <w:rFonts w:hint="eastAsia"/>
                      <w:color w:val="auto"/>
                      <w:lang w:val="en-US" w:eastAsia="zh-CN"/>
                    </w:rPr>
                    <w:t>已落实，破碎粉尘采取“密闭房间、集气罩收集+脉冲除尘器”处理后通过DA001排气筒15m排放；</w:t>
                  </w:r>
                </w:p>
                <w:p w14:paraId="15E1C5FF">
                  <w:pPr>
                    <w:pStyle w:val="3"/>
                    <w:outlineLvl w:val="0"/>
                    <w:rPr>
                      <w:rFonts w:hint="default" w:eastAsia="宋体"/>
                      <w:color w:val="auto"/>
                      <w:lang w:val="en-US" w:eastAsia="zh-CN"/>
                    </w:rPr>
                  </w:pPr>
                  <w:r>
                    <w:rPr>
                      <w:rFonts w:hint="eastAsia"/>
                      <w:color w:val="auto"/>
                      <w:lang w:val="en-US" w:eastAsia="zh-CN"/>
                    </w:rPr>
                    <w:t>筛分粉尘采取“密闭房间、集气罩收集+脉冲除尘器”处理后通过DA002排气筒15m排放；制砂破碎筛分粉尘、砂石粉分离粉尘分别采取“管道收集+脉冲除尘器”处理后汇同DA003排气筒15m排放；筒仓呼吸粉尘仓顶配脉冲除尘器，仓顶排放；卸料粉尘封闭卸料方式；道路输送粉尘定期对厂区出入口、车辆行驶路线进行洒水抑尘，以及定期清扫，对进出厂区车辆进行清洗；投料粉尘上料投料口采用三面一顶，车间封闭</w:t>
                  </w:r>
                </w:p>
              </w:tc>
            </w:tr>
            <w:tr w14:paraId="014D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0" w:type="dxa"/>
                  <w:vMerge w:val="continue"/>
                  <w:vAlign w:val="center"/>
                </w:tcPr>
                <w:p w14:paraId="571E3CCC">
                  <w:pPr>
                    <w:pStyle w:val="3"/>
                    <w:outlineLvl w:val="0"/>
                    <w:rPr>
                      <w:color w:val="auto"/>
                    </w:rPr>
                  </w:pPr>
                </w:p>
              </w:tc>
              <w:tc>
                <w:tcPr>
                  <w:tcW w:w="4591" w:type="dxa"/>
                  <w:vAlign w:val="center"/>
                </w:tcPr>
                <w:p w14:paraId="59757F38">
                  <w:pPr>
                    <w:pStyle w:val="3"/>
                    <w:outlineLvl w:val="0"/>
                    <w:rPr>
                      <w:color w:val="auto"/>
                    </w:rPr>
                  </w:pPr>
                  <w:r>
                    <w:rPr>
                      <w:rFonts w:hint="eastAsia"/>
                      <w:color w:val="auto"/>
                      <w:szCs w:val="21"/>
                    </w:rPr>
                    <w:t>2、落实报告表提出的水污染防治措施。实行雨污分流、清污分流，强化节水措施，提高水的重复利用率。原则同意报告表提出的污水处理方案，生活污水经过化</w:t>
                  </w:r>
                  <w:r>
                    <w:rPr>
                      <w:rFonts w:hint="eastAsia"/>
                      <w:color w:val="auto"/>
                      <w:szCs w:val="21"/>
                      <w:lang w:val="en-US" w:eastAsia="zh-CN"/>
                    </w:rPr>
                    <w:t>粪</w:t>
                  </w:r>
                  <w:r>
                    <w:rPr>
                      <w:rFonts w:hint="eastAsia"/>
                      <w:color w:val="auto"/>
                      <w:szCs w:val="21"/>
                    </w:rPr>
                    <w:t>池+地埋式污水处理设施预处理后用于厂区绿化</w:t>
                  </w:r>
                  <w:r>
                    <w:rPr>
                      <w:rFonts w:hint="eastAsia"/>
                      <w:color w:val="auto"/>
                      <w:szCs w:val="21"/>
                      <w:lang w:eastAsia="zh-CN"/>
                    </w:rPr>
                    <w:t>；</w:t>
                  </w:r>
                  <w:r>
                    <w:rPr>
                      <w:rFonts w:hint="eastAsia"/>
                      <w:color w:val="auto"/>
                      <w:szCs w:val="21"/>
                    </w:rPr>
                    <w:t>食堂废水经隔油池处理后与生活污水一同处理</w:t>
                  </w:r>
                  <w:r>
                    <w:rPr>
                      <w:rFonts w:hint="eastAsia"/>
                      <w:color w:val="auto"/>
                      <w:szCs w:val="21"/>
                      <w:lang w:eastAsia="zh-CN"/>
                    </w:rPr>
                    <w:t>，</w:t>
                  </w:r>
                  <w:r>
                    <w:rPr>
                      <w:rFonts w:hint="eastAsia"/>
                      <w:color w:val="auto"/>
                      <w:szCs w:val="21"/>
                    </w:rPr>
                    <w:t>以上</w:t>
                  </w:r>
                  <w:r>
                    <w:rPr>
                      <w:rFonts w:hint="eastAsia"/>
                      <w:color w:val="auto"/>
                      <w:szCs w:val="21"/>
                      <w:lang w:val="en-US" w:eastAsia="zh-CN"/>
                    </w:rPr>
                    <w:t>废</w:t>
                  </w:r>
                  <w:r>
                    <w:rPr>
                      <w:rFonts w:hint="eastAsia"/>
                      <w:color w:val="auto"/>
                      <w:szCs w:val="21"/>
                    </w:rPr>
                    <w:t>水均综合利用，不外排。车辆清洗废水经过三级沉淀池沉淀后回用;脱硫废水经再生池再生后回用;车辆清洗废水和脱硫废水均循环利用，不外排，</w:t>
                  </w:r>
                </w:p>
              </w:tc>
              <w:tc>
                <w:tcPr>
                  <w:tcW w:w="2887" w:type="dxa"/>
                  <w:vAlign w:val="center"/>
                </w:tcPr>
                <w:p w14:paraId="1897A9B2">
                  <w:pPr>
                    <w:pStyle w:val="3"/>
                    <w:outlineLvl w:val="0"/>
                    <w:rPr>
                      <w:rFonts w:hint="default" w:eastAsia="宋体"/>
                      <w:color w:val="auto"/>
                      <w:lang w:val="en-US" w:eastAsia="zh-CN"/>
                    </w:rPr>
                  </w:pPr>
                  <w:r>
                    <w:rPr>
                      <w:rFonts w:hint="eastAsia"/>
                      <w:color w:val="auto"/>
                    </w:rPr>
                    <w:t>已落实</w:t>
                  </w:r>
                  <w:r>
                    <w:rPr>
                      <w:rFonts w:hint="eastAsia"/>
                      <w:color w:val="auto"/>
                      <w:lang w:eastAsia="zh-CN"/>
                    </w:rPr>
                    <w:t>，</w:t>
                  </w:r>
                  <w:r>
                    <w:rPr>
                      <w:rFonts w:hint="eastAsia"/>
                      <w:color w:val="auto"/>
                    </w:rPr>
                    <w:t>全厂雨污分流；生活污水经隔油池、化粪池预处理后由吸粪车定期抽运处理；车辆清洁废水</w:t>
                  </w:r>
                  <w:r>
                    <w:rPr>
                      <w:rFonts w:hint="eastAsia"/>
                      <w:color w:val="auto"/>
                      <w:lang w:eastAsia="zh-CN"/>
                    </w:rPr>
                    <w:t>、</w:t>
                  </w:r>
                  <w:r>
                    <w:rPr>
                      <w:rFonts w:hint="eastAsia"/>
                      <w:color w:val="auto"/>
                    </w:rPr>
                    <w:t>道路清洁废水厂区二级沉淀池处理后回用；设备清洁废水经</w:t>
                  </w:r>
                  <w:r>
                    <w:rPr>
                      <w:rFonts w:hint="eastAsia"/>
                      <w:color w:val="auto"/>
                      <w:lang w:val="en-US" w:eastAsia="zh-CN"/>
                    </w:rPr>
                    <w:t>污水处理系统</w:t>
                  </w:r>
                  <w:r>
                    <w:rPr>
                      <w:rFonts w:hint="eastAsia"/>
                      <w:color w:val="auto"/>
                    </w:rPr>
                    <w:t>处理后回用</w:t>
                  </w:r>
                  <w:r>
                    <w:rPr>
                      <w:rFonts w:hint="eastAsia"/>
                      <w:color w:val="auto"/>
                      <w:lang w:eastAsia="zh-CN"/>
                    </w:rPr>
                    <w:t>，</w:t>
                  </w:r>
                  <w:r>
                    <w:rPr>
                      <w:rFonts w:hint="eastAsia"/>
                      <w:color w:val="auto"/>
                      <w:lang w:val="en-US" w:eastAsia="zh-CN"/>
                    </w:rPr>
                    <w:t>现有工程涉及</w:t>
                  </w:r>
                  <w:r>
                    <w:rPr>
                      <w:rFonts w:hint="eastAsia"/>
                      <w:color w:val="auto"/>
                      <w:szCs w:val="21"/>
                    </w:rPr>
                    <w:t>脱硫废水</w:t>
                  </w:r>
                </w:p>
              </w:tc>
            </w:tr>
            <w:tr w14:paraId="6335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0" w:type="dxa"/>
                  <w:vMerge w:val="continue"/>
                  <w:vAlign w:val="center"/>
                </w:tcPr>
                <w:p w14:paraId="03D86A15">
                  <w:pPr>
                    <w:pStyle w:val="3"/>
                    <w:outlineLvl w:val="0"/>
                    <w:rPr>
                      <w:color w:val="auto"/>
                    </w:rPr>
                  </w:pPr>
                </w:p>
              </w:tc>
              <w:tc>
                <w:tcPr>
                  <w:tcW w:w="4591" w:type="dxa"/>
                  <w:vAlign w:val="center"/>
                </w:tcPr>
                <w:p w14:paraId="000B6F14">
                  <w:pPr>
                    <w:pStyle w:val="3"/>
                    <w:outlineLvl w:val="0"/>
                    <w:rPr>
                      <w:color w:val="auto"/>
                    </w:rPr>
                  </w:pPr>
                  <w:r>
                    <w:rPr>
                      <w:rFonts w:hint="eastAsia"/>
                      <w:color w:val="auto"/>
                      <w:szCs w:val="21"/>
                    </w:rPr>
                    <w:t>3、落实报告表提出的噪声污染防治措施。优化厂区平面布置选用低噪声设备，采取厂房隔声、减振、吸声等措施进行噪声治理，满足《工业企业厂界环境噪声排放标准》(GB12348-2008)中2类标准。</w:t>
                  </w:r>
                </w:p>
              </w:tc>
              <w:tc>
                <w:tcPr>
                  <w:tcW w:w="2887" w:type="dxa"/>
                  <w:vAlign w:val="center"/>
                </w:tcPr>
                <w:p w14:paraId="413239DA">
                  <w:pPr>
                    <w:pStyle w:val="3"/>
                    <w:outlineLvl w:val="0"/>
                    <w:rPr>
                      <w:rFonts w:hint="eastAsia" w:eastAsia="宋体"/>
                      <w:color w:val="auto"/>
                      <w:lang w:eastAsia="zh-CN"/>
                    </w:rPr>
                  </w:pPr>
                  <w:r>
                    <w:rPr>
                      <w:rFonts w:hint="eastAsia"/>
                      <w:color w:val="auto"/>
                      <w:szCs w:val="21"/>
                    </w:rPr>
                    <w:t>已落实，机械设备通过优先选用高效低噪设备，对设备采取隔减振等措施</w:t>
                  </w:r>
                  <w:r>
                    <w:rPr>
                      <w:rFonts w:hint="eastAsia"/>
                      <w:color w:val="auto"/>
                      <w:szCs w:val="21"/>
                      <w:lang w:eastAsia="zh-CN"/>
                    </w:rPr>
                    <w:t>，</w:t>
                  </w:r>
                  <w:r>
                    <w:rPr>
                      <w:rFonts w:hint="eastAsia"/>
                      <w:color w:val="auto"/>
                      <w:szCs w:val="21"/>
                    </w:rPr>
                    <w:t>满足《工业企业厂界环境噪声排放标准》(GB12348-2008)中2类标准。</w:t>
                  </w:r>
                </w:p>
              </w:tc>
            </w:tr>
            <w:tr w14:paraId="610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0" w:type="dxa"/>
                  <w:vMerge w:val="continue"/>
                  <w:vAlign w:val="center"/>
                </w:tcPr>
                <w:p w14:paraId="19E70BBF">
                  <w:pPr>
                    <w:pStyle w:val="3"/>
                    <w:outlineLvl w:val="0"/>
                    <w:rPr>
                      <w:color w:val="auto"/>
                    </w:rPr>
                  </w:pPr>
                </w:p>
              </w:tc>
              <w:tc>
                <w:tcPr>
                  <w:tcW w:w="4591" w:type="dxa"/>
                  <w:vAlign w:val="center"/>
                </w:tcPr>
                <w:p w14:paraId="55D0A5D5">
                  <w:pPr>
                    <w:pStyle w:val="3"/>
                    <w:outlineLvl w:val="0"/>
                    <w:rPr>
                      <w:color w:val="auto"/>
                    </w:rPr>
                  </w:pPr>
                  <w:r>
                    <w:rPr>
                      <w:rFonts w:hint="eastAsia"/>
                      <w:color w:val="auto"/>
                      <w:szCs w:val="21"/>
                    </w:rPr>
                    <w:t>4、强化固废在产生、收集、贮运各环节的管理，采取有效的防护措施，加强固体废弃物的环境管理工作。废金属、废轻物质统一收集后，暂存于厂区一般固废暂存场所，定期外售给物资回收公司。沉淀池污泥、自然沉降粉尘、除尘器收集的粉尘、生物质炉渣集中收集后外售至制砖企业综合利用。废劳保用品、生活垃圾统一收集后由环卫部门定期清运。废含油抹布、废机油收集后委托有资质危废处置单位回收。</w:t>
                  </w:r>
                </w:p>
              </w:tc>
              <w:tc>
                <w:tcPr>
                  <w:tcW w:w="2887" w:type="dxa"/>
                  <w:vAlign w:val="center"/>
                </w:tcPr>
                <w:p w14:paraId="156AAD7F">
                  <w:pPr>
                    <w:widowControl/>
                    <w:adjustRightInd w:val="0"/>
                    <w:snapToGrid w:val="0"/>
                    <w:spacing w:line="240" w:lineRule="auto"/>
                    <w:ind w:firstLine="0" w:firstLineChars="0"/>
                    <w:jc w:val="center"/>
                    <w:rPr>
                      <w:rFonts w:hint="default" w:eastAsia="宋体"/>
                      <w:color w:val="auto"/>
                      <w:lang w:val="en-US" w:eastAsia="zh-CN"/>
                    </w:rPr>
                  </w:pPr>
                  <w:r>
                    <w:rPr>
                      <w:rFonts w:hint="eastAsia"/>
                      <w:color w:val="auto"/>
                      <w:sz w:val="21"/>
                      <w:szCs w:val="21"/>
                    </w:rPr>
                    <w:t>已落实，</w:t>
                  </w:r>
                  <w:r>
                    <w:rPr>
                      <w:rFonts w:hint="eastAsia"/>
                      <w:color w:val="auto"/>
                      <w:sz w:val="21"/>
                      <w:szCs w:val="21"/>
                      <w:lang w:val="en-US" w:eastAsia="zh-CN"/>
                    </w:rPr>
                    <w:t>除尘器收集粉尘、自然沉降粉尘、剔除的金属物、去除的轻物质、沉淀池沉渣暂存于一般工业固体废物暂存场所，定期外售；废机油、废含油抹布、废劳保用品暂存于危废暂存库，定期交由有资质单位处理。</w:t>
                  </w:r>
                </w:p>
              </w:tc>
            </w:tr>
            <w:tr w14:paraId="7D24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0" w:type="dxa"/>
                  <w:vMerge w:val="continue"/>
                  <w:vAlign w:val="center"/>
                </w:tcPr>
                <w:p w14:paraId="6713AF24">
                  <w:pPr>
                    <w:pStyle w:val="3"/>
                    <w:outlineLvl w:val="0"/>
                    <w:rPr>
                      <w:color w:val="auto"/>
                    </w:rPr>
                  </w:pPr>
                </w:p>
              </w:tc>
              <w:tc>
                <w:tcPr>
                  <w:tcW w:w="4591" w:type="dxa"/>
                  <w:vAlign w:val="center"/>
                </w:tcPr>
                <w:p w14:paraId="7FA6C02D">
                  <w:pPr>
                    <w:pStyle w:val="3"/>
                    <w:outlineLvl w:val="0"/>
                    <w:rPr>
                      <w:color w:val="auto"/>
                    </w:rPr>
                  </w:pPr>
                  <w:r>
                    <w:rPr>
                      <w:rFonts w:hint="eastAsia"/>
                      <w:color w:val="auto"/>
                      <w:szCs w:val="21"/>
                    </w:rPr>
                    <w:t>5、加强日常环境风险防范工作，建立应急指挥机构，制定环境风险应急预案，开展突发环境事件应急预案演练，降低风险事故发生的几率及危害程度，完成环境风险应急预案备案工作</w:t>
                  </w:r>
                </w:p>
              </w:tc>
              <w:tc>
                <w:tcPr>
                  <w:tcW w:w="2887" w:type="dxa"/>
                  <w:vAlign w:val="center"/>
                </w:tcPr>
                <w:p w14:paraId="3F1E2235">
                  <w:pPr>
                    <w:widowControl/>
                    <w:adjustRightInd w:val="0"/>
                    <w:snapToGrid w:val="0"/>
                    <w:spacing w:line="240" w:lineRule="auto"/>
                    <w:ind w:firstLine="0" w:firstLineChars="0"/>
                    <w:jc w:val="center"/>
                    <w:rPr>
                      <w:color w:val="auto"/>
                    </w:rPr>
                  </w:pPr>
                  <w:r>
                    <w:rPr>
                      <w:rFonts w:hint="eastAsia"/>
                      <w:color w:val="auto"/>
                      <w:sz w:val="21"/>
                      <w:szCs w:val="21"/>
                    </w:rPr>
                    <w:t>已落实，符合环评要求。根据验收监测结果，项目各项污染物均可做到达标排放</w:t>
                  </w:r>
                </w:p>
              </w:tc>
            </w:tr>
            <w:tr w14:paraId="1AC7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0" w:type="dxa"/>
                  <w:vMerge w:val="continue"/>
                  <w:vAlign w:val="center"/>
                </w:tcPr>
                <w:p w14:paraId="5374E387">
                  <w:pPr>
                    <w:pStyle w:val="3"/>
                    <w:outlineLvl w:val="0"/>
                    <w:rPr>
                      <w:color w:val="auto"/>
                    </w:rPr>
                  </w:pPr>
                </w:p>
              </w:tc>
              <w:tc>
                <w:tcPr>
                  <w:tcW w:w="4591" w:type="dxa"/>
                  <w:vAlign w:val="center"/>
                </w:tcPr>
                <w:p w14:paraId="2A2982AE">
                  <w:pPr>
                    <w:pStyle w:val="3"/>
                    <w:outlineLvl w:val="0"/>
                    <w:rPr>
                      <w:rFonts w:hint="eastAsia"/>
                      <w:color w:val="auto"/>
                      <w:szCs w:val="21"/>
                    </w:rPr>
                  </w:pPr>
                  <w:r>
                    <w:rPr>
                      <w:rFonts w:hint="eastAsia"/>
                      <w:color w:val="auto"/>
                      <w:szCs w:val="21"/>
                    </w:rPr>
                    <w:t>6、环境防护距离内不得新建医院、学校、居住区等环境敏感目标。</w:t>
                  </w:r>
                </w:p>
              </w:tc>
              <w:tc>
                <w:tcPr>
                  <w:tcW w:w="2887" w:type="dxa"/>
                  <w:vAlign w:val="center"/>
                </w:tcPr>
                <w:p w14:paraId="143C40B4">
                  <w:pPr>
                    <w:widowControl/>
                    <w:adjustRightInd w:val="0"/>
                    <w:snapToGrid w:val="0"/>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已落实，500m范围内未建医院、学校、居住区等环境敏感目标</w:t>
                  </w:r>
                </w:p>
              </w:tc>
            </w:tr>
            <w:tr w14:paraId="32E5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0" w:type="dxa"/>
                  <w:vMerge w:val="continue"/>
                  <w:vAlign w:val="center"/>
                </w:tcPr>
                <w:p w14:paraId="5BFC8945">
                  <w:pPr>
                    <w:pStyle w:val="3"/>
                    <w:outlineLvl w:val="0"/>
                    <w:rPr>
                      <w:color w:val="auto"/>
                    </w:rPr>
                  </w:pPr>
                </w:p>
              </w:tc>
              <w:tc>
                <w:tcPr>
                  <w:tcW w:w="4591" w:type="dxa"/>
                  <w:vAlign w:val="center"/>
                </w:tcPr>
                <w:p w14:paraId="3A94F4A3">
                  <w:pPr>
                    <w:pStyle w:val="3"/>
                    <w:outlineLvl w:val="0"/>
                    <w:rPr>
                      <w:rFonts w:hint="eastAsia"/>
                      <w:color w:val="auto"/>
                      <w:szCs w:val="21"/>
                    </w:rPr>
                  </w:pPr>
                  <w:r>
                    <w:rPr>
                      <w:rFonts w:hint="eastAsia"/>
                      <w:color w:val="auto"/>
                      <w:szCs w:val="21"/>
                    </w:rPr>
                    <w:t>7、该项目建设主要污染物总量控制指标为</w:t>
                  </w:r>
                  <w:r>
                    <w:rPr>
                      <w:rFonts w:hint="eastAsia"/>
                      <w:color w:val="auto"/>
                      <w:szCs w:val="21"/>
                      <w:lang w:eastAsia="zh-CN"/>
                    </w:rPr>
                    <w:t>：</w:t>
                  </w:r>
                  <w:r>
                    <w:rPr>
                      <w:rFonts w:hint="eastAsia"/>
                      <w:color w:val="auto"/>
                      <w:szCs w:val="21"/>
                    </w:rPr>
                    <w:t>烟粉尘排放6.666吨/年</w:t>
                  </w:r>
                  <w:r>
                    <w:rPr>
                      <w:rFonts w:hint="eastAsia"/>
                      <w:color w:val="auto"/>
                      <w:szCs w:val="21"/>
                      <w:lang w:eastAsia="zh-CN"/>
                    </w:rPr>
                    <w:t>，</w:t>
                  </w:r>
                  <w:r>
                    <w:rPr>
                      <w:rFonts w:hint="eastAsia"/>
                      <w:color w:val="auto"/>
                      <w:szCs w:val="21"/>
                    </w:rPr>
                    <w:t>二氧化硫排放量0.612吨/年,氨氧化物排放量为0.816吨/年。</w:t>
                  </w:r>
                </w:p>
              </w:tc>
              <w:tc>
                <w:tcPr>
                  <w:tcW w:w="2887" w:type="dxa"/>
                  <w:vAlign w:val="center"/>
                </w:tcPr>
                <w:p w14:paraId="1ABE7B02">
                  <w:pPr>
                    <w:widowControl/>
                    <w:adjustRightInd w:val="0"/>
                    <w:snapToGrid w:val="0"/>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已落实，现有工程颗粒物排放量为0.8544t/a</w:t>
                  </w:r>
                </w:p>
              </w:tc>
            </w:tr>
          </w:tbl>
          <w:p w14:paraId="6F6519D5">
            <w:pPr>
              <w:ind w:firstLine="0" w:firstLineChars="0"/>
              <w:rPr>
                <w:b/>
                <w:bCs/>
                <w:color w:val="auto"/>
              </w:rPr>
            </w:pPr>
            <w:r>
              <w:rPr>
                <w:rFonts w:hint="eastAsia"/>
                <w:b/>
                <w:bCs/>
                <w:color w:val="auto"/>
                <w:lang w:val="en-US" w:eastAsia="zh-CN"/>
              </w:rPr>
              <w:t>5</w:t>
            </w:r>
            <w:r>
              <w:rPr>
                <w:rFonts w:hint="eastAsia"/>
                <w:b/>
                <w:bCs/>
                <w:color w:val="auto"/>
              </w:rPr>
              <w:t>、现有工程存在的环境问题</w:t>
            </w:r>
          </w:p>
          <w:p w14:paraId="79356260">
            <w:pPr>
              <w:bidi w:val="0"/>
              <w:rPr>
                <w:color w:val="auto"/>
              </w:rPr>
            </w:pPr>
            <w:r>
              <w:rPr>
                <w:rFonts w:hint="eastAsia"/>
                <w:color w:val="auto"/>
                <w:lang w:val="en-US" w:eastAsia="zh-CN"/>
              </w:rPr>
              <w:t>（1）现场未设置雾化喷淋，厂内无组织产尘较为严重；</w:t>
            </w:r>
          </w:p>
          <w:p w14:paraId="1E8ED390">
            <w:pPr>
              <w:bidi w:val="0"/>
              <w:rPr>
                <w:rFonts w:hint="default" w:eastAsia="宋体"/>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lang w:val="en-US" w:eastAsia="zh-CN"/>
              </w:rPr>
              <w:t>现有工程未安装地面冲洗装置；</w:t>
            </w:r>
          </w:p>
          <w:p w14:paraId="68144BC3">
            <w:pPr>
              <w:ind w:firstLine="420"/>
              <w:rPr>
                <w:rFonts w:hint="default"/>
                <w:color w:val="auto"/>
                <w:lang w:val="en-US" w:eastAsia="zh-CN"/>
              </w:rPr>
            </w:pPr>
            <w:r>
              <w:rPr>
                <w:rFonts w:hint="eastAsia"/>
                <w:color w:val="auto"/>
                <w:lang w:val="en-US" w:eastAsia="zh-CN"/>
              </w:rPr>
              <w:t>（3）现行废水处理方式“食堂废水经隔油池处理后与生活污水一同经化粪池预处理后定期清掏，用于农田施肥，不外排”不符合现行环保要求。</w:t>
            </w:r>
          </w:p>
          <w:p w14:paraId="7BA9E583">
            <w:pPr>
              <w:ind w:firstLine="482"/>
              <w:rPr>
                <w:color w:val="auto"/>
              </w:rPr>
            </w:pPr>
            <w:r>
              <w:rPr>
                <w:rFonts w:hint="eastAsia"/>
                <w:b/>
                <w:color w:val="auto"/>
              </w:rPr>
              <w:t>本环评将针对现有工程存在的环境问题提出以下</w:t>
            </w:r>
            <w:r>
              <w:rPr>
                <w:b/>
                <w:color w:val="auto"/>
              </w:rPr>
              <w:t>整改</w:t>
            </w:r>
            <w:r>
              <w:rPr>
                <w:rFonts w:hint="eastAsia"/>
                <w:b/>
                <w:color w:val="auto"/>
              </w:rPr>
              <w:t>要求</w:t>
            </w:r>
            <w:r>
              <w:rPr>
                <w:b/>
                <w:color w:val="auto"/>
              </w:rPr>
              <w:t>：</w:t>
            </w:r>
          </w:p>
          <w:p w14:paraId="3E5173EC">
            <w:pPr>
              <w:pStyle w:val="12"/>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color w:val="auto"/>
                <w:lang w:val="en-US" w:eastAsia="zh-CN"/>
              </w:rPr>
            </w:pPr>
            <w:r>
              <w:rPr>
                <w:rFonts w:hint="eastAsia"/>
                <w:color w:val="auto"/>
                <w:lang w:val="en-US" w:eastAsia="zh-CN"/>
              </w:rPr>
              <w:t>（1）环评要求在产尘点设置雾化喷淋（可降尘50%），定期清扫地面、加强无组织控尘措施；</w:t>
            </w:r>
          </w:p>
          <w:p w14:paraId="52336642">
            <w:pPr>
              <w:keepNext w:val="0"/>
              <w:keepLines w:val="0"/>
              <w:pageBreakBefore w:val="0"/>
              <w:widowControl w:val="0"/>
              <w:kinsoku/>
              <w:wordWrap/>
              <w:overflowPunct/>
              <w:topLinePunct w:val="0"/>
              <w:autoSpaceDE/>
              <w:autoSpaceDN/>
              <w:bidi w:val="0"/>
              <w:adjustRightInd/>
              <w:snapToGrid/>
              <w:ind w:firstLine="420"/>
              <w:textAlignment w:val="auto"/>
              <w:rPr>
                <w:rFonts w:hint="eastAsia" w:eastAsia="宋体"/>
                <w:b w:val="0"/>
                <w:bCs w:val="0"/>
                <w:color w:val="auto"/>
                <w:lang w:val="en-US" w:eastAsia="zh-CN"/>
              </w:rPr>
            </w:pPr>
            <w:r>
              <w:rPr>
                <w:rFonts w:hint="eastAsia"/>
                <w:b w:val="0"/>
                <w:bCs w:val="0"/>
                <w:color w:val="auto"/>
                <w:lang w:val="en-US" w:eastAsia="zh-CN"/>
              </w:rPr>
              <w:t>（2）本次扩建项目针对地面清扫粉尘采取地面冲洗，冲洗废水</w:t>
            </w:r>
            <w:r>
              <w:rPr>
                <w:color w:val="auto"/>
              </w:rPr>
              <w:t>进入二级沉淀池沉淀后循环使用</w:t>
            </w:r>
            <w:r>
              <w:rPr>
                <w:rFonts w:hint="eastAsia"/>
                <w:color w:val="auto"/>
              </w:rPr>
              <w:t>，不外排</w:t>
            </w:r>
            <w:r>
              <w:rPr>
                <w:rFonts w:hint="eastAsia"/>
                <w:color w:val="auto"/>
                <w:lang w:eastAsia="zh-CN"/>
              </w:rPr>
              <w:t>；</w:t>
            </w:r>
          </w:p>
          <w:p w14:paraId="25E40FD7">
            <w:pPr>
              <w:keepNext w:val="0"/>
              <w:keepLines w:val="0"/>
              <w:pageBreakBefore w:val="0"/>
              <w:widowControl w:val="0"/>
              <w:kinsoku/>
              <w:wordWrap/>
              <w:overflowPunct/>
              <w:topLinePunct w:val="0"/>
              <w:autoSpaceDE/>
              <w:autoSpaceDN/>
              <w:bidi w:val="0"/>
              <w:adjustRightInd/>
              <w:snapToGrid/>
              <w:ind w:firstLine="420"/>
              <w:textAlignment w:val="auto"/>
              <w:rPr>
                <w:rFonts w:hint="default"/>
                <w:b w:val="0"/>
                <w:bCs w:val="0"/>
                <w:color w:val="auto"/>
                <w:lang w:val="en-US" w:eastAsia="zh-CN"/>
              </w:rPr>
            </w:pPr>
            <w:r>
              <w:rPr>
                <w:rFonts w:hint="eastAsia"/>
                <w:b w:val="0"/>
                <w:bCs w:val="0"/>
                <w:color w:val="auto"/>
                <w:lang w:val="en-US" w:eastAsia="zh-CN"/>
              </w:rPr>
              <w:t>（3）</w:t>
            </w:r>
            <w:r>
              <w:rPr>
                <w:rFonts w:hint="eastAsia"/>
                <w:color w:val="auto"/>
                <w:lang w:val="en-US" w:eastAsia="zh-CN"/>
              </w:rPr>
              <w:t>环评要求</w:t>
            </w:r>
            <w:r>
              <w:rPr>
                <w:rFonts w:hint="eastAsia"/>
                <w:b w:val="0"/>
                <w:bCs w:val="0"/>
                <w:color w:val="auto"/>
                <w:lang w:val="en-US" w:eastAsia="zh-CN"/>
              </w:rPr>
              <w:t>废水处理方式升级改造</w:t>
            </w:r>
            <w:r>
              <w:rPr>
                <w:rFonts w:hint="eastAsia"/>
                <w:color w:val="auto"/>
                <w:lang w:val="en-US" w:eastAsia="zh-CN"/>
              </w:rPr>
              <w:t>为食堂废水经隔油池处理后与生活污水一同经化粪池预处理吸粪车定期抽运，不外排；三级沉淀池升级改造为二级沉淀池。</w:t>
            </w:r>
          </w:p>
          <w:p w14:paraId="7C257364">
            <w:pPr>
              <w:ind w:firstLine="420"/>
              <w:rPr>
                <w:rFonts w:hint="default"/>
                <w:color w:val="auto"/>
                <w:lang w:val="en-US" w:eastAsia="zh-CN"/>
              </w:rPr>
            </w:pPr>
            <w:r>
              <w:rPr>
                <w:rFonts w:hint="eastAsia"/>
                <w:b/>
                <w:bCs/>
                <w:color w:val="auto"/>
                <w:lang w:val="en-US" w:eastAsia="zh-CN"/>
              </w:rPr>
              <w:t>在取得实际投产前，环评要求对以上环境问题进行整改。</w:t>
            </w:r>
          </w:p>
          <w:p w14:paraId="46D96ABA">
            <w:pPr>
              <w:ind w:firstLine="0" w:firstLineChars="0"/>
              <w:rPr>
                <w:rFonts w:hint="eastAsia" w:ascii="宋体" w:hAnsi="宋体"/>
                <w:bCs/>
                <w:color w:val="auto"/>
                <w:szCs w:val="21"/>
                <w:lang w:val="en-US" w:eastAsia="zh-CN"/>
              </w:rPr>
            </w:pPr>
          </w:p>
          <w:p w14:paraId="45373BB9">
            <w:pPr>
              <w:ind w:firstLine="0" w:firstLineChars="0"/>
              <w:rPr>
                <w:rFonts w:hint="eastAsia" w:ascii="宋体" w:hAnsi="宋体"/>
                <w:bCs/>
                <w:color w:val="auto"/>
                <w:szCs w:val="21"/>
                <w:lang w:val="en-US" w:eastAsia="zh-CN"/>
              </w:rPr>
            </w:pPr>
          </w:p>
          <w:p w14:paraId="429758AA">
            <w:pPr>
              <w:ind w:firstLine="0" w:firstLineChars="0"/>
              <w:rPr>
                <w:rFonts w:hint="eastAsia" w:ascii="宋体" w:hAnsi="宋体"/>
                <w:bCs/>
                <w:color w:val="auto"/>
                <w:szCs w:val="21"/>
                <w:lang w:val="en-US" w:eastAsia="zh-CN"/>
              </w:rPr>
            </w:pPr>
          </w:p>
          <w:p w14:paraId="58281C20">
            <w:pPr>
              <w:ind w:firstLine="0" w:firstLineChars="0"/>
              <w:rPr>
                <w:rFonts w:hint="eastAsia" w:ascii="宋体" w:hAnsi="宋体"/>
                <w:bCs/>
                <w:color w:val="auto"/>
                <w:szCs w:val="21"/>
                <w:lang w:val="en-US" w:eastAsia="zh-CN"/>
              </w:rPr>
            </w:pPr>
          </w:p>
          <w:p w14:paraId="530D461B">
            <w:pPr>
              <w:ind w:firstLine="0" w:firstLineChars="0"/>
              <w:rPr>
                <w:rFonts w:hint="eastAsia" w:ascii="宋体" w:hAnsi="宋体"/>
                <w:bCs/>
                <w:color w:val="auto"/>
                <w:szCs w:val="21"/>
                <w:lang w:val="en-US" w:eastAsia="zh-CN"/>
              </w:rPr>
            </w:pPr>
          </w:p>
          <w:p w14:paraId="511B2AA4">
            <w:pPr>
              <w:ind w:firstLine="0" w:firstLineChars="0"/>
              <w:rPr>
                <w:rFonts w:hint="eastAsia" w:ascii="宋体" w:hAnsi="宋体"/>
                <w:bCs/>
                <w:color w:val="auto"/>
                <w:szCs w:val="21"/>
                <w:lang w:val="en-US" w:eastAsia="zh-CN"/>
              </w:rPr>
            </w:pPr>
          </w:p>
          <w:p w14:paraId="2B64F131">
            <w:pPr>
              <w:ind w:firstLine="0" w:firstLineChars="0"/>
              <w:rPr>
                <w:rFonts w:hint="eastAsia" w:ascii="宋体" w:hAnsi="宋体"/>
                <w:bCs/>
                <w:color w:val="auto"/>
                <w:szCs w:val="21"/>
                <w:lang w:val="en-US" w:eastAsia="zh-CN"/>
              </w:rPr>
            </w:pPr>
          </w:p>
          <w:p w14:paraId="5D9E84F2">
            <w:pPr>
              <w:ind w:firstLine="0" w:firstLineChars="0"/>
              <w:rPr>
                <w:rFonts w:hint="eastAsia" w:ascii="宋体" w:hAnsi="宋体"/>
                <w:bCs/>
                <w:color w:val="auto"/>
                <w:szCs w:val="21"/>
                <w:lang w:val="en-US" w:eastAsia="zh-CN"/>
              </w:rPr>
            </w:pPr>
          </w:p>
          <w:p w14:paraId="68FFD391">
            <w:pPr>
              <w:ind w:firstLine="0" w:firstLineChars="0"/>
              <w:rPr>
                <w:rFonts w:hint="eastAsia" w:ascii="宋体" w:hAnsi="宋体"/>
                <w:bCs/>
                <w:color w:val="auto"/>
                <w:szCs w:val="21"/>
                <w:lang w:val="en-US" w:eastAsia="zh-CN"/>
              </w:rPr>
            </w:pPr>
          </w:p>
          <w:p w14:paraId="2D690FCC">
            <w:pPr>
              <w:ind w:firstLine="0" w:firstLineChars="0"/>
              <w:rPr>
                <w:rFonts w:hint="eastAsia" w:ascii="宋体" w:hAnsi="宋体"/>
                <w:bCs/>
                <w:color w:val="auto"/>
                <w:szCs w:val="21"/>
                <w:lang w:val="en-US" w:eastAsia="zh-CN"/>
              </w:rPr>
            </w:pPr>
          </w:p>
          <w:p w14:paraId="6E30701F">
            <w:pPr>
              <w:ind w:firstLine="0" w:firstLineChars="0"/>
              <w:rPr>
                <w:rFonts w:hint="eastAsia" w:ascii="宋体" w:hAnsi="宋体"/>
                <w:bCs/>
                <w:color w:val="auto"/>
                <w:szCs w:val="21"/>
                <w:lang w:val="en-US" w:eastAsia="zh-CN"/>
              </w:rPr>
            </w:pPr>
          </w:p>
          <w:p w14:paraId="20536E34">
            <w:pPr>
              <w:ind w:firstLine="0" w:firstLineChars="0"/>
              <w:rPr>
                <w:rFonts w:hint="eastAsia" w:ascii="宋体" w:hAnsi="宋体"/>
                <w:bCs/>
                <w:color w:val="auto"/>
                <w:szCs w:val="21"/>
                <w:lang w:val="en-US" w:eastAsia="zh-CN"/>
              </w:rPr>
            </w:pPr>
          </w:p>
          <w:p w14:paraId="652CE1DA">
            <w:pPr>
              <w:ind w:firstLine="0" w:firstLineChars="0"/>
              <w:rPr>
                <w:rFonts w:hint="eastAsia" w:ascii="宋体" w:hAnsi="宋体"/>
                <w:bCs/>
                <w:color w:val="auto"/>
                <w:szCs w:val="21"/>
                <w:lang w:val="en-US" w:eastAsia="zh-CN"/>
              </w:rPr>
            </w:pPr>
          </w:p>
          <w:p w14:paraId="4E6AC0F9">
            <w:pPr>
              <w:ind w:firstLine="0" w:firstLineChars="0"/>
              <w:rPr>
                <w:rFonts w:hint="eastAsia" w:ascii="宋体" w:hAnsi="宋体"/>
                <w:bCs/>
                <w:color w:val="auto"/>
                <w:szCs w:val="21"/>
                <w:lang w:val="en-US" w:eastAsia="zh-CN"/>
              </w:rPr>
            </w:pPr>
          </w:p>
          <w:p w14:paraId="456B5CDC">
            <w:pPr>
              <w:ind w:firstLine="0" w:firstLineChars="0"/>
              <w:rPr>
                <w:rFonts w:hint="eastAsia" w:ascii="宋体" w:hAnsi="宋体"/>
                <w:bCs/>
                <w:color w:val="auto"/>
                <w:szCs w:val="21"/>
                <w:lang w:val="en-US" w:eastAsia="zh-CN"/>
              </w:rPr>
            </w:pPr>
          </w:p>
          <w:p w14:paraId="05496FDC">
            <w:pPr>
              <w:ind w:firstLine="0" w:firstLineChars="0"/>
              <w:rPr>
                <w:rFonts w:hint="default" w:ascii="宋体" w:hAnsi="宋体" w:eastAsia="宋体"/>
                <w:bCs/>
                <w:color w:val="auto"/>
                <w:szCs w:val="21"/>
                <w:lang w:val="en-US" w:eastAsia="zh-CN"/>
              </w:rPr>
            </w:pPr>
          </w:p>
        </w:tc>
      </w:tr>
    </w:tbl>
    <w:p w14:paraId="70EB0A9B">
      <w:pPr>
        <w:bidi w:val="0"/>
        <w:rPr>
          <w:rFonts w:hint="eastAsia"/>
        </w:rPr>
      </w:pPr>
    </w:p>
    <w:p w14:paraId="61CDB3E8">
      <w:pPr>
        <w:pStyle w:val="23"/>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6"/>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477"/>
      </w:tblGrid>
      <w:tr w14:paraId="64E9E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06" w:hRule="atLeast"/>
          <w:jc w:val="center"/>
        </w:trPr>
        <w:tc>
          <w:tcPr>
            <w:tcW w:w="513" w:type="dxa"/>
            <w:vAlign w:val="center"/>
          </w:tcPr>
          <w:p w14:paraId="202F840B">
            <w:pPr>
              <w:adjustRightInd w:val="0"/>
              <w:snapToGrid w:val="0"/>
              <w:ind w:firstLine="0" w:firstLineChars="0"/>
              <w:jc w:val="center"/>
              <w:rPr>
                <w:rFonts w:ascii="宋体" w:hAnsi="宋体" w:cs="宋体"/>
                <w:color w:val="auto"/>
                <w:kern w:val="0"/>
                <w:szCs w:val="21"/>
              </w:rPr>
            </w:pPr>
            <w:r>
              <w:rPr>
                <w:rFonts w:hint="eastAsia" w:ascii="宋体" w:hAnsi="宋体" w:cs="宋体"/>
                <w:color w:val="auto"/>
                <w:kern w:val="0"/>
                <w:szCs w:val="21"/>
              </w:rPr>
              <w:t>区域环境质量现状</w:t>
            </w:r>
          </w:p>
        </w:tc>
        <w:tc>
          <w:tcPr>
            <w:tcW w:w="8477" w:type="dxa"/>
            <w:vAlign w:val="center"/>
          </w:tcPr>
          <w:p w14:paraId="4A2A310D">
            <w:pPr>
              <w:ind w:firstLine="0" w:firstLineChars="0"/>
              <w:rPr>
                <w:b/>
                <w:bCs/>
                <w:color w:val="auto"/>
                <w:sz w:val="28"/>
                <w:szCs w:val="28"/>
              </w:rPr>
            </w:pPr>
            <w:r>
              <w:rPr>
                <w:b/>
                <w:bCs/>
                <w:color w:val="auto"/>
                <w:sz w:val="28"/>
                <w:szCs w:val="28"/>
              </w:rPr>
              <w:t>建设项目所在地区域环境质量现状及主要环境问题（环境空气、地面水、地下水、声环境、生态环境等）：</w:t>
            </w:r>
          </w:p>
          <w:p w14:paraId="35BB111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eastAsia="zh-CN"/>
              </w:rPr>
              <w:t>一、</w:t>
            </w:r>
            <w:r>
              <w:rPr>
                <w:rFonts w:hint="eastAsia" w:ascii="Times New Roman" w:hAnsi="Times New Roman" w:eastAsia="宋体" w:cs="Times New Roman"/>
                <w:b/>
                <w:bCs/>
                <w:color w:val="auto"/>
                <w:sz w:val="24"/>
                <w:szCs w:val="24"/>
                <w:lang w:val="en-US" w:eastAsia="zh-CN"/>
              </w:rPr>
              <w:t>大气环境</w:t>
            </w:r>
          </w:p>
          <w:p w14:paraId="43F78E6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cs="Times New Roman"/>
                <w:b/>
                <w:bCs/>
                <w:color w:val="auto"/>
                <w:sz w:val="24"/>
                <w:szCs w:val="24"/>
                <w:lang w:val="en-US" w:eastAsia="zh-CN"/>
              </w:rPr>
            </w:pPr>
            <w:r>
              <w:rPr>
                <w:rFonts w:hint="eastAsia" w:cs="Times New Roman"/>
                <w:b/>
                <w:bCs/>
                <w:color w:val="auto"/>
                <w:sz w:val="24"/>
                <w:szCs w:val="24"/>
                <w:lang w:val="en-US" w:eastAsia="zh-CN"/>
              </w:rPr>
              <w:t>1、</w:t>
            </w:r>
            <w:r>
              <w:rPr>
                <w:rFonts w:hint="default" w:ascii="Times New Roman" w:hAnsi="Times New Roman" w:eastAsia="宋体" w:cs="Times New Roman"/>
                <w:b/>
                <w:bCs/>
                <w:color w:val="auto"/>
                <w:sz w:val="24"/>
                <w:szCs w:val="24"/>
              </w:rPr>
              <w:t>基本污染物环境质量现状评价</w:t>
            </w:r>
          </w:p>
          <w:p w14:paraId="2CFA31FF">
            <w:pPr>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本项目根据</w:t>
            </w:r>
            <w:r>
              <w:rPr>
                <w:color w:val="auto"/>
                <w:szCs w:val="24"/>
              </w:rPr>
              <w:t>《</w:t>
            </w:r>
            <w:r>
              <w:rPr>
                <w:rFonts w:hint="eastAsia"/>
                <w:color w:val="auto"/>
              </w:rPr>
              <w:t>202</w:t>
            </w:r>
            <w:r>
              <w:rPr>
                <w:rFonts w:hint="eastAsia"/>
                <w:color w:val="auto"/>
                <w:lang w:val="en-US" w:eastAsia="zh-CN"/>
              </w:rPr>
              <w:t>3</w:t>
            </w:r>
            <w:r>
              <w:rPr>
                <w:rFonts w:hint="eastAsia"/>
                <w:color w:val="auto"/>
              </w:rPr>
              <w:t>年度淮北市生态环境状况公报</w:t>
            </w:r>
            <w:r>
              <w:rPr>
                <w:color w:val="auto"/>
                <w:szCs w:val="24"/>
              </w:rPr>
              <w:t>》</w:t>
            </w:r>
            <w:r>
              <w:rPr>
                <w:rFonts w:hint="default" w:ascii="Times New Roman" w:hAnsi="Times New Roman" w:eastAsia="宋体" w:cs="Times New Roman"/>
                <w:color w:val="auto"/>
                <w:sz w:val="24"/>
                <w:szCs w:val="24"/>
              </w:rPr>
              <w:t>中淮北市环境保护监测站20</w:t>
            </w: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年1月1日~20</w:t>
            </w: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年12月31日的监测数据进行评价，基本污染物环境质量现状评价见表</w:t>
            </w:r>
            <w:r>
              <w:rPr>
                <w:rFonts w:hint="default" w:ascii="Times New Roman" w:hAnsi="Times New Roman" w:eastAsia="宋体" w:cs="Times New Roman"/>
                <w:color w:val="auto"/>
                <w:sz w:val="24"/>
                <w:szCs w:val="24"/>
                <w:lang w:val="en-US" w:eastAsia="zh-CN"/>
              </w:rPr>
              <w:t>3-1</w:t>
            </w:r>
            <w:r>
              <w:rPr>
                <w:rFonts w:hint="default" w:ascii="Times New Roman" w:hAnsi="Times New Roman" w:eastAsia="宋体" w:cs="Times New Roman"/>
                <w:color w:val="auto"/>
                <w:sz w:val="24"/>
                <w:szCs w:val="24"/>
              </w:rPr>
              <w:t>。</w:t>
            </w:r>
          </w:p>
          <w:p w14:paraId="34696BA1">
            <w:pPr>
              <w:bidi w:val="0"/>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 xml:space="preserve">表3-1  </w:t>
            </w:r>
            <w:r>
              <w:rPr>
                <w:rFonts w:hint="default" w:ascii="Times New Roman" w:hAnsi="Times New Roman" w:eastAsia="宋体" w:cs="Times New Roman"/>
                <w:b/>
                <w:bCs/>
                <w:color w:val="auto"/>
                <w:sz w:val="24"/>
                <w:szCs w:val="24"/>
                <w:shd w:val="clear" w:color="auto" w:fill="FFFFFF"/>
              </w:rPr>
              <w:t>基本污染物环境质量现状</w:t>
            </w:r>
          </w:p>
          <w:tbl>
            <w:tblPr>
              <w:tblStyle w:val="27"/>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003"/>
              <w:gridCol w:w="1169"/>
              <w:gridCol w:w="1053"/>
              <w:gridCol w:w="881"/>
              <w:gridCol w:w="736"/>
              <w:gridCol w:w="662"/>
            </w:tblGrid>
            <w:tr w14:paraId="7F9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restart"/>
                  <w:tcBorders>
                    <w:tl2br w:val="nil"/>
                    <w:tr2bl w:val="nil"/>
                  </w:tcBorders>
                  <w:vAlign w:val="center"/>
                </w:tcPr>
                <w:p w14:paraId="1866871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污染物</w:t>
                  </w:r>
                </w:p>
              </w:tc>
              <w:tc>
                <w:tcPr>
                  <w:tcW w:w="3003" w:type="dxa"/>
                  <w:vMerge w:val="restart"/>
                  <w:tcBorders>
                    <w:tl2br w:val="nil"/>
                    <w:tr2bl w:val="nil"/>
                  </w:tcBorders>
                  <w:vAlign w:val="center"/>
                </w:tcPr>
                <w:p w14:paraId="20AEA1B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年评价指标</w:t>
                  </w:r>
                </w:p>
              </w:tc>
              <w:tc>
                <w:tcPr>
                  <w:tcW w:w="1169" w:type="dxa"/>
                  <w:vMerge w:val="restart"/>
                  <w:tcBorders>
                    <w:tl2br w:val="nil"/>
                    <w:tr2bl w:val="nil"/>
                  </w:tcBorders>
                  <w:vAlign w:val="center"/>
                </w:tcPr>
                <w:p w14:paraId="4DC8E25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现状浓度</w:t>
                  </w:r>
                </w:p>
              </w:tc>
              <w:tc>
                <w:tcPr>
                  <w:tcW w:w="1053" w:type="dxa"/>
                  <w:vMerge w:val="restart"/>
                  <w:tcBorders>
                    <w:tl2br w:val="nil"/>
                    <w:tr2bl w:val="nil"/>
                  </w:tcBorders>
                  <w:vAlign w:val="center"/>
                </w:tcPr>
                <w:p w14:paraId="50B7637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标准值</w:t>
                  </w:r>
                </w:p>
              </w:tc>
              <w:tc>
                <w:tcPr>
                  <w:tcW w:w="881" w:type="dxa"/>
                  <w:vMerge w:val="restart"/>
                  <w:tcBorders>
                    <w:tl2br w:val="nil"/>
                    <w:tr2bl w:val="nil"/>
                  </w:tcBorders>
                  <w:vAlign w:val="center"/>
                </w:tcPr>
                <w:p w14:paraId="4BD98ED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占标率</w:t>
                  </w:r>
                  <w:r>
                    <w:rPr>
                      <w:rFonts w:hint="default" w:ascii="Times New Roman" w:hAnsi="Times New Roman" w:eastAsia="宋体" w:cs="Times New Roman"/>
                      <w:b/>
                      <w:bCs/>
                      <w:color w:val="auto"/>
                      <w:kern w:val="0"/>
                      <w:sz w:val="21"/>
                      <w:szCs w:val="21"/>
                      <w:lang w:eastAsia="zh-CN"/>
                    </w:rPr>
                    <w:t>（</w:t>
                  </w:r>
                  <w:r>
                    <w:rPr>
                      <w:rFonts w:hint="default" w:ascii="Times New Roman" w:hAnsi="Times New Roman" w:eastAsia="宋体" w:cs="Times New Roman"/>
                      <w:b/>
                      <w:bCs/>
                      <w:color w:val="auto"/>
                      <w:kern w:val="0"/>
                      <w:sz w:val="21"/>
                      <w:szCs w:val="21"/>
                    </w:rPr>
                    <w:t>%</w:t>
                  </w:r>
                  <w:r>
                    <w:rPr>
                      <w:rFonts w:hint="default" w:ascii="Times New Roman" w:hAnsi="Times New Roman" w:eastAsia="宋体" w:cs="Times New Roman"/>
                      <w:b/>
                      <w:bCs/>
                      <w:color w:val="auto"/>
                      <w:kern w:val="0"/>
                      <w:sz w:val="21"/>
                      <w:szCs w:val="21"/>
                      <w:lang w:eastAsia="zh-CN"/>
                    </w:rPr>
                    <w:t>）</w:t>
                  </w:r>
                </w:p>
              </w:tc>
              <w:tc>
                <w:tcPr>
                  <w:tcW w:w="1398" w:type="dxa"/>
                  <w:gridSpan w:val="2"/>
                  <w:tcBorders>
                    <w:tl2br w:val="nil"/>
                    <w:tr2bl w:val="nil"/>
                  </w:tcBorders>
                  <w:vAlign w:val="center"/>
                </w:tcPr>
                <w:p w14:paraId="28806B7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达标情况</w:t>
                  </w:r>
                </w:p>
              </w:tc>
            </w:tr>
            <w:tr w14:paraId="31D5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tcBorders>
                    <w:tl2br w:val="nil"/>
                    <w:tr2bl w:val="nil"/>
                  </w:tcBorders>
                  <w:vAlign w:val="center"/>
                </w:tcPr>
                <w:p w14:paraId="2C41481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p>
              </w:tc>
              <w:tc>
                <w:tcPr>
                  <w:tcW w:w="3003" w:type="dxa"/>
                  <w:vMerge w:val="continue"/>
                  <w:tcBorders>
                    <w:tl2br w:val="nil"/>
                    <w:tr2bl w:val="nil"/>
                  </w:tcBorders>
                  <w:vAlign w:val="center"/>
                </w:tcPr>
                <w:p w14:paraId="7E035F0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p>
              </w:tc>
              <w:tc>
                <w:tcPr>
                  <w:tcW w:w="1169" w:type="dxa"/>
                  <w:vMerge w:val="continue"/>
                  <w:tcBorders>
                    <w:tl2br w:val="nil"/>
                    <w:tr2bl w:val="nil"/>
                  </w:tcBorders>
                  <w:vAlign w:val="center"/>
                </w:tcPr>
                <w:p w14:paraId="0BDBF25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p>
              </w:tc>
              <w:tc>
                <w:tcPr>
                  <w:tcW w:w="1053" w:type="dxa"/>
                  <w:vMerge w:val="continue"/>
                  <w:tcBorders>
                    <w:tl2br w:val="nil"/>
                    <w:tr2bl w:val="nil"/>
                  </w:tcBorders>
                  <w:vAlign w:val="center"/>
                </w:tcPr>
                <w:p w14:paraId="4EE8932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p>
              </w:tc>
              <w:tc>
                <w:tcPr>
                  <w:tcW w:w="881" w:type="dxa"/>
                  <w:vMerge w:val="continue"/>
                  <w:tcBorders>
                    <w:tl2br w:val="nil"/>
                    <w:tr2bl w:val="nil"/>
                  </w:tcBorders>
                  <w:vAlign w:val="center"/>
                </w:tcPr>
                <w:p w14:paraId="1753F90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p>
              </w:tc>
              <w:tc>
                <w:tcPr>
                  <w:tcW w:w="736" w:type="dxa"/>
                  <w:tcBorders>
                    <w:tl2br w:val="nil"/>
                    <w:tr2bl w:val="nil"/>
                  </w:tcBorders>
                  <w:vAlign w:val="center"/>
                </w:tcPr>
                <w:p w14:paraId="0209CB7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分项</w:t>
                  </w:r>
                </w:p>
              </w:tc>
              <w:tc>
                <w:tcPr>
                  <w:tcW w:w="662" w:type="dxa"/>
                  <w:tcBorders>
                    <w:tl2br w:val="nil"/>
                    <w:tr2bl w:val="nil"/>
                  </w:tcBorders>
                  <w:vAlign w:val="center"/>
                </w:tcPr>
                <w:p w14:paraId="2855749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总体</w:t>
                  </w:r>
                </w:p>
              </w:tc>
            </w:tr>
            <w:tr w14:paraId="2BE5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tcBorders>
                    <w:tl2br w:val="nil"/>
                    <w:tr2bl w:val="nil"/>
                  </w:tcBorders>
                  <w:vAlign w:val="center"/>
                </w:tcPr>
                <w:p w14:paraId="1EF3F02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PM</w:t>
                  </w:r>
                  <w:r>
                    <w:rPr>
                      <w:rFonts w:hint="default" w:ascii="Times New Roman" w:hAnsi="Times New Roman" w:eastAsia="宋体" w:cs="Times New Roman"/>
                      <w:b w:val="0"/>
                      <w:bCs w:val="0"/>
                      <w:color w:val="auto"/>
                      <w:kern w:val="0"/>
                      <w:sz w:val="21"/>
                      <w:szCs w:val="21"/>
                      <w:vertAlign w:val="subscript"/>
                    </w:rPr>
                    <w:t>2.5</w:t>
                  </w:r>
                </w:p>
              </w:tc>
              <w:tc>
                <w:tcPr>
                  <w:tcW w:w="3003" w:type="dxa"/>
                  <w:vMerge w:val="restart"/>
                  <w:tcBorders>
                    <w:tl2br w:val="nil"/>
                    <w:tr2bl w:val="nil"/>
                  </w:tcBorders>
                  <w:vAlign w:val="center"/>
                </w:tcPr>
                <w:p w14:paraId="3B87D11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年平均质量浓度</w:t>
                  </w:r>
                </w:p>
              </w:tc>
              <w:tc>
                <w:tcPr>
                  <w:tcW w:w="1169" w:type="dxa"/>
                  <w:tcBorders>
                    <w:tl2br w:val="nil"/>
                    <w:tr2bl w:val="nil"/>
                  </w:tcBorders>
                  <w:vAlign w:val="center"/>
                </w:tcPr>
                <w:p w14:paraId="2014C71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42μg/m</w:t>
                  </w:r>
                  <w:r>
                    <w:rPr>
                      <w:rFonts w:hint="default" w:ascii="Times New Roman" w:hAnsi="Times New Roman" w:eastAsia="宋体" w:cs="Times New Roman"/>
                      <w:b w:val="0"/>
                      <w:bCs w:val="0"/>
                      <w:color w:val="auto"/>
                      <w:kern w:val="0"/>
                      <w:sz w:val="21"/>
                      <w:szCs w:val="21"/>
                      <w:vertAlign w:val="superscript"/>
                    </w:rPr>
                    <w:t>3</w:t>
                  </w:r>
                </w:p>
              </w:tc>
              <w:tc>
                <w:tcPr>
                  <w:tcW w:w="1053" w:type="dxa"/>
                  <w:tcBorders>
                    <w:tl2br w:val="nil"/>
                    <w:tr2bl w:val="nil"/>
                  </w:tcBorders>
                  <w:vAlign w:val="center"/>
                </w:tcPr>
                <w:p w14:paraId="0414F73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35</w:t>
                  </w:r>
                  <w:r>
                    <w:rPr>
                      <w:rFonts w:hint="default" w:ascii="Times New Roman" w:hAnsi="Times New Roman" w:eastAsia="宋体" w:cs="Times New Roman"/>
                      <w:b w:val="0"/>
                      <w:bCs w:val="0"/>
                      <w:color w:val="auto"/>
                      <w:kern w:val="0"/>
                      <w:sz w:val="21"/>
                      <w:szCs w:val="21"/>
                      <w:lang w:val="en-US" w:eastAsia="zh-CN"/>
                    </w:rPr>
                    <w:t xml:space="preserve"> </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881" w:type="dxa"/>
                  <w:tcBorders>
                    <w:tl2br w:val="nil"/>
                    <w:tr2bl w:val="nil"/>
                  </w:tcBorders>
                  <w:vAlign w:val="center"/>
                </w:tcPr>
                <w:p w14:paraId="485A844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120</w:t>
                  </w:r>
                </w:p>
              </w:tc>
              <w:tc>
                <w:tcPr>
                  <w:tcW w:w="736" w:type="dxa"/>
                  <w:tcBorders>
                    <w:tl2br w:val="nil"/>
                    <w:tr2bl w:val="nil"/>
                  </w:tcBorders>
                  <w:vAlign w:val="center"/>
                </w:tcPr>
                <w:p w14:paraId="5C7F48E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超标</w:t>
                  </w:r>
                </w:p>
              </w:tc>
              <w:tc>
                <w:tcPr>
                  <w:tcW w:w="662" w:type="dxa"/>
                  <w:vMerge w:val="restart"/>
                  <w:tcBorders>
                    <w:tl2br w:val="nil"/>
                    <w:tr2bl w:val="nil"/>
                  </w:tcBorders>
                  <w:vAlign w:val="center"/>
                </w:tcPr>
                <w:p w14:paraId="198591E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不</w:t>
                  </w:r>
                </w:p>
                <w:p w14:paraId="7C0FFF6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达</w:t>
                  </w:r>
                </w:p>
                <w:p w14:paraId="243F5D8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标</w:t>
                  </w:r>
                </w:p>
              </w:tc>
            </w:tr>
            <w:tr w14:paraId="2273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tcBorders>
                    <w:tl2br w:val="nil"/>
                    <w:tr2bl w:val="nil"/>
                  </w:tcBorders>
                  <w:vAlign w:val="center"/>
                </w:tcPr>
                <w:p w14:paraId="4B33543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PM</w:t>
                  </w:r>
                  <w:r>
                    <w:rPr>
                      <w:rFonts w:hint="default" w:ascii="Times New Roman" w:hAnsi="Times New Roman" w:eastAsia="宋体" w:cs="Times New Roman"/>
                      <w:b w:val="0"/>
                      <w:bCs w:val="0"/>
                      <w:color w:val="auto"/>
                      <w:kern w:val="0"/>
                      <w:sz w:val="21"/>
                      <w:szCs w:val="21"/>
                      <w:vertAlign w:val="subscript"/>
                    </w:rPr>
                    <w:t>10</w:t>
                  </w:r>
                </w:p>
              </w:tc>
              <w:tc>
                <w:tcPr>
                  <w:tcW w:w="3003" w:type="dxa"/>
                  <w:vMerge w:val="continue"/>
                  <w:tcBorders>
                    <w:tl2br w:val="nil"/>
                    <w:tr2bl w:val="nil"/>
                  </w:tcBorders>
                  <w:vAlign w:val="center"/>
                </w:tcPr>
                <w:p w14:paraId="07B8075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c>
                <w:tcPr>
                  <w:tcW w:w="1169" w:type="dxa"/>
                  <w:tcBorders>
                    <w:tl2br w:val="nil"/>
                    <w:tr2bl w:val="nil"/>
                  </w:tcBorders>
                  <w:vAlign w:val="center"/>
                </w:tcPr>
                <w:p w14:paraId="083AAC2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 xml:space="preserve"> 70μg/m</w:t>
                  </w:r>
                  <w:r>
                    <w:rPr>
                      <w:rFonts w:hint="default" w:ascii="Times New Roman" w:hAnsi="Times New Roman" w:eastAsia="宋体" w:cs="Times New Roman"/>
                      <w:b w:val="0"/>
                      <w:bCs w:val="0"/>
                      <w:color w:val="auto"/>
                      <w:kern w:val="0"/>
                      <w:sz w:val="21"/>
                      <w:szCs w:val="21"/>
                      <w:vertAlign w:val="superscript"/>
                    </w:rPr>
                    <w:t>3</w:t>
                  </w:r>
                </w:p>
              </w:tc>
              <w:tc>
                <w:tcPr>
                  <w:tcW w:w="1053" w:type="dxa"/>
                  <w:tcBorders>
                    <w:tl2br w:val="nil"/>
                    <w:tr2bl w:val="nil"/>
                  </w:tcBorders>
                  <w:vAlign w:val="center"/>
                </w:tcPr>
                <w:p w14:paraId="4D3469C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70</w:t>
                  </w:r>
                  <w:r>
                    <w:rPr>
                      <w:rFonts w:hint="default" w:ascii="Times New Roman" w:hAnsi="Times New Roman" w:eastAsia="宋体" w:cs="Times New Roman"/>
                      <w:b w:val="0"/>
                      <w:bCs w:val="0"/>
                      <w:color w:val="auto"/>
                      <w:kern w:val="0"/>
                      <w:sz w:val="21"/>
                      <w:szCs w:val="21"/>
                      <w:lang w:val="en-US" w:eastAsia="zh-CN"/>
                    </w:rPr>
                    <w:t xml:space="preserve"> </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881" w:type="dxa"/>
                  <w:tcBorders>
                    <w:tl2br w:val="nil"/>
                    <w:tr2bl w:val="nil"/>
                  </w:tcBorders>
                  <w:vAlign w:val="center"/>
                </w:tcPr>
                <w:p w14:paraId="74E26A1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100</w:t>
                  </w:r>
                </w:p>
              </w:tc>
              <w:tc>
                <w:tcPr>
                  <w:tcW w:w="736" w:type="dxa"/>
                  <w:tcBorders>
                    <w:tl2br w:val="nil"/>
                    <w:tr2bl w:val="nil"/>
                  </w:tcBorders>
                  <w:vAlign w:val="center"/>
                </w:tcPr>
                <w:p w14:paraId="57998AC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eastAsia" w:cs="Times New Roman"/>
                      <w:b w:val="0"/>
                      <w:bCs w:val="0"/>
                      <w:color w:val="auto"/>
                      <w:kern w:val="0"/>
                      <w:sz w:val="21"/>
                      <w:szCs w:val="21"/>
                      <w:lang w:val="en-US" w:eastAsia="zh-CN"/>
                    </w:rPr>
                    <w:t>达标</w:t>
                  </w:r>
                </w:p>
              </w:tc>
              <w:tc>
                <w:tcPr>
                  <w:tcW w:w="662" w:type="dxa"/>
                  <w:vMerge w:val="continue"/>
                  <w:tcBorders>
                    <w:tl2br w:val="nil"/>
                    <w:tr2bl w:val="nil"/>
                  </w:tcBorders>
                  <w:vAlign w:val="center"/>
                </w:tcPr>
                <w:p w14:paraId="0B61444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r>
            <w:tr w14:paraId="3F22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tcBorders>
                    <w:tl2br w:val="nil"/>
                    <w:tr2bl w:val="nil"/>
                  </w:tcBorders>
                  <w:vAlign w:val="center"/>
                </w:tcPr>
                <w:p w14:paraId="47A2523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SO</w:t>
                  </w:r>
                  <w:r>
                    <w:rPr>
                      <w:rFonts w:hint="default" w:ascii="Times New Roman" w:hAnsi="Times New Roman" w:eastAsia="宋体" w:cs="Times New Roman"/>
                      <w:b w:val="0"/>
                      <w:bCs w:val="0"/>
                      <w:color w:val="auto"/>
                      <w:kern w:val="0"/>
                      <w:sz w:val="21"/>
                      <w:szCs w:val="21"/>
                      <w:vertAlign w:val="subscript"/>
                    </w:rPr>
                    <w:t>2</w:t>
                  </w:r>
                </w:p>
              </w:tc>
              <w:tc>
                <w:tcPr>
                  <w:tcW w:w="3003" w:type="dxa"/>
                  <w:vMerge w:val="continue"/>
                  <w:tcBorders>
                    <w:tl2br w:val="nil"/>
                    <w:tr2bl w:val="nil"/>
                  </w:tcBorders>
                  <w:vAlign w:val="center"/>
                </w:tcPr>
                <w:p w14:paraId="71B6C36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c>
                <w:tcPr>
                  <w:tcW w:w="1169" w:type="dxa"/>
                  <w:tcBorders>
                    <w:tl2br w:val="nil"/>
                    <w:tr2bl w:val="nil"/>
                  </w:tcBorders>
                  <w:vAlign w:val="center"/>
                </w:tcPr>
                <w:p w14:paraId="21376E1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eastAsia="zh-CN"/>
                    </w:rPr>
                  </w:pPr>
                  <w:r>
                    <w:rPr>
                      <w:rFonts w:hint="eastAsia" w:cs="Times New Roman"/>
                      <w:b w:val="0"/>
                      <w:bCs w:val="0"/>
                      <w:color w:val="auto"/>
                      <w:kern w:val="0"/>
                      <w:sz w:val="21"/>
                      <w:szCs w:val="21"/>
                      <w:lang w:val="en-US" w:eastAsia="zh-CN"/>
                    </w:rPr>
                    <w:t>7</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1053" w:type="dxa"/>
                  <w:tcBorders>
                    <w:tl2br w:val="nil"/>
                    <w:tr2bl w:val="nil"/>
                  </w:tcBorders>
                  <w:vAlign w:val="center"/>
                </w:tcPr>
                <w:p w14:paraId="68557CA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60</w:t>
                  </w:r>
                  <w:r>
                    <w:rPr>
                      <w:rFonts w:hint="default" w:ascii="Times New Roman" w:hAnsi="Times New Roman" w:eastAsia="宋体" w:cs="Times New Roman"/>
                      <w:b w:val="0"/>
                      <w:bCs w:val="0"/>
                      <w:color w:val="auto"/>
                      <w:kern w:val="0"/>
                      <w:sz w:val="21"/>
                      <w:szCs w:val="21"/>
                      <w:lang w:val="en-US" w:eastAsia="zh-CN"/>
                    </w:rPr>
                    <w:t xml:space="preserve"> </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881" w:type="dxa"/>
                  <w:tcBorders>
                    <w:tl2br w:val="nil"/>
                    <w:tr2bl w:val="nil"/>
                  </w:tcBorders>
                  <w:vAlign w:val="center"/>
                </w:tcPr>
                <w:p w14:paraId="4178D8E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11.67</w:t>
                  </w:r>
                </w:p>
              </w:tc>
              <w:tc>
                <w:tcPr>
                  <w:tcW w:w="736" w:type="dxa"/>
                  <w:tcBorders>
                    <w:tl2br w:val="nil"/>
                    <w:tr2bl w:val="nil"/>
                  </w:tcBorders>
                  <w:vAlign w:val="center"/>
                </w:tcPr>
                <w:p w14:paraId="6BE713A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达标</w:t>
                  </w:r>
                </w:p>
              </w:tc>
              <w:tc>
                <w:tcPr>
                  <w:tcW w:w="662" w:type="dxa"/>
                  <w:vMerge w:val="continue"/>
                  <w:tcBorders>
                    <w:tl2br w:val="nil"/>
                    <w:tr2bl w:val="nil"/>
                  </w:tcBorders>
                  <w:vAlign w:val="center"/>
                </w:tcPr>
                <w:p w14:paraId="22E4CA5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r>
            <w:tr w14:paraId="6CFD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tcBorders>
                    <w:tl2br w:val="nil"/>
                    <w:tr2bl w:val="nil"/>
                  </w:tcBorders>
                  <w:vAlign w:val="center"/>
                </w:tcPr>
                <w:p w14:paraId="314A588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NO</w:t>
                  </w:r>
                  <w:r>
                    <w:rPr>
                      <w:rFonts w:hint="default" w:ascii="Times New Roman" w:hAnsi="Times New Roman" w:eastAsia="宋体" w:cs="Times New Roman"/>
                      <w:b w:val="0"/>
                      <w:bCs w:val="0"/>
                      <w:color w:val="auto"/>
                      <w:kern w:val="0"/>
                      <w:sz w:val="21"/>
                      <w:szCs w:val="21"/>
                      <w:vertAlign w:val="subscript"/>
                    </w:rPr>
                    <w:t>2</w:t>
                  </w:r>
                </w:p>
              </w:tc>
              <w:tc>
                <w:tcPr>
                  <w:tcW w:w="3003" w:type="dxa"/>
                  <w:vMerge w:val="continue"/>
                  <w:tcBorders>
                    <w:tl2br w:val="nil"/>
                    <w:tr2bl w:val="nil"/>
                  </w:tcBorders>
                  <w:vAlign w:val="center"/>
                </w:tcPr>
                <w:p w14:paraId="79EEF99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c>
                <w:tcPr>
                  <w:tcW w:w="1169" w:type="dxa"/>
                  <w:tcBorders>
                    <w:tl2br w:val="nil"/>
                    <w:tr2bl w:val="nil"/>
                  </w:tcBorders>
                  <w:vAlign w:val="center"/>
                </w:tcPr>
                <w:p w14:paraId="21CE16F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rPr>
                    <w:t>2</w:t>
                  </w:r>
                  <w:r>
                    <w:rPr>
                      <w:rFonts w:hint="eastAsia" w:ascii="Times New Roman" w:hAnsi="Times New Roman" w:eastAsia="宋体" w:cs="Times New Roman"/>
                      <w:b w:val="0"/>
                      <w:bCs w:val="0"/>
                      <w:color w:val="auto"/>
                      <w:kern w:val="0"/>
                      <w:sz w:val="21"/>
                      <w:szCs w:val="21"/>
                      <w:lang w:val="en-US" w:eastAsia="zh-CN"/>
                    </w:rPr>
                    <w:t>3</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1053" w:type="dxa"/>
                  <w:tcBorders>
                    <w:tl2br w:val="nil"/>
                    <w:tr2bl w:val="nil"/>
                  </w:tcBorders>
                  <w:vAlign w:val="center"/>
                </w:tcPr>
                <w:p w14:paraId="71BA6AE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40</w:t>
                  </w:r>
                  <w:r>
                    <w:rPr>
                      <w:rFonts w:hint="default" w:ascii="Times New Roman" w:hAnsi="Times New Roman" w:eastAsia="宋体" w:cs="Times New Roman"/>
                      <w:b w:val="0"/>
                      <w:bCs w:val="0"/>
                      <w:color w:val="auto"/>
                      <w:kern w:val="0"/>
                      <w:sz w:val="21"/>
                      <w:szCs w:val="21"/>
                      <w:lang w:val="en-US" w:eastAsia="zh-CN"/>
                    </w:rPr>
                    <w:t xml:space="preserve"> </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881" w:type="dxa"/>
                  <w:tcBorders>
                    <w:tl2br w:val="nil"/>
                    <w:tr2bl w:val="nil"/>
                  </w:tcBorders>
                  <w:vAlign w:val="center"/>
                </w:tcPr>
                <w:p w14:paraId="54E21AB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57.5</w:t>
                  </w:r>
                </w:p>
              </w:tc>
              <w:tc>
                <w:tcPr>
                  <w:tcW w:w="736" w:type="dxa"/>
                  <w:tcBorders>
                    <w:tl2br w:val="nil"/>
                    <w:tr2bl w:val="nil"/>
                  </w:tcBorders>
                  <w:vAlign w:val="center"/>
                </w:tcPr>
                <w:p w14:paraId="5CED748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达标</w:t>
                  </w:r>
                </w:p>
              </w:tc>
              <w:tc>
                <w:tcPr>
                  <w:tcW w:w="662" w:type="dxa"/>
                  <w:vMerge w:val="continue"/>
                  <w:tcBorders>
                    <w:tl2br w:val="nil"/>
                    <w:tr2bl w:val="nil"/>
                  </w:tcBorders>
                  <w:vAlign w:val="center"/>
                </w:tcPr>
                <w:p w14:paraId="542E434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r>
            <w:tr w14:paraId="2265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tcBorders>
                    <w:tl2br w:val="nil"/>
                    <w:tr2bl w:val="nil"/>
                  </w:tcBorders>
                  <w:vAlign w:val="center"/>
                </w:tcPr>
                <w:p w14:paraId="35E5E56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CO</w:t>
                  </w:r>
                </w:p>
              </w:tc>
              <w:tc>
                <w:tcPr>
                  <w:tcW w:w="3003" w:type="dxa"/>
                  <w:tcBorders>
                    <w:tl2br w:val="nil"/>
                    <w:tr2bl w:val="nil"/>
                  </w:tcBorders>
                  <w:vAlign w:val="center"/>
                </w:tcPr>
                <w:p w14:paraId="53407BE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日平均第95百分位数质量浓度</w:t>
                  </w:r>
                </w:p>
              </w:tc>
              <w:tc>
                <w:tcPr>
                  <w:tcW w:w="1169" w:type="dxa"/>
                  <w:tcBorders>
                    <w:tl2br w:val="nil"/>
                    <w:tr2bl w:val="nil"/>
                  </w:tcBorders>
                  <w:vAlign w:val="center"/>
                </w:tcPr>
                <w:p w14:paraId="0A3002B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eastAsia" w:ascii="Times New Roman" w:hAnsi="Times New Roman" w:eastAsia="宋体" w:cs="Times New Roman"/>
                      <w:b w:val="0"/>
                      <w:bCs w:val="0"/>
                      <w:color w:val="auto"/>
                      <w:kern w:val="0"/>
                      <w:sz w:val="21"/>
                      <w:szCs w:val="21"/>
                      <w:lang w:val="en-US" w:eastAsia="zh-CN"/>
                    </w:rPr>
                    <w:t>0.9</w:t>
                  </w:r>
                  <w:r>
                    <w:rPr>
                      <w:rFonts w:hint="default" w:ascii="Times New Roman" w:hAnsi="Times New Roman" w:eastAsia="宋体" w:cs="Times New Roman"/>
                      <w:b w:val="0"/>
                      <w:bCs w:val="0"/>
                      <w:color w:val="auto"/>
                      <w:kern w:val="0"/>
                      <w:sz w:val="21"/>
                      <w:szCs w:val="21"/>
                    </w:rPr>
                    <w:t>mg/m</w:t>
                  </w:r>
                  <w:r>
                    <w:rPr>
                      <w:rFonts w:hint="default" w:ascii="Times New Roman" w:hAnsi="Times New Roman" w:eastAsia="宋体" w:cs="Times New Roman"/>
                      <w:b w:val="0"/>
                      <w:bCs w:val="0"/>
                      <w:color w:val="auto"/>
                      <w:kern w:val="0"/>
                      <w:sz w:val="21"/>
                      <w:szCs w:val="21"/>
                      <w:vertAlign w:val="superscript"/>
                    </w:rPr>
                    <w:t>3</w:t>
                  </w:r>
                </w:p>
              </w:tc>
              <w:tc>
                <w:tcPr>
                  <w:tcW w:w="1053" w:type="dxa"/>
                  <w:tcBorders>
                    <w:tl2br w:val="nil"/>
                    <w:tr2bl w:val="nil"/>
                  </w:tcBorders>
                  <w:vAlign w:val="center"/>
                </w:tcPr>
                <w:p w14:paraId="67FB35E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4.0mg/m</w:t>
                  </w:r>
                  <w:r>
                    <w:rPr>
                      <w:rFonts w:hint="default" w:ascii="Times New Roman" w:hAnsi="Times New Roman" w:eastAsia="宋体" w:cs="Times New Roman"/>
                      <w:b w:val="0"/>
                      <w:bCs w:val="0"/>
                      <w:color w:val="auto"/>
                      <w:kern w:val="0"/>
                      <w:sz w:val="21"/>
                      <w:szCs w:val="21"/>
                      <w:vertAlign w:val="superscript"/>
                    </w:rPr>
                    <w:t>3</w:t>
                  </w:r>
                </w:p>
              </w:tc>
              <w:tc>
                <w:tcPr>
                  <w:tcW w:w="881" w:type="dxa"/>
                  <w:tcBorders>
                    <w:tl2br w:val="nil"/>
                    <w:tr2bl w:val="nil"/>
                  </w:tcBorders>
                  <w:vAlign w:val="center"/>
                </w:tcPr>
                <w:p w14:paraId="3BB8997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22.5</w:t>
                  </w:r>
                </w:p>
              </w:tc>
              <w:tc>
                <w:tcPr>
                  <w:tcW w:w="736" w:type="dxa"/>
                  <w:tcBorders>
                    <w:tl2br w:val="nil"/>
                    <w:tr2bl w:val="nil"/>
                  </w:tcBorders>
                  <w:vAlign w:val="center"/>
                </w:tcPr>
                <w:p w14:paraId="59C55DB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达标</w:t>
                  </w:r>
                </w:p>
              </w:tc>
              <w:tc>
                <w:tcPr>
                  <w:tcW w:w="662" w:type="dxa"/>
                  <w:vMerge w:val="continue"/>
                  <w:tcBorders>
                    <w:tl2br w:val="nil"/>
                    <w:tr2bl w:val="nil"/>
                  </w:tcBorders>
                  <w:vAlign w:val="center"/>
                </w:tcPr>
                <w:p w14:paraId="226B6CD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r>
            <w:tr w14:paraId="45FA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tcBorders>
                    <w:tl2br w:val="nil"/>
                    <w:tr2bl w:val="nil"/>
                  </w:tcBorders>
                  <w:vAlign w:val="center"/>
                </w:tcPr>
                <w:p w14:paraId="385E2DB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O</w:t>
                  </w:r>
                  <w:r>
                    <w:rPr>
                      <w:rFonts w:hint="default" w:ascii="Times New Roman" w:hAnsi="Times New Roman" w:eastAsia="宋体" w:cs="Times New Roman"/>
                      <w:b w:val="0"/>
                      <w:bCs w:val="0"/>
                      <w:color w:val="auto"/>
                      <w:kern w:val="0"/>
                      <w:sz w:val="21"/>
                      <w:szCs w:val="21"/>
                      <w:vertAlign w:val="subscript"/>
                    </w:rPr>
                    <w:t>3</w:t>
                  </w:r>
                </w:p>
              </w:tc>
              <w:tc>
                <w:tcPr>
                  <w:tcW w:w="3003" w:type="dxa"/>
                  <w:tcBorders>
                    <w:tl2br w:val="nil"/>
                    <w:tr2bl w:val="nil"/>
                  </w:tcBorders>
                  <w:vAlign w:val="center"/>
                </w:tcPr>
                <w:p w14:paraId="5C7B29B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最大8h滑动平均第90百分位数质量浓度</w:t>
                  </w:r>
                </w:p>
              </w:tc>
              <w:tc>
                <w:tcPr>
                  <w:tcW w:w="1169" w:type="dxa"/>
                  <w:tcBorders>
                    <w:tl2br w:val="nil"/>
                    <w:tr2bl w:val="nil"/>
                  </w:tcBorders>
                  <w:vAlign w:val="center"/>
                </w:tcPr>
                <w:p w14:paraId="20C240E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16</w:t>
                  </w:r>
                  <w:r>
                    <w:rPr>
                      <w:rFonts w:hint="eastAsia" w:ascii="Times New Roman" w:hAnsi="Times New Roman" w:eastAsia="宋体" w:cs="Times New Roman"/>
                      <w:b w:val="0"/>
                      <w:bCs w:val="0"/>
                      <w:color w:val="auto"/>
                      <w:kern w:val="0"/>
                      <w:sz w:val="21"/>
                      <w:szCs w:val="21"/>
                      <w:lang w:val="en-US" w:eastAsia="zh-CN"/>
                    </w:rPr>
                    <w:t>6</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1053" w:type="dxa"/>
                  <w:tcBorders>
                    <w:tl2br w:val="nil"/>
                    <w:tr2bl w:val="nil"/>
                  </w:tcBorders>
                  <w:vAlign w:val="center"/>
                </w:tcPr>
                <w:p w14:paraId="2C0C1BD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160μg/m</w:t>
                  </w:r>
                  <w:r>
                    <w:rPr>
                      <w:rFonts w:hint="default" w:ascii="Times New Roman" w:hAnsi="Times New Roman" w:eastAsia="宋体" w:cs="Times New Roman"/>
                      <w:b w:val="0"/>
                      <w:bCs w:val="0"/>
                      <w:color w:val="auto"/>
                      <w:kern w:val="0"/>
                      <w:sz w:val="21"/>
                      <w:szCs w:val="21"/>
                      <w:vertAlign w:val="superscript"/>
                    </w:rPr>
                    <w:t>3</w:t>
                  </w:r>
                </w:p>
              </w:tc>
              <w:tc>
                <w:tcPr>
                  <w:tcW w:w="881" w:type="dxa"/>
                  <w:tcBorders>
                    <w:tl2br w:val="nil"/>
                    <w:tr2bl w:val="nil"/>
                  </w:tcBorders>
                  <w:vAlign w:val="center"/>
                </w:tcPr>
                <w:p w14:paraId="0E95AC8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103.75</w:t>
                  </w:r>
                </w:p>
              </w:tc>
              <w:tc>
                <w:tcPr>
                  <w:tcW w:w="736" w:type="dxa"/>
                  <w:tcBorders>
                    <w:tl2br w:val="nil"/>
                    <w:tr2bl w:val="nil"/>
                  </w:tcBorders>
                  <w:vAlign w:val="center"/>
                </w:tcPr>
                <w:p w14:paraId="2C6346B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rPr>
                    <w:t>超标</w:t>
                  </w:r>
                </w:p>
              </w:tc>
              <w:tc>
                <w:tcPr>
                  <w:tcW w:w="662" w:type="dxa"/>
                  <w:vMerge w:val="continue"/>
                  <w:tcBorders>
                    <w:tl2br w:val="nil"/>
                    <w:tr2bl w:val="nil"/>
                  </w:tcBorders>
                  <w:vAlign w:val="center"/>
                </w:tcPr>
                <w:p w14:paraId="102F819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r>
          </w:tbl>
          <w:p w14:paraId="2796CF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s="Times New Roman"/>
                <w:b w:val="0"/>
                <w:bCs w:val="0"/>
                <w:color w:val="auto"/>
                <w:kern w:val="0"/>
                <w:sz w:val="24"/>
                <w:szCs w:val="24"/>
                <w:lang w:val="en-US" w:eastAsia="zh-CN"/>
              </w:rPr>
            </w:pPr>
            <w:r>
              <w:rPr>
                <w:rFonts w:hint="eastAsia" w:cs="Times New Roman"/>
                <w:b w:val="0"/>
                <w:bCs w:val="0"/>
                <w:color w:val="auto"/>
                <w:kern w:val="0"/>
                <w:sz w:val="24"/>
                <w:szCs w:val="24"/>
                <w:lang w:val="en-US" w:eastAsia="zh-CN"/>
              </w:rPr>
              <w:t>由上表可知，2023年准北市O</w:t>
            </w:r>
            <w:r>
              <w:rPr>
                <w:rFonts w:hint="eastAsia" w:cs="Times New Roman"/>
                <w:b w:val="0"/>
                <w:bCs w:val="0"/>
                <w:color w:val="auto"/>
                <w:kern w:val="0"/>
                <w:sz w:val="24"/>
                <w:szCs w:val="24"/>
                <w:vertAlign w:val="subscript"/>
                <w:lang w:val="en-US" w:eastAsia="zh-CN"/>
              </w:rPr>
              <w:t>3</w:t>
            </w:r>
            <w:r>
              <w:rPr>
                <w:rFonts w:hint="eastAsia" w:cs="Times New Roman"/>
                <w:b w:val="0"/>
                <w:bCs w:val="0"/>
                <w:color w:val="auto"/>
                <w:kern w:val="0"/>
                <w:sz w:val="24"/>
                <w:szCs w:val="24"/>
                <w:vertAlign w:val="baseline"/>
                <w:lang w:val="en-US" w:eastAsia="zh-CN"/>
              </w:rPr>
              <w:t>、</w:t>
            </w:r>
            <w:r>
              <w:rPr>
                <w:rFonts w:hint="eastAsia" w:cs="Times New Roman"/>
                <w:b w:val="0"/>
                <w:bCs w:val="0"/>
                <w:color w:val="auto"/>
                <w:kern w:val="0"/>
                <w:sz w:val="24"/>
                <w:szCs w:val="24"/>
                <w:lang w:val="en-US" w:eastAsia="zh-CN"/>
              </w:rPr>
              <w:t>PM</w:t>
            </w:r>
            <w:r>
              <w:rPr>
                <w:rFonts w:hint="default" w:ascii="Times New Roman" w:hAnsi="Times New Roman" w:eastAsia="宋体" w:cs="Times New Roman"/>
                <w:b w:val="0"/>
                <w:bCs w:val="0"/>
                <w:color w:val="auto"/>
                <w:kern w:val="0"/>
                <w:sz w:val="21"/>
                <w:szCs w:val="21"/>
                <w:vertAlign w:val="subscript"/>
              </w:rPr>
              <w:t>.</w:t>
            </w:r>
            <w:r>
              <w:rPr>
                <w:rFonts w:hint="eastAsia" w:ascii="Times New Roman" w:hAnsi="Times New Roman" w:eastAsia="宋体" w:cs="Times New Roman"/>
                <w:b w:val="0"/>
                <w:bCs w:val="0"/>
                <w:color w:val="auto"/>
                <w:kern w:val="0"/>
                <w:sz w:val="21"/>
                <w:szCs w:val="21"/>
                <w:vertAlign w:val="subscript"/>
                <w:lang w:val="en-US" w:eastAsia="zh-CN"/>
              </w:rPr>
              <w:t>2.</w:t>
            </w:r>
            <w:r>
              <w:rPr>
                <w:rFonts w:hint="default" w:ascii="Times New Roman" w:hAnsi="Times New Roman" w:eastAsia="宋体" w:cs="Times New Roman"/>
                <w:b w:val="0"/>
                <w:bCs w:val="0"/>
                <w:color w:val="auto"/>
                <w:kern w:val="0"/>
                <w:sz w:val="21"/>
                <w:szCs w:val="21"/>
                <w:vertAlign w:val="subscript"/>
              </w:rPr>
              <w:t>5</w:t>
            </w:r>
            <w:r>
              <w:rPr>
                <w:rFonts w:hint="eastAsia" w:cs="Times New Roman"/>
                <w:b w:val="0"/>
                <w:bCs w:val="0"/>
                <w:color w:val="auto"/>
                <w:kern w:val="0"/>
                <w:sz w:val="24"/>
                <w:szCs w:val="24"/>
                <w:lang w:val="en-US" w:eastAsia="zh-CN"/>
              </w:rPr>
              <w:t>的评价指标不能满足《环境空气质量标(GB3095-2012) 及其修改单二级标准限值要求，项目所在区域为不达标区。</w:t>
            </w:r>
          </w:p>
          <w:p w14:paraId="1DDE4C07">
            <w:pPr>
              <w:keepNext w:val="0"/>
              <w:keepLines w:val="0"/>
              <w:pageBreakBefore w:val="0"/>
              <w:widowControl w:val="0"/>
              <w:kinsoku/>
              <w:wordWrap/>
              <w:overflowPunct/>
              <w:topLinePunct w:val="0"/>
              <w:autoSpaceDE/>
              <w:autoSpaceDN/>
              <w:bidi w:val="0"/>
              <w:adjustRightInd/>
              <w:snapToGrid/>
              <w:ind w:firstLine="482"/>
              <w:textAlignment w:val="auto"/>
              <w:rPr>
                <w:b/>
                <w:bCs/>
                <w:color w:val="auto"/>
              </w:rPr>
            </w:pPr>
            <w:r>
              <w:rPr>
                <w:rFonts w:hint="eastAsia"/>
                <w:b/>
                <w:bCs/>
                <w:color w:val="auto"/>
              </w:rPr>
              <w:t>2、特征污染物环境质量现状评价</w:t>
            </w:r>
          </w:p>
          <w:p w14:paraId="3BB3C6BB">
            <w:pPr>
              <w:keepNext w:val="0"/>
              <w:keepLines w:val="0"/>
              <w:pageBreakBefore w:val="0"/>
              <w:widowControl w:val="0"/>
              <w:kinsoku/>
              <w:wordWrap/>
              <w:overflowPunct/>
              <w:topLinePunct w:val="0"/>
              <w:autoSpaceDE/>
              <w:autoSpaceDN/>
              <w:bidi w:val="0"/>
              <w:adjustRightInd/>
              <w:snapToGrid/>
              <w:ind w:firstLine="470" w:firstLineChars="196"/>
              <w:textAlignment w:val="auto"/>
              <w:rPr>
                <w:rFonts w:hint="eastAsia"/>
              </w:rPr>
            </w:pPr>
            <w:r>
              <w:rPr>
                <w:color w:val="auto"/>
              </w:rPr>
              <w:t>引用数据位于本项目区</w:t>
            </w:r>
            <w:r>
              <w:rPr>
                <w:rFonts w:hint="eastAsia"/>
                <w:color w:val="auto"/>
                <w:lang w:val="en-US" w:eastAsia="zh-CN"/>
              </w:rPr>
              <w:t>西</w:t>
            </w:r>
            <w:r>
              <w:rPr>
                <w:rFonts w:hint="eastAsia"/>
                <w:color w:val="auto"/>
              </w:rPr>
              <w:t>北方向</w:t>
            </w:r>
            <w:r>
              <w:rPr>
                <w:rFonts w:hint="eastAsia"/>
                <w:color w:val="auto"/>
                <w:lang w:val="en-US" w:eastAsia="zh-CN"/>
              </w:rPr>
              <w:t>*</w:t>
            </w:r>
            <w:r>
              <w:rPr>
                <w:color w:val="auto"/>
              </w:rPr>
              <w:t>m，监测时</w:t>
            </w:r>
            <w:r>
              <w:rPr>
                <w:rFonts w:hint="eastAsia"/>
                <w:color w:val="auto"/>
              </w:rPr>
              <w:t>本项目排放的特征污染因子</w:t>
            </w:r>
            <w:r>
              <w:rPr>
                <w:color w:val="auto"/>
              </w:rPr>
              <w:t>主要</w:t>
            </w:r>
            <w:r>
              <w:rPr>
                <w:rFonts w:hint="eastAsia"/>
                <w:color w:val="auto"/>
              </w:rPr>
              <w:t>为TSP，</w:t>
            </w:r>
            <w:r>
              <w:rPr>
                <w:rFonts w:hint="eastAsia"/>
              </w:rPr>
              <w:t>环境质量现状数据引用</w:t>
            </w:r>
            <w:r>
              <w:rPr>
                <w:rFonts w:hint="eastAsia"/>
                <w:color w:val="auto"/>
                <w:lang w:val="en-US" w:eastAsia="zh-CN"/>
              </w:rPr>
              <w:t>*</w:t>
            </w:r>
            <w:r>
              <w:rPr>
                <w:rFonts w:hint="eastAsia"/>
              </w:rPr>
              <w:t>中</w:t>
            </w:r>
            <w:r>
              <w:rPr>
                <w:rFonts w:hint="eastAsia"/>
                <w:lang w:val="en-US" w:eastAsia="zh-CN"/>
              </w:rPr>
              <w:t>G1的</w:t>
            </w:r>
            <w:r>
              <w:rPr>
                <w:rFonts w:hint="eastAsia"/>
              </w:rPr>
              <w:t>监测点位，监测时间为</w:t>
            </w:r>
            <w:r>
              <w:rPr>
                <w:rFonts w:hint="eastAsia"/>
                <w:lang w:val="en-US" w:eastAsia="zh-CN"/>
              </w:rPr>
              <w:t>2024年05月08日</w:t>
            </w:r>
            <w:r>
              <w:t>~</w:t>
            </w:r>
            <w:r>
              <w:rPr>
                <w:rFonts w:hint="eastAsia"/>
                <w:lang w:val="en-US" w:eastAsia="zh-CN"/>
              </w:rPr>
              <w:t>05</w:t>
            </w:r>
            <w:r>
              <w:t>月</w:t>
            </w:r>
            <w:r>
              <w:rPr>
                <w:rFonts w:hint="eastAsia"/>
                <w:lang w:val="en-US" w:eastAsia="zh-CN"/>
              </w:rPr>
              <w:t>14</w:t>
            </w:r>
            <w:r>
              <w:t>日</w:t>
            </w:r>
            <w:r>
              <w:rPr>
                <w:rFonts w:hint="eastAsia"/>
              </w:rPr>
              <w:t>。</w:t>
            </w:r>
            <w:bookmarkStart w:id="21" w:name="_GoBack"/>
            <w:bookmarkEnd w:id="21"/>
          </w:p>
          <w:p w14:paraId="550269C4">
            <w:pPr>
              <w:ind w:firstLine="470" w:firstLineChars="196"/>
              <w:rPr>
                <w:color w:val="auto"/>
              </w:rPr>
            </w:pPr>
            <w:r>
              <w:rPr>
                <w:color w:val="auto"/>
              </w:rPr>
              <w:t>根据建设项目环境影响报告表编制技术指南（污染影响类）（试行</w:t>
            </w:r>
            <w:r>
              <w:rPr>
                <w:rFonts w:hint="eastAsia"/>
                <w:color w:val="auto"/>
              </w:rPr>
              <w:t>）</w:t>
            </w:r>
            <w:r>
              <w:rPr>
                <w:color w:val="auto"/>
              </w:rPr>
              <w:t>中要求：</w:t>
            </w:r>
            <w:r>
              <w:rPr>
                <w:rFonts w:hint="eastAsia"/>
                <w:color w:val="auto"/>
              </w:rPr>
              <w:t>“</w:t>
            </w:r>
            <w:r>
              <w:rPr>
                <w:color w:val="auto"/>
              </w:rPr>
              <w:t>引用数据应在项目周边5千米范围内近3年的现有监测数据</w:t>
            </w:r>
            <w:r>
              <w:rPr>
                <w:rFonts w:hint="eastAsia"/>
                <w:color w:val="auto"/>
              </w:rPr>
              <w:t>”</w:t>
            </w:r>
            <w:r>
              <w:rPr>
                <w:color w:val="auto"/>
              </w:rPr>
              <w:t>。间为</w:t>
            </w:r>
            <w:r>
              <w:rPr>
                <w:rFonts w:hint="eastAsia"/>
                <w:color w:val="auto"/>
                <w:lang w:val="en-US" w:eastAsia="zh-CN"/>
              </w:rPr>
              <w:t>2024</w:t>
            </w:r>
            <w:r>
              <w:rPr>
                <w:color w:val="auto"/>
              </w:rPr>
              <w:t>年，</w:t>
            </w:r>
            <w:r>
              <w:rPr>
                <w:rFonts w:hint="eastAsia"/>
                <w:color w:val="auto"/>
              </w:rPr>
              <w:t>因此</w:t>
            </w:r>
            <w:r>
              <w:rPr>
                <w:color w:val="auto"/>
              </w:rPr>
              <w:t>满足引用要求。</w:t>
            </w:r>
          </w:p>
          <w:p w14:paraId="0F4E34E6">
            <w:pPr>
              <w:widowControl w:val="0"/>
              <w:wordWrap/>
              <w:adjustRightInd/>
              <w:snapToGrid/>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本项目大气环境监测点位示意图见下图。</w:t>
            </w:r>
          </w:p>
          <w:p w14:paraId="7D134A07">
            <w:pPr>
              <w:ind w:firstLine="0" w:firstLineChars="0"/>
              <w:jc w:val="center"/>
              <w:rPr>
                <w:color w:val="auto"/>
              </w:rPr>
            </w:pPr>
          </w:p>
          <w:p w14:paraId="07B17F8F">
            <w:pPr>
              <w:shd w:val="solid" w:color="FFFFFF" w:fill="auto"/>
              <w:autoSpaceDN w:val="0"/>
              <w:spacing w:line="240" w:lineRule="auto"/>
              <w:ind w:firstLine="0" w:firstLineChars="0"/>
              <w:jc w:val="center"/>
              <w:rPr>
                <w:color w:val="auto"/>
              </w:rPr>
            </w:pPr>
            <w:r>
              <w:rPr>
                <w:b/>
                <w:bCs/>
                <w:color w:val="auto"/>
                <w:shd w:val="clear" w:color="auto" w:fill="FFFFFF"/>
              </w:rPr>
              <w:t>图3-1  项目区大气监测点位图</w:t>
            </w:r>
          </w:p>
          <w:p w14:paraId="10461665">
            <w:pPr>
              <w:spacing w:line="240" w:lineRule="auto"/>
              <w:ind w:firstLine="0" w:firstLineChars="0"/>
              <w:jc w:val="center"/>
              <w:rPr>
                <w:b/>
                <w:bCs/>
                <w:color w:val="auto"/>
              </w:rPr>
            </w:pPr>
            <w:r>
              <w:rPr>
                <w:b/>
                <w:bCs/>
                <w:color w:val="auto"/>
              </w:rPr>
              <w:t>表</w:t>
            </w:r>
            <w:r>
              <w:rPr>
                <w:b/>
                <w:bCs/>
                <w:color w:val="auto"/>
                <w:spacing w:val="-61"/>
              </w:rPr>
              <w:t xml:space="preserve"> </w:t>
            </w:r>
            <w:r>
              <w:rPr>
                <w:b/>
                <w:bCs/>
                <w:color w:val="auto"/>
              </w:rPr>
              <w:t>3-2  污染物</w:t>
            </w:r>
            <w:r>
              <w:rPr>
                <w:rFonts w:hint="eastAsia"/>
                <w:b/>
                <w:bCs/>
                <w:color w:val="auto"/>
              </w:rPr>
              <w:t>引用</w:t>
            </w:r>
            <w:r>
              <w:rPr>
                <w:b/>
                <w:bCs/>
                <w:color w:val="auto"/>
              </w:rPr>
              <w:t>监测点位基本信息表</w:t>
            </w:r>
          </w:p>
          <w:tbl>
            <w:tblPr>
              <w:tblStyle w:val="26"/>
              <w:tblW w:w="82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52"/>
              <w:gridCol w:w="1394"/>
              <w:gridCol w:w="1127"/>
              <w:gridCol w:w="994"/>
              <w:gridCol w:w="1761"/>
              <w:gridCol w:w="747"/>
              <w:gridCol w:w="863"/>
            </w:tblGrid>
            <w:tr w14:paraId="0D37A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52" w:type="dxa"/>
                  <w:vMerge w:val="restart"/>
                  <w:tcBorders>
                    <w:top w:val="single" w:color="000000" w:sz="4" w:space="0"/>
                    <w:right w:val="single" w:color="000000" w:sz="4" w:space="0"/>
                  </w:tcBorders>
                  <w:vAlign w:val="center"/>
                </w:tcPr>
                <w:p w14:paraId="32EB9C61">
                  <w:pPr>
                    <w:pStyle w:val="3"/>
                    <w:rPr>
                      <w:b/>
                      <w:bCs/>
                      <w:color w:val="auto"/>
                    </w:rPr>
                  </w:pPr>
                  <w:r>
                    <w:rPr>
                      <w:b/>
                      <w:bCs/>
                      <w:color w:val="auto"/>
                    </w:rPr>
                    <w:t>点位名称</w:t>
                  </w:r>
                </w:p>
              </w:tc>
              <w:tc>
                <w:tcPr>
                  <w:tcW w:w="2521" w:type="dxa"/>
                  <w:gridSpan w:val="2"/>
                  <w:tcBorders>
                    <w:top w:val="single" w:color="000000" w:sz="4" w:space="0"/>
                    <w:left w:val="single" w:color="000000" w:sz="4" w:space="0"/>
                    <w:bottom w:val="single" w:color="000000" w:sz="4" w:space="0"/>
                    <w:right w:val="single" w:color="000000" w:sz="4" w:space="0"/>
                  </w:tcBorders>
                  <w:vAlign w:val="center"/>
                </w:tcPr>
                <w:p w14:paraId="35C77C51">
                  <w:pPr>
                    <w:pStyle w:val="3"/>
                    <w:rPr>
                      <w:b/>
                      <w:bCs/>
                      <w:color w:val="auto"/>
                    </w:rPr>
                  </w:pPr>
                  <w:r>
                    <w:rPr>
                      <w:b/>
                      <w:bCs/>
                      <w:color w:val="auto"/>
                    </w:rPr>
                    <w:t>监测点经纬度</w:t>
                  </w:r>
                </w:p>
              </w:tc>
              <w:tc>
                <w:tcPr>
                  <w:tcW w:w="994" w:type="dxa"/>
                  <w:vMerge w:val="restart"/>
                  <w:tcBorders>
                    <w:top w:val="single" w:color="000000" w:sz="4" w:space="0"/>
                    <w:left w:val="single" w:color="000000" w:sz="4" w:space="0"/>
                    <w:bottom w:val="single" w:color="000000" w:sz="4" w:space="0"/>
                    <w:right w:val="single" w:color="000000" w:sz="4" w:space="0"/>
                  </w:tcBorders>
                  <w:vAlign w:val="center"/>
                </w:tcPr>
                <w:p w14:paraId="3AB041E4">
                  <w:pPr>
                    <w:pStyle w:val="3"/>
                    <w:rPr>
                      <w:b/>
                      <w:bCs/>
                      <w:color w:val="auto"/>
                    </w:rPr>
                  </w:pPr>
                  <w:r>
                    <w:rPr>
                      <w:b/>
                      <w:bCs/>
                      <w:color w:val="auto"/>
                    </w:rPr>
                    <w:t>监测因子</w:t>
                  </w:r>
                </w:p>
              </w:tc>
              <w:tc>
                <w:tcPr>
                  <w:tcW w:w="1761" w:type="dxa"/>
                  <w:vMerge w:val="restart"/>
                  <w:tcBorders>
                    <w:top w:val="single" w:color="000000" w:sz="4" w:space="0"/>
                    <w:left w:val="single" w:color="000000" w:sz="4" w:space="0"/>
                    <w:bottom w:val="single" w:color="000000" w:sz="4" w:space="0"/>
                    <w:right w:val="single" w:color="000000" w:sz="4" w:space="0"/>
                  </w:tcBorders>
                  <w:vAlign w:val="center"/>
                </w:tcPr>
                <w:p w14:paraId="00DC17B6">
                  <w:pPr>
                    <w:pStyle w:val="3"/>
                    <w:rPr>
                      <w:b/>
                      <w:bCs/>
                      <w:color w:val="auto"/>
                    </w:rPr>
                  </w:pPr>
                  <w:r>
                    <w:rPr>
                      <w:b/>
                      <w:bCs/>
                      <w:color w:val="auto"/>
                    </w:rPr>
                    <w:t>监测时段</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14:paraId="6ECDAC8D">
                  <w:pPr>
                    <w:pStyle w:val="3"/>
                    <w:rPr>
                      <w:b/>
                      <w:bCs/>
                      <w:color w:val="auto"/>
                    </w:rPr>
                  </w:pPr>
                  <w:r>
                    <w:rPr>
                      <w:b/>
                      <w:bCs/>
                      <w:color w:val="auto"/>
                    </w:rPr>
                    <w:t>相对厂址方位</w:t>
                  </w:r>
                </w:p>
              </w:tc>
              <w:tc>
                <w:tcPr>
                  <w:tcW w:w="863" w:type="dxa"/>
                  <w:vMerge w:val="restart"/>
                  <w:tcBorders>
                    <w:top w:val="single" w:color="000000" w:sz="4" w:space="0"/>
                    <w:left w:val="single" w:color="000000" w:sz="4" w:space="0"/>
                    <w:bottom w:val="single" w:color="000000" w:sz="4" w:space="0"/>
                  </w:tcBorders>
                  <w:vAlign w:val="center"/>
                </w:tcPr>
                <w:p w14:paraId="1536C38B">
                  <w:pPr>
                    <w:pStyle w:val="3"/>
                    <w:rPr>
                      <w:b/>
                      <w:bCs/>
                      <w:color w:val="auto"/>
                    </w:rPr>
                  </w:pPr>
                  <w:r>
                    <w:rPr>
                      <w:b/>
                      <w:bCs/>
                      <w:color w:val="auto"/>
                    </w:rPr>
                    <w:t>相对厂界距离/m</w:t>
                  </w:r>
                </w:p>
              </w:tc>
            </w:tr>
            <w:tr w14:paraId="4E0D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52" w:type="dxa"/>
                  <w:vMerge w:val="continue"/>
                  <w:tcBorders>
                    <w:bottom w:val="single" w:color="000000" w:sz="4" w:space="0"/>
                    <w:right w:val="single" w:color="000000" w:sz="4" w:space="0"/>
                  </w:tcBorders>
                  <w:vAlign w:val="center"/>
                </w:tcPr>
                <w:p w14:paraId="0EEA580E">
                  <w:pPr>
                    <w:pStyle w:val="3"/>
                    <w:rPr>
                      <w:color w:val="auto"/>
                    </w:rPr>
                  </w:pPr>
                </w:p>
              </w:tc>
              <w:tc>
                <w:tcPr>
                  <w:tcW w:w="1394" w:type="dxa"/>
                  <w:tcBorders>
                    <w:top w:val="single" w:color="000000" w:sz="4" w:space="0"/>
                    <w:left w:val="single" w:color="000000" w:sz="4" w:space="0"/>
                    <w:bottom w:val="single" w:color="000000" w:sz="4" w:space="0"/>
                    <w:right w:val="single" w:color="000000" w:sz="4" w:space="0"/>
                  </w:tcBorders>
                  <w:vAlign w:val="center"/>
                </w:tcPr>
                <w:p w14:paraId="0E9A6345">
                  <w:pPr>
                    <w:pStyle w:val="3"/>
                    <w:rPr>
                      <w:b/>
                      <w:bCs/>
                      <w:color w:val="auto"/>
                    </w:rPr>
                  </w:pPr>
                  <w:r>
                    <w:rPr>
                      <w:b/>
                      <w:bCs/>
                      <w:color w:val="auto"/>
                    </w:rPr>
                    <w:t>经度</w:t>
                  </w:r>
                </w:p>
              </w:tc>
              <w:tc>
                <w:tcPr>
                  <w:tcW w:w="1127" w:type="dxa"/>
                  <w:tcBorders>
                    <w:top w:val="single" w:color="000000" w:sz="4" w:space="0"/>
                    <w:left w:val="single" w:color="000000" w:sz="4" w:space="0"/>
                    <w:bottom w:val="single" w:color="000000" w:sz="4" w:space="0"/>
                    <w:right w:val="single" w:color="000000" w:sz="4" w:space="0"/>
                  </w:tcBorders>
                  <w:vAlign w:val="center"/>
                </w:tcPr>
                <w:p w14:paraId="11902B85">
                  <w:pPr>
                    <w:pStyle w:val="3"/>
                    <w:rPr>
                      <w:b/>
                      <w:bCs/>
                      <w:color w:val="auto"/>
                    </w:rPr>
                  </w:pPr>
                  <w:r>
                    <w:rPr>
                      <w:b/>
                      <w:bCs/>
                      <w:color w:val="auto"/>
                    </w:rPr>
                    <w:t>纬度</w:t>
                  </w:r>
                </w:p>
              </w:tc>
              <w:tc>
                <w:tcPr>
                  <w:tcW w:w="994" w:type="dxa"/>
                  <w:vMerge w:val="continue"/>
                  <w:tcBorders>
                    <w:top w:val="nil"/>
                    <w:left w:val="single" w:color="000000" w:sz="4" w:space="0"/>
                    <w:bottom w:val="single" w:color="000000" w:sz="4" w:space="0"/>
                    <w:right w:val="single" w:color="000000" w:sz="4" w:space="0"/>
                  </w:tcBorders>
                  <w:vAlign w:val="center"/>
                </w:tcPr>
                <w:p w14:paraId="58DAE81E">
                  <w:pPr>
                    <w:pStyle w:val="3"/>
                    <w:rPr>
                      <w:color w:val="auto"/>
                    </w:rPr>
                  </w:pPr>
                </w:p>
              </w:tc>
              <w:tc>
                <w:tcPr>
                  <w:tcW w:w="1761" w:type="dxa"/>
                  <w:vMerge w:val="continue"/>
                  <w:tcBorders>
                    <w:top w:val="nil"/>
                    <w:left w:val="single" w:color="000000" w:sz="4" w:space="0"/>
                    <w:bottom w:val="single" w:color="000000" w:sz="4" w:space="0"/>
                    <w:right w:val="single" w:color="000000" w:sz="4" w:space="0"/>
                  </w:tcBorders>
                  <w:vAlign w:val="center"/>
                </w:tcPr>
                <w:p w14:paraId="0BAD936B">
                  <w:pPr>
                    <w:pStyle w:val="3"/>
                    <w:rPr>
                      <w:color w:val="auto"/>
                    </w:rPr>
                  </w:pPr>
                </w:p>
              </w:tc>
              <w:tc>
                <w:tcPr>
                  <w:tcW w:w="747" w:type="dxa"/>
                  <w:vMerge w:val="continue"/>
                  <w:tcBorders>
                    <w:top w:val="nil"/>
                    <w:left w:val="single" w:color="000000" w:sz="4" w:space="0"/>
                    <w:bottom w:val="single" w:color="000000" w:sz="4" w:space="0"/>
                    <w:right w:val="single" w:color="000000" w:sz="4" w:space="0"/>
                  </w:tcBorders>
                  <w:vAlign w:val="center"/>
                </w:tcPr>
                <w:p w14:paraId="4610FFEF">
                  <w:pPr>
                    <w:pStyle w:val="3"/>
                    <w:rPr>
                      <w:color w:val="auto"/>
                    </w:rPr>
                  </w:pPr>
                </w:p>
              </w:tc>
              <w:tc>
                <w:tcPr>
                  <w:tcW w:w="863" w:type="dxa"/>
                  <w:vMerge w:val="continue"/>
                  <w:tcBorders>
                    <w:top w:val="nil"/>
                    <w:left w:val="single" w:color="000000" w:sz="4" w:space="0"/>
                    <w:bottom w:val="single" w:color="000000" w:sz="4" w:space="0"/>
                  </w:tcBorders>
                  <w:vAlign w:val="center"/>
                </w:tcPr>
                <w:p w14:paraId="7F0F9A46">
                  <w:pPr>
                    <w:pStyle w:val="3"/>
                    <w:rPr>
                      <w:color w:val="auto"/>
                    </w:rPr>
                  </w:pPr>
                </w:p>
              </w:tc>
            </w:tr>
            <w:tr w14:paraId="74835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52" w:type="dxa"/>
                  <w:tcBorders>
                    <w:right w:val="single" w:color="000000" w:sz="4" w:space="0"/>
                  </w:tcBorders>
                  <w:vAlign w:val="center"/>
                </w:tcPr>
                <w:p w14:paraId="3453B150">
                  <w:pPr>
                    <w:pStyle w:val="3"/>
                    <w:rPr>
                      <w:color w:val="auto"/>
                    </w:rPr>
                  </w:pPr>
                  <w:r>
                    <w:rPr>
                      <w:color w:val="auto"/>
                    </w:rPr>
                    <w:t>G1项目</w:t>
                  </w:r>
                  <w:r>
                    <w:rPr>
                      <w:rFonts w:hint="eastAsia"/>
                      <w:color w:val="auto"/>
                    </w:rPr>
                    <w:t>区周边</w:t>
                  </w:r>
                </w:p>
              </w:tc>
              <w:tc>
                <w:tcPr>
                  <w:tcW w:w="1394" w:type="dxa"/>
                  <w:tcBorders>
                    <w:left w:val="single" w:color="000000" w:sz="4" w:space="0"/>
                    <w:right w:val="single" w:color="000000" w:sz="4" w:space="0"/>
                  </w:tcBorders>
                  <w:vAlign w:val="center"/>
                </w:tcPr>
                <w:p w14:paraId="1976F534">
                  <w:pPr>
                    <w:pStyle w:val="3"/>
                    <w:rPr>
                      <w:color w:val="auto"/>
                    </w:rPr>
                  </w:pPr>
                  <w:r>
                    <w:rPr>
                      <w:rFonts w:hint="eastAsia"/>
                      <w:color w:val="auto"/>
                      <w:lang w:val="en-US" w:eastAsia="zh-CN"/>
                    </w:rPr>
                    <w:t>*</w:t>
                  </w:r>
                </w:p>
              </w:tc>
              <w:tc>
                <w:tcPr>
                  <w:tcW w:w="1127" w:type="dxa"/>
                  <w:tcBorders>
                    <w:left w:val="single" w:color="000000" w:sz="4" w:space="0"/>
                    <w:right w:val="single" w:color="000000" w:sz="4" w:space="0"/>
                  </w:tcBorders>
                  <w:vAlign w:val="center"/>
                </w:tcPr>
                <w:p w14:paraId="4743EC31">
                  <w:pPr>
                    <w:pStyle w:val="3"/>
                    <w:rPr>
                      <w:color w:val="auto"/>
                    </w:rPr>
                  </w:pPr>
                  <w:r>
                    <w:rPr>
                      <w:rFonts w:hint="eastAsia"/>
                      <w:color w:val="auto"/>
                      <w:lang w:val="en-US" w:eastAsia="zh-CN"/>
                    </w:rPr>
                    <w:t>*</w:t>
                  </w:r>
                </w:p>
              </w:tc>
              <w:tc>
                <w:tcPr>
                  <w:tcW w:w="994" w:type="dxa"/>
                  <w:tcBorders>
                    <w:top w:val="nil"/>
                    <w:left w:val="single" w:color="000000" w:sz="4" w:space="0"/>
                    <w:bottom w:val="single" w:color="auto" w:sz="4" w:space="0"/>
                    <w:right w:val="single" w:color="000000" w:sz="4" w:space="0"/>
                  </w:tcBorders>
                  <w:vAlign w:val="center"/>
                </w:tcPr>
                <w:p w14:paraId="5B205679">
                  <w:pPr>
                    <w:pStyle w:val="3"/>
                    <w:rPr>
                      <w:color w:val="auto"/>
                    </w:rPr>
                  </w:pPr>
                  <w:r>
                    <w:rPr>
                      <w:rFonts w:hint="eastAsia"/>
                      <w:color w:val="auto"/>
                    </w:rPr>
                    <w:t>TSP</w:t>
                  </w:r>
                </w:p>
              </w:tc>
              <w:tc>
                <w:tcPr>
                  <w:tcW w:w="1761" w:type="dxa"/>
                  <w:tcBorders>
                    <w:left w:val="single" w:color="000000" w:sz="4" w:space="0"/>
                    <w:right w:val="single" w:color="000000" w:sz="4" w:space="0"/>
                  </w:tcBorders>
                  <w:vAlign w:val="center"/>
                </w:tcPr>
                <w:p w14:paraId="08F052F7">
                  <w:pPr>
                    <w:pStyle w:val="3"/>
                    <w:rPr>
                      <w:color w:val="auto"/>
                    </w:rPr>
                  </w:pPr>
                  <w:r>
                    <w:rPr>
                      <w:rFonts w:hint="eastAsia"/>
                      <w:color w:val="auto"/>
                    </w:rPr>
                    <w:t>00:00-次日 00:00</w:t>
                  </w:r>
                </w:p>
              </w:tc>
              <w:tc>
                <w:tcPr>
                  <w:tcW w:w="747" w:type="dxa"/>
                  <w:tcBorders>
                    <w:left w:val="single" w:color="000000" w:sz="4" w:space="0"/>
                    <w:right w:val="single" w:color="000000" w:sz="4" w:space="0"/>
                  </w:tcBorders>
                  <w:vAlign w:val="center"/>
                </w:tcPr>
                <w:p w14:paraId="41B224A3">
                  <w:pPr>
                    <w:pStyle w:val="3"/>
                    <w:rPr>
                      <w:rFonts w:hint="eastAsia" w:eastAsia="宋体"/>
                      <w:color w:val="auto"/>
                      <w:lang w:eastAsia="zh-CN"/>
                    </w:rPr>
                  </w:pPr>
                  <w:r>
                    <w:rPr>
                      <w:rFonts w:hint="eastAsia"/>
                      <w:color w:val="auto"/>
                      <w:lang w:val="en-US" w:eastAsia="zh-CN"/>
                    </w:rPr>
                    <w:t>*</w:t>
                  </w:r>
                </w:p>
              </w:tc>
              <w:tc>
                <w:tcPr>
                  <w:tcW w:w="863" w:type="dxa"/>
                  <w:tcBorders>
                    <w:left w:val="single" w:color="000000" w:sz="4" w:space="0"/>
                  </w:tcBorders>
                  <w:vAlign w:val="center"/>
                </w:tcPr>
                <w:p w14:paraId="74A8E9AF">
                  <w:pPr>
                    <w:pStyle w:val="3"/>
                    <w:rPr>
                      <w:rFonts w:hint="default" w:eastAsia="宋体"/>
                      <w:color w:val="auto"/>
                      <w:lang w:val="en-US" w:eastAsia="zh-CN"/>
                    </w:rPr>
                  </w:pPr>
                  <w:r>
                    <w:rPr>
                      <w:rFonts w:hint="eastAsia"/>
                      <w:color w:val="auto"/>
                      <w:lang w:val="en-US" w:eastAsia="zh-CN"/>
                    </w:rPr>
                    <w:t>*</w:t>
                  </w:r>
                </w:p>
              </w:tc>
            </w:tr>
          </w:tbl>
          <w:p w14:paraId="764C7853">
            <w:pPr>
              <w:keepNext w:val="0"/>
              <w:keepLines w:val="0"/>
              <w:pageBreakBefore w:val="0"/>
              <w:widowControl w:val="0"/>
              <w:kinsoku/>
              <w:wordWrap/>
              <w:overflowPunct/>
              <w:topLinePunct w:val="0"/>
              <w:autoSpaceDE/>
              <w:autoSpaceDN/>
              <w:bidi w:val="0"/>
              <w:adjustRightInd/>
              <w:snapToGrid/>
              <w:ind w:firstLine="480"/>
              <w:textAlignment w:val="auto"/>
              <w:rPr>
                <w:color w:val="auto"/>
              </w:rPr>
            </w:pPr>
            <w:r>
              <w:rPr>
                <w:color w:val="auto"/>
              </w:rPr>
              <w:t>本项目特征污染物（</w:t>
            </w:r>
            <w:r>
              <w:rPr>
                <w:rFonts w:hint="eastAsia"/>
                <w:color w:val="auto"/>
              </w:rPr>
              <w:t>TSP</w:t>
            </w:r>
            <w:r>
              <w:rPr>
                <w:color w:val="auto"/>
              </w:rPr>
              <w:t>）</w:t>
            </w:r>
            <w:r>
              <w:rPr>
                <w:rFonts w:hint="eastAsia"/>
                <w:color w:val="auto"/>
              </w:rPr>
              <w:t>引用</w:t>
            </w:r>
            <w:r>
              <w:rPr>
                <w:color w:val="auto"/>
              </w:rPr>
              <w:t>监测结果如下表所示：</w:t>
            </w:r>
          </w:p>
          <w:p w14:paraId="3E180080">
            <w:pPr>
              <w:spacing w:line="240" w:lineRule="auto"/>
              <w:ind w:firstLine="0" w:firstLineChars="0"/>
              <w:jc w:val="center"/>
              <w:rPr>
                <w:color w:val="auto"/>
              </w:rPr>
            </w:pPr>
            <w:r>
              <w:rPr>
                <w:b/>
                <w:bCs/>
                <w:color w:val="auto"/>
              </w:rPr>
              <w:t>表3-3</w:t>
            </w:r>
            <w:r>
              <w:rPr>
                <w:b/>
                <w:bCs/>
                <w:color w:val="auto"/>
              </w:rPr>
              <w:tab/>
            </w:r>
            <w:r>
              <w:rPr>
                <w:b/>
                <w:bCs/>
                <w:color w:val="auto"/>
              </w:rPr>
              <w:t>其它污染物环境质量现状（监测结果）表</w:t>
            </w:r>
          </w:p>
          <w:tbl>
            <w:tblPr>
              <w:tblStyle w:val="26"/>
              <w:tblW w:w="8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105"/>
              <w:gridCol w:w="1012"/>
              <w:gridCol w:w="754"/>
              <w:gridCol w:w="1278"/>
              <w:gridCol w:w="1046"/>
              <w:gridCol w:w="1206"/>
              <w:gridCol w:w="615"/>
              <w:gridCol w:w="588"/>
            </w:tblGrid>
            <w:tr w14:paraId="152D8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647" w:type="dxa"/>
                  <w:vMerge w:val="restart"/>
                  <w:vAlign w:val="center"/>
                </w:tcPr>
                <w:p w14:paraId="6806EA7C">
                  <w:pPr>
                    <w:pStyle w:val="3"/>
                    <w:rPr>
                      <w:b/>
                      <w:bCs/>
                      <w:color w:val="auto"/>
                    </w:rPr>
                  </w:pPr>
                  <w:r>
                    <w:rPr>
                      <w:b/>
                      <w:bCs/>
                      <w:color w:val="auto"/>
                    </w:rPr>
                    <w:t>点位名称</w:t>
                  </w:r>
                </w:p>
              </w:tc>
              <w:tc>
                <w:tcPr>
                  <w:tcW w:w="2117" w:type="dxa"/>
                  <w:gridSpan w:val="2"/>
                  <w:vAlign w:val="center"/>
                </w:tcPr>
                <w:p w14:paraId="538C2F32">
                  <w:pPr>
                    <w:pStyle w:val="3"/>
                    <w:rPr>
                      <w:b/>
                      <w:bCs/>
                      <w:color w:val="auto"/>
                    </w:rPr>
                  </w:pPr>
                  <w:r>
                    <w:rPr>
                      <w:b/>
                      <w:bCs/>
                      <w:color w:val="auto"/>
                    </w:rPr>
                    <w:t>监测点经纬度</w:t>
                  </w:r>
                </w:p>
              </w:tc>
              <w:tc>
                <w:tcPr>
                  <w:tcW w:w="754" w:type="dxa"/>
                  <w:vMerge w:val="restart"/>
                  <w:vAlign w:val="center"/>
                </w:tcPr>
                <w:p w14:paraId="4556B23E">
                  <w:pPr>
                    <w:pStyle w:val="3"/>
                    <w:rPr>
                      <w:b/>
                      <w:bCs/>
                      <w:color w:val="auto"/>
                    </w:rPr>
                  </w:pPr>
                  <w:r>
                    <w:rPr>
                      <w:b/>
                      <w:bCs/>
                      <w:color w:val="auto"/>
                    </w:rPr>
                    <w:t>污染物</w:t>
                  </w:r>
                </w:p>
              </w:tc>
              <w:tc>
                <w:tcPr>
                  <w:tcW w:w="1278" w:type="dxa"/>
                  <w:vMerge w:val="restart"/>
                  <w:vAlign w:val="center"/>
                </w:tcPr>
                <w:p w14:paraId="19708814">
                  <w:pPr>
                    <w:pStyle w:val="3"/>
                    <w:rPr>
                      <w:b/>
                      <w:bCs/>
                      <w:color w:val="auto"/>
                    </w:rPr>
                  </w:pPr>
                  <w:r>
                    <w:rPr>
                      <w:b/>
                      <w:bCs/>
                      <w:color w:val="auto"/>
                    </w:rPr>
                    <w:t>平均时间</w:t>
                  </w:r>
                </w:p>
              </w:tc>
              <w:tc>
                <w:tcPr>
                  <w:tcW w:w="1046" w:type="dxa"/>
                  <w:vMerge w:val="restart"/>
                  <w:vAlign w:val="center"/>
                </w:tcPr>
                <w:p w14:paraId="50F0A7DE">
                  <w:pPr>
                    <w:pStyle w:val="3"/>
                    <w:rPr>
                      <w:b/>
                      <w:bCs/>
                      <w:color w:val="auto"/>
                    </w:rPr>
                  </w:pPr>
                  <w:r>
                    <w:rPr>
                      <w:b/>
                      <w:bCs/>
                      <w:color w:val="auto"/>
                    </w:rPr>
                    <w:t>评价标准</w:t>
                  </w:r>
                </w:p>
                <w:p w14:paraId="08F62EBE">
                  <w:pPr>
                    <w:pStyle w:val="3"/>
                    <w:rPr>
                      <w:b/>
                      <w:bCs/>
                      <w:color w:val="auto"/>
                    </w:rPr>
                  </w:pPr>
                  <w:r>
                    <w:rPr>
                      <w:b/>
                      <w:bCs/>
                      <w:color w:val="auto"/>
                    </w:rPr>
                    <w:t>（µg/m</w:t>
                  </w:r>
                  <w:r>
                    <w:rPr>
                      <w:b/>
                      <w:bCs/>
                      <w:color w:val="auto"/>
                      <w:vertAlign w:val="superscript"/>
                    </w:rPr>
                    <w:t>3</w:t>
                  </w:r>
                  <w:r>
                    <w:rPr>
                      <w:b/>
                      <w:bCs/>
                      <w:color w:val="auto"/>
                    </w:rPr>
                    <w:t>）</w:t>
                  </w:r>
                </w:p>
              </w:tc>
              <w:tc>
                <w:tcPr>
                  <w:tcW w:w="1206" w:type="dxa"/>
                  <w:vMerge w:val="restart"/>
                  <w:vAlign w:val="center"/>
                </w:tcPr>
                <w:p w14:paraId="5BCA0994">
                  <w:pPr>
                    <w:pStyle w:val="3"/>
                    <w:rPr>
                      <w:b/>
                      <w:bCs/>
                      <w:color w:val="auto"/>
                    </w:rPr>
                  </w:pPr>
                  <w:r>
                    <w:rPr>
                      <w:b/>
                      <w:bCs/>
                      <w:color w:val="auto"/>
                    </w:rPr>
                    <w:t>监测浓度范围（µg/m</w:t>
                  </w:r>
                  <w:r>
                    <w:rPr>
                      <w:b/>
                      <w:bCs/>
                      <w:color w:val="auto"/>
                      <w:vertAlign w:val="superscript"/>
                    </w:rPr>
                    <w:t>3</w:t>
                  </w:r>
                  <w:r>
                    <w:rPr>
                      <w:b/>
                      <w:bCs/>
                      <w:color w:val="auto"/>
                    </w:rPr>
                    <w:t>）</w:t>
                  </w:r>
                </w:p>
              </w:tc>
              <w:tc>
                <w:tcPr>
                  <w:tcW w:w="615" w:type="dxa"/>
                  <w:vMerge w:val="restart"/>
                  <w:vAlign w:val="center"/>
                </w:tcPr>
                <w:p w14:paraId="099B86C7">
                  <w:pPr>
                    <w:pStyle w:val="3"/>
                    <w:rPr>
                      <w:b/>
                      <w:bCs/>
                      <w:color w:val="auto"/>
                    </w:rPr>
                  </w:pPr>
                  <w:r>
                    <w:rPr>
                      <w:b/>
                      <w:bCs/>
                      <w:color w:val="auto"/>
                    </w:rPr>
                    <w:t>超标率</w:t>
                  </w:r>
                </w:p>
                <w:p w14:paraId="06101966">
                  <w:pPr>
                    <w:pStyle w:val="3"/>
                    <w:rPr>
                      <w:b/>
                      <w:bCs/>
                      <w:color w:val="auto"/>
                    </w:rPr>
                  </w:pPr>
                  <w:r>
                    <w:rPr>
                      <w:b/>
                      <w:bCs/>
                      <w:color w:val="auto"/>
                    </w:rPr>
                    <w:t>/%</w:t>
                  </w:r>
                </w:p>
              </w:tc>
              <w:tc>
                <w:tcPr>
                  <w:tcW w:w="588" w:type="dxa"/>
                  <w:vMerge w:val="restart"/>
                  <w:vAlign w:val="center"/>
                </w:tcPr>
                <w:p w14:paraId="11F91D14">
                  <w:pPr>
                    <w:pStyle w:val="3"/>
                    <w:rPr>
                      <w:b/>
                      <w:bCs/>
                      <w:color w:val="auto"/>
                    </w:rPr>
                  </w:pPr>
                  <w:r>
                    <w:rPr>
                      <w:b/>
                      <w:bCs/>
                      <w:color w:val="auto"/>
                    </w:rPr>
                    <w:t>达标情</w:t>
                  </w:r>
                </w:p>
                <w:p w14:paraId="67A202B8">
                  <w:pPr>
                    <w:pStyle w:val="3"/>
                    <w:rPr>
                      <w:b/>
                      <w:bCs/>
                      <w:color w:val="auto"/>
                    </w:rPr>
                  </w:pPr>
                  <w:r>
                    <w:rPr>
                      <w:b/>
                      <w:bCs/>
                      <w:color w:val="auto"/>
                    </w:rPr>
                    <w:t>况</w:t>
                  </w:r>
                </w:p>
              </w:tc>
            </w:tr>
            <w:tr w14:paraId="32404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47" w:type="dxa"/>
                  <w:vMerge w:val="continue"/>
                  <w:vAlign w:val="center"/>
                </w:tcPr>
                <w:p w14:paraId="6E7FFA11">
                  <w:pPr>
                    <w:pStyle w:val="3"/>
                    <w:rPr>
                      <w:color w:val="auto"/>
                    </w:rPr>
                  </w:pPr>
                </w:p>
              </w:tc>
              <w:tc>
                <w:tcPr>
                  <w:tcW w:w="1105" w:type="dxa"/>
                  <w:vAlign w:val="center"/>
                </w:tcPr>
                <w:p w14:paraId="224A6F37">
                  <w:pPr>
                    <w:pStyle w:val="3"/>
                    <w:rPr>
                      <w:b/>
                      <w:bCs/>
                      <w:color w:val="auto"/>
                    </w:rPr>
                  </w:pPr>
                  <w:r>
                    <w:rPr>
                      <w:b/>
                      <w:bCs/>
                      <w:color w:val="auto"/>
                    </w:rPr>
                    <w:t>经度</w:t>
                  </w:r>
                </w:p>
              </w:tc>
              <w:tc>
                <w:tcPr>
                  <w:tcW w:w="1012" w:type="dxa"/>
                  <w:vAlign w:val="center"/>
                </w:tcPr>
                <w:p w14:paraId="268A67DD">
                  <w:pPr>
                    <w:pStyle w:val="3"/>
                    <w:rPr>
                      <w:b/>
                      <w:bCs/>
                      <w:color w:val="auto"/>
                    </w:rPr>
                  </w:pPr>
                  <w:r>
                    <w:rPr>
                      <w:b/>
                      <w:bCs/>
                      <w:color w:val="auto"/>
                    </w:rPr>
                    <w:t>纬度</w:t>
                  </w:r>
                </w:p>
              </w:tc>
              <w:tc>
                <w:tcPr>
                  <w:tcW w:w="754" w:type="dxa"/>
                  <w:vMerge w:val="continue"/>
                  <w:vAlign w:val="center"/>
                </w:tcPr>
                <w:p w14:paraId="19E91D6E">
                  <w:pPr>
                    <w:pStyle w:val="3"/>
                    <w:rPr>
                      <w:color w:val="auto"/>
                    </w:rPr>
                  </w:pPr>
                </w:p>
              </w:tc>
              <w:tc>
                <w:tcPr>
                  <w:tcW w:w="1278" w:type="dxa"/>
                  <w:vMerge w:val="continue"/>
                  <w:vAlign w:val="center"/>
                </w:tcPr>
                <w:p w14:paraId="7792F348">
                  <w:pPr>
                    <w:pStyle w:val="3"/>
                    <w:rPr>
                      <w:color w:val="auto"/>
                    </w:rPr>
                  </w:pPr>
                </w:p>
              </w:tc>
              <w:tc>
                <w:tcPr>
                  <w:tcW w:w="1046" w:type="dxa"/>
                  <w:vMerge w:val="continue"/>
                  <w:vAlign w:val="center"/>
                </w:tcPr>
                <w:p w14:paraId="66033FD4">
                  <w:pPr>
                    <w:pStyle w:val="3"/>
                    <w:rPr>
                      <w:color w:val="auto"/>
                    </w:rPr>
                  </w:pPr>
                </w:p>
              </w:tc>
              <w:tc>
                <w:tcPr>
                  <w:tcW w:w="1206" w:type="dxa"/>
                  <w:vMerge w:val="continue"/>
                  <w:vAlign w:val="center"/>
                </w:tcPr>
                <w:p w14:paraId="4C6DE8B6">
                  <w:pPr>
                    <w:pStyle w:val="3"/>
                    <w:rPr>
                      <w:color w:val="auto"/>
                    </w:rPr>
                  </w:pPr>
                </w:p>
              </w:tc>
              <w:tc>
                <w:tcPr>
                  <w:tcW w:w="615" w:type="dxa"/>
                  <w:vMerge w:val="continue"/>
                  <w:vAlign w:val="center"/>
                </w:tcPr>
                <w:p w14:paraId="6C4D9A3D">
                  <w:pPr>
                    <w:pStyle w:val="3"/>
                    <w:rPr>
                      <w:color w:val="auto"/>
                    </w:rPr>
                  </w:pPr>
                </w:p>
              </w:tc>
              <w:tc>
                <w:tcPr>
                  <w:tcW w:w="588" w:type="dxa"/>
                  <w:vMerge w:val="continue"/>
                  <w:vAlign w:val="center"/>
                </w:tcPr>
                <w:p w14:paraId="23B0EC68">
                  <w:pPr>
                    <w:pStyle w:val="3"/>
                    <w:rPr>
                      <w:color w:val="auto"/>
                    </w:rPr>
                  </w:pPr>
                </w:p>
              </w:tc>
            </w:tr>
            <w:tr w14:paraId="52FD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47" w:type="dxa"/>
                  <w:vAlign w:val="center"/>
                </w:tcPr>
                <w:p w14:paraId="457B761D">
                  <w:pPr>
                    <w:pStyle w:val="3"/>
                    <w:rPr>
                      <w:color w:val="auto"/>
                    </w:rPr>
                  </w:pPr>
                  <w:r>
                    <w:rPr>
                      <w:color w:val="auto"/>
                    </w:rPr>
                    <w:t>G1项目</w:t>
                  </w:r>
                  <w:r>
                    <w:rPr>
                      <w:rFonts w:hint="eastAsia"/>
                      <w:color w:val="auto"/>
                    </w:rPr>
                    <w:t>区周边</w:t>
                  </w:r>
                </w:p>
              </w:tc>
              <w:tc>
                <w:tcPr>
                  <w:tcW w:w="1105" w:type="dxa"/>
                  <w:vAlign w:val="center"/>
                </w:tcPr>
                <w:p w14:paraId="36BA7ABB">
                  <w:pPr>
                    <w:pStyle w:val="3"/>
                    <w:ind w:firstLine="0" w:firstLineChars="0"/>
                    <w:rPr>
                      <w:color w:val="auto"/>
                    </w:rPr>
                  </w:pPr>
                  <w:r>
                    <w:rPr>
                      <w:rFonts w:hint="eastAsia"/>
                      <w:color w:val="auto"/>
                      <w:lang w:val="en-US" w:eastAsia="zh-CN"/>
                    </w:rPr>
                    <w:t>*</w:t>
                  </w:r>
                </w:p>
              </w:tc>
              <w:tc>
                <w:tcPr>
                  <w:tcW w:w="1012" w:type="dxa"/>
                  <w:vAlign w:val="center"/>
                </w:tcPr>
                <w:p w14:paraId="15FCA675">
                  <w:pPr>
                    <w:pStyle w:val="3"/>
                    <w:ind w:firstLine="0" w:firstLineChars="0"/>
                    <w:rPr>
                      <w:color w:val="auto"/>
                    </w:rPr>
                  </w:pPr>
                  <w:r>
                    <w:rPr>
                      <w:rFonts w:hint="eastAsia"/>
                      <w:color w:val="auto"/>
                      <w:lang w:val="en-US" w:eastAsia="zh-CN"/>
                    </w:rPr>
                    <w:t>*</w:t>
                  </w:r>
                </w:p>
              </w:tc>
              <w:tc>
                <w:tcPr>
                  <w:tcW w:w="754" w:type="dxa"/>
                  <w:vAlign w:val="center"/>
                </w:tcPr>
                <w:p w14:paraId="57C8CEAD">
                  <w:pPr>
                    <w:pStyle w:val="3"/>
                    <w:rPr>
                      <w:color w:val="auto"/>
                    </w:rPr>
                  </w:pPr>
                  <w:r>
                    <w:rPr>
                      <w:rFonts w:hint="eastAsia"/>
                      <w:color w:val="auto"/>
                    </w:rPr>
                    <w:t>TSP</w:t>
                  </w:r>
                </w:p>
              </w:tc>
              <w:tc>
                <w:tcPr>
                  <w:tcW w:w="1278" w:type="dxa"/>
                  <w:vAlign w:val="center"/>
                </w:tcPr>
                <w:p w14:paraId="08DFA32C">
                  <w:pPr>
                    <w:pStyle w:val="3"/>
                    <w:rPr>
                      <w:color w:val="auto"/>
                    </w:rPr>
                  </w:pPr>
                  <w:r>
                    <w:rPr>
                      <w:rFonts w:hint="eastAsia"/>
                      <w:color w:val="auto"/>
                    </w:rPr>
                    <w:t>24小时平均值</w:t>
                  </w:r>
                </w:p>
              </w:tc>
              <w:tc>
                <w:tcPr>
                  <w:tcW w:w="1046" w:type="dxa"/>
                  <w:vAlign w:val="center"/>
                </w:tcPr>
                <w:p w14:paraId="638E1494">
                  <w:pPr>
                    <w:pStyle w:val="3"/>
                    <w:rPr>
                      <w:color w:val="auto"/>
                    </w:rPr>
                  </w:pPr>
                  <w:r>
                    <w:rPr>
                      <w:rFonts w:hint="eastAsia"/>
                      <w:color w:val="auto"/>
                      <w:lang w:val="en-US" w:eastAsia="zh-CN"/>
                    </w:rPr>
                    <w:t>*</w:t>
                  </w:r>
                </w:p>
              </w:tc>
              <w:tc>
                <w:tcPr>
                  <w:tcW w:w="1206" w:type="dxa"/>
                  <w:vAlign w:val="center"/>
                </w:tcPr>
                <w:p w14:paraId="09AA3F00">
                  <w:pPr>
                    <w:pStyle w:val="3"/>
                    <w:rPr>
                      <w:rFonts w:hint="default"/>
                      <w:color w:val="auto"/>
                      <w:lang w:val="en-US"/>
                    </w:rPr>
                  </w:pPr>
                  <w:r>
                    <w:rPr>
                      <w:rFonts w:hint="eastAsia"/>
                      <w:color w:val="auto"/>
                      <w:lang w:val="en-US" w:eastAsia="zh-CN"/>
                    </w:rPr>
                    <w:t>*</w:t>
                  </w:r>
                </w:p>
              </w:tc>
              <w:tc>
                <w:tcPr>
                  <w:tcW w:w="615" w:type="dxa"/>
                  <w:vAlign w:val="center"/>
                </w:tcPr>
                <w:p w14:paraId="42507B9C">
                  <w:pPr>
                    <w:pStyle w:val="3"/>
                    <w:rPr>
                      <w:color w:val="auto"/>
                    </w:rPr>
                  </w:pPr>
                  <w:r>
                    <w:rPr>
                      <w:color w:val="auto"/>
                    </w:rPr>
                    <w:t>0</w:t>
                  </w:r>
                </w:p>
              </w:tc>
              <w:tc>
                <w:tcPr>
                  <w:tcW w:w="588" w:type="dxa"/>
                  <w:vAlign w:val="center"/>
                </w:tcPr>
                <w:p w14:paraId="3267042F">
                  <w:pPr>
                    <w:pStyle w:val="3"/>
                    <w:rPr>
                      <w:color w:val="auto"/>
                    </w:rPr>
                  </w:pPr>
                  <w:r>
                    <w:rPr>
                      <w:rFonts w:hint="eastAsia"/>
                      <w:color w:val="auto"/>
                      <w:lang w:val="en-US" w:eastAsia="zh-CN"/>
                    </w:rPr>
                    <w:t>*</w:t>
                  </w:r>
                </w:p>
              </w:tc>
            </w:tr>
          </w:tbl>
          <w:p w14:paraId="74AB3A3F">
            <w:pPr>
              <w:ind w:firstLine="480"/>
              <w:rPr>
                <w:b/>
                <w:bCs/>
                <w:color w:val="auto"/>
              </w:rPr>
            </w:pPr>
            <w:r>
              <w:rPr>
                <w:color w:val="auto"/>
              </w:rPr>
              <w:t>综上，项目所在区域特征污染物总悬浮颗粒物</w:t>
            </w:r>
            <w:r>
              <w:rPr>
                <w:rFonts w:hint="eastAsia"/>
                <w:color w:val="auto"/>
              </w:rPr>
              <w:t>质量现状</w:t>
            </w:r>
            <w:r>
              <w:rPr>
                <w:color w:val="auto"/>
              </w:rPr>
              <w:t>满足《环境空气质量标准》（GB3095-2012）及其修改单中二级标准</w:t>
            </w:r>
            <w:r>
              <w:rPr>
                <w:rFonts w:hint="eastAsia"/>
                <w:color w:val="auto"/>
              </w:rPr>
              <w:t>24</w:t>
            </w:r>
            <w:r>
              <w:rPr>
                <w:color w:val="auto"/>
              </w:rPr>
              <w:t>小时平均值（</w:t>
            </w:r>
            <w:r>
              <w:rPr>
                <w:rFonts w:hint="eastAsia"/>
                <w:color w:val="auto"/>
              </w:rPr>
              <w:t>300</w:t>
            </w:r>
            <w:r>
              <w:rPr>
                <w:color w:val="auto"/>
              </w:rPr>
              <w:t>µg/m</w:t>
            </w:r>
            <w:r>
              <w:rPr>
                <w:color w:val="auto"/>
                <w:vertAlign w:val="superscript"/>
              </w:rPr>
              <w:t>3</w:t>
            </w:r>
            <w:r>
              <w:rPr>
                <w:color w:val="auto"/>
              </w:rPr>
              <w:t>）。</w:t>
            </w:r>
          </w:p>
          <w:p w14:paraId="07F5080D">
            <w:pPr>
              <w:ind w:firstLine="0" w:firstLineChars="0"/>
              <w:rPr>
                <w:b/>
                <w:bCs/>
                <w:color w:val="auto"/>
              </w:rPr>
            </w:pPr>
            <w:r>
              <w:rPr>
                <w:rFonts w:hint="eastAsia"/>
                <w:b/>
                <w:bCs/>
                <w:color w:val="auto"/>
              </w:rPr>
              <w:t>二、</w:t>
            </w:r>
            <w:r>
              <w:rPr>
                <w:b/>
                <w:bCs/>
                <w:color w:val="auto"/>
              </w:rPr>
              <w:t>地表水环境</w:t>
            </w:r>
          </w:p>
          <w:p w14:paraId="0A0924CF">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1680"/>
              <w:textAlignment w:val="auto"/>
              <w:rPr>
                <w:rFonts w:hint="eastAsia" w:ascii="Times New Roman" w:hAnsi="Times New Roman" w:eastAsia="宋体"/>
                <w:color w:val="auto"/>
                <w:lang w:eastAsia="zh-CN"/>
              </w:rPr>
            </w:pPr>
            <w:r>
              <w:rPr>
                <w:rFonts w:hint="eastAsia" w:ascii="Times New Roman" w:hAnsi="Times New Roman"/>
                <w:color w:val="auto"/>
                <w:lang w:eastAsia="zh-CN"/>
              </w:rPr>
              <w:t>2023年水污染防治考核目标责任书确定的淮北市4个国控地表水考核断面中，扣除氟化物本底值影响后，水质达标率为75%，沱河后常桥（出境）断面水质未达标。出境断面中，水质断面优良率达75%。</w:t>
            </w:r>
          </w:p>
          <w:p w14:paraId="51BEE83B">
            <w:pPr>
              <w:pStyle w:val="22"/>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b/>
              </w:rPr>
            </w:pPr>
            <w:r>
              <w:rPr>
                <w:rFonts w:hint="eastAsia"/>
                <w:b/>
              </w:rPr>
              <w:t>三、</w:t>
            </w:r>
            <w:r>
              <w:rPr>
                <w:b/>
              </w:rPr>
              <w:t>声环境质量</w:t>
            </w:r>
          </w:p>
          <w:p w14:paraId="5EBF39A5">
            <w:pPr>
              <w:keepNext w:val="0"/>
              <w:keepLines w:val="0"/>
              <w:pageBreakBefore w:val="0"/>
              <w:widowControl w:val="0"/>
              <w:kinsoku/>
              <w:wordWrap/>
              <w:overflowPunct/>
              <w:topLinePunct w:val="0"/>
              <w:autoSpaceDE/>
              <w:autoSpaceDN/>
              <w:bidi w:val="0"/>
              <w:adjustRightInd/>
              <w:snapToGrid/>
              <w:ind w:firstLine="480"/>
              <w:textAlignment w:val="auto"/>
            </w:pPr>
            <w:r>
              <w:t>本项目厂界50m范围内无声环境保护目标</w:t>
            </w:r>
            <w:r>
              <w:rPr>
                <w:rFonts w:hint="eastAsia"/>
              </w:rPr>
              <w:t>，根据《建设项目环境影响报告表编制技术指南(污染影响类)(试行)》要求，可不进行噪声监测</w:t>
            </w:r>
            <w:r>
              <w:t>。</w:t>
            </w:r>
          </w:p>
          <w:p w14:paraId="5023DAF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b/>
                <w:bCs/>
                <w:color w:val="auto"/>
                <w:highlight w:val="none"/>
              </w:rPr>
            </w:pPr>
            <w:r>
              <w:rPr>
                <w:rFonts w:hint="eastAsia" w:ascii="宋体" w:hAnsi="宋体" w:cs="宋体"/>
                <w:b/>
                <w:bCs/>
                <w:color w:val="auto"/>
                <w:highlight w:val="none"/>
              </w:rPr>
              <w:t>四、生态环境质量</w:t>
            </w:r>
          </w:p>
          <w:p w14:paraId="45A3D5E4">
            <w:pPr>
              <w:keepNext w:val="0"/>
              <w:keepLines w:val="0"/>
              <w:pageBreakBefore w:val="0"/>
              <w:widowControl w:val="0"/>
              <w:kinsoku/>
              <w:wordWrap/>
              <w:overflowPunct/>
              <w:topLinePunct w:val="0"/>
              <w:autoSpaceDE/>
              <w:autoSpaceDN/>
              <w:bidi w:val="0"/>
              <w:adjustRightInd/>
              <w:snapToGrid/>
              <w:ind w:firstLine="480"/>
              <w:textAlignment w:val="auto"/>
              <w:rPr>
                <w:b/>
                <w:bCs/>
                <w:color w:val="auto"/>
              </w:rPr>
            </w:pPr>
            <w:r>
              <w:rPr>
                <w:color w:val="auto"/>
              </w:rPr>
              <w:t>本项目用地</w:t>
            </w:r>
            <w:r>
              <w:rPr>
                <w:rFonts w:hint="eastAsia"/>
                <w:color w:val="auto"/>
              </w:rPr>
              <w:t>为</w:t>
            </w:r>
            <w:r>
              <w:rPr>
                <w:rFonts w:hint="eastAsia"/>
                <w:color w:val="auto"/>
                <w:lang w:val="en-US" w:eastAsia="zh-CN"/>
              </w:rPr>
              <w:t>淮北市相山区渠沟镇油坊村</w:t>
            </w:r>
            <w:r>
              <w:rPr>
                <w:color w:val="auto"/>
              </w:rPr>
              <w:t>，</w:t>
            </w:r>
            <w:r>
              <w:rPr>
                <w:rFonts w:hint="eastAsia"/>
                <w:color w:val="000000"/>
                <w:lang w:val="en-US" w:eastAsia="zh-CN"/>
              </w:rPr>
              <w:t>用地性质</w:t>
            </w:r>
            <w:r>
              <w:rPr>
                <w:rFonts w:hint="eastAsia"/>
                <w:color w:val="000000"/>
              </w:rPr>
              <w:t>为</w:t>
            </w:r>
            <w:r>
              <w:rPr>
                <w:rFonts w:hint="eastAsia"/>
                <w:color w:val="000000"/>
                <w:lang w:val="en-US" w:eastAsia="zh-CN"/>
              </w:rPr>
              <w:t>工业</w:t>
            </w:r>
            <w:r>
              <w:rPr>
                <w:rFonts w:hint="eastAsia"/>
                <w:color w:val="000000"/>
              </w:rPr>
              <w:t>用地，</w:t>
            </w:r>
            <w:r>
              <w:rPr>
                <w:color w:val="000000"/>
              </w:rPr>
              <w:t>不涉及新增用地，用地范围内不涉及野生保护动植物等生态环境保护目标</w:t>
            </w:r>
            <w:r>
              <w:rPr>
                <w:rFonts w:hint="eastAsia"/>
                <w:color w:val="000000"/>
              </w:rPr>
              <w:t>。</w:t>
            </w:r>
          </w:p>
          <w:p w14:paraId="50028423">
            <w:pPr>
              <w:keepNext w:val="0"/>
              <w:keepLines w:val="0"/>
              <w:pageBreakBefore w:val="0"/>
              <w:widowControl w:val="0"/>
              <w:kinsoku/>
              <w:wordWrap/>
              <w:overflowPunct/>
              <w:topLinePunct w:val="0"/>
              <w:autoSpaceDE/>
              <w:autoSpaceDN/>
              <w:bidi w:val="0"/>
              <w:adjustRightInd/>
              <w:snapToGrid/>
              <w:ind w:firstLine="0" w:firstLineChars="0"/>
              <w:textAlignment w:val="auto"/>
              <w:rPr>
                <w:b/>
                <w:bCs/>
                <w:color w:val="auto"/>
              </w:rPr>
            </w:pPr>
            <w:r>
              <w:rPr>
                <w:rFonts w:hint="eastAsia"/>
                <w:b/>
                <w:bCs/>
                <w:color w:val="auto"/>
              </w:rPr>
              <w:t>五</w:t>
            </w:r>
            <w:r>
              <w:rPr>
                <w:b/>
                <w:bCs/>
                <w:color w:val="auto"/>
              </w:rPr>
              <w:t>、地下水</w:t>
            </w:r>
            <w:r>
              <w:rPr>
                <w:rFonts w:hint="eastAsia"/>
                <w:b/>
                <w:bCs/>
                <w:color w:val="auto"/>
              </w:rPr>
              <w:t>、土壤环境</w:t>
            </w:r>
          </w:p>
          <w:p w14:paraId="46B4E61E">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2023年淮北市城市集中饮用水源地（地下水）监测指标均达到《地下水质量标准》GB/T14848-2017中Ⅲ类标准，2023年淮北市饮用水源地（地下水）取水总量为1369万吨，饮用水源地（地下水）水质达标率为100%。</w:t>
            </w:r>
          </w:p>
          <w:p w14:paraId="76BE579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Cs w:val="21"/>
                <w:lang w:eastAsia="zh-CN"/>
              </w:rPr>
            </w:pPr>
            <w:r>
              <w:rPr>
                <w:rFonts w:hint="eastAsia"/>
                <w:color w:val="auto"/>
              </w:rPr>
              <w:t>厂区雨污分流制，经隔油池</w:t>
            </w:r>
            <w:r>
              <w:rPr>
                <w:rFonts w:hint="eastAsia"/>
                <w:color w:val="auto"/>
                <w:lang w:val="en-US" w:eastAsia="zh-CN"/>
              </w:rPr>
              <w:t>（依托现有）</w:t>
            </w:r>
            <w:r>
              <w:rPr>
                <w:rFonts w:hint="eastAsia"/>
                <w:color w:val="auto"/>
              </w:rPr>
              <w:t>处理的食堂废水汇同生活污水经化粪池</w:t>
            </w:r>
            <w:r>
              <w:rPr>
                <w:rFonts w:hint="eastAsia"/>
                <w:color w:val="auto"/>
                <w:lang w:val="en-US" w:eastAsia="zh-CN"/>
              </w:rPr>
              <w:t>（依托现有）</w:t>
            </w:r>
            <w:r>
              <w:rPr>
                <w:rFonts w:hint="eastAsia"/>
                <w:color w:val="auto"/>
              </w:rPr>
              <w:t>处理后，吸粪车定期抽运；车辆冲洗废水、道路冲洗废水</w:t>
            </w:r>
            <w:r>
              <w:rPr>
                <w:rFonts w:hint="eastAsia"/>
                <w:color w:val="auto"/>
                <w:lang w:eastAsia="zh-CN"/>
              </w:rPr>
              <w:t>、</w:t>
            </w:r>
            <w:r>
              <w:rPr>
                <w:rFonts w:hint="eastAsia"/>
                <w:color w:val="auto"/>
                <w:lang w:val="en-US" w:eastAsia="zh-CN"/>
              </w:rPr>
              <w:t>设备冲洗废水</w:t>
            </w:r>
            <w:r>
              <w:rPr>
                <w:rFonts w:hint="eastAsia"/>
                <w:color w:val="auto"/>
              </w:rPr>
              <w:t>经二级沉淀池</w:t>
            </w:r>
            <w:r>
              <w:rPr>
                <w:rFonts w:hint="eastAsia"/>
                <w:color w:val="auto"/>
                <w:lang w:val="en-US" w:eastAsia="zh-CN"/>
              </w:rPr>
              <w:t>（依托现有）</w:t>
            </w:r>
            <w:r>
              <w:rPr>
                <w:rFonts w:hint="eastAsia"/>
                <w:color w:val="auto"/>
              </w:rPr>
              <w:t>处理后循环使用，不外排</w:t>
            </w:r>
            <w:r>
              <w:rPr>
                <w:rFonts w:hint="eastAsia"/>
                <w:color w:val="auto"/>
                <w:lang w:eastAsia="zh-CN"/>
              </w:rPr>
              <w:t>。</w:t>
            </w:r>
          </w:p>
        </w:tc>
      </w:tr>
      <w:tr w14:paraId="7630D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13" w:type="dxa"/>
            <w:vAlign w:val="center"/>
          </w:tcPr>
          <w:p w14:paraId="7BF34363">
            <w:pPr>
              <w:adjustRightInd w:val="0"/>
              <w:snapToGrid w:val="0"/>
              <w:ind w:firstLine="0" w:firstLineChars="0"/>
              <w:jc w:val="center"/>
              <w:rPr>
                <w:rFonts w:ascii="宋体" w:hAnsi="宋体" w:cs="宋体"/>
                <w:color w:val="auto"/>
                <w:kern w:val="0"/>
                <w:szCs w:val="21"/>
              </w:rPr>
            </w:pPr>
            <w:r>
              <w:rPr>
                <w:rFonts w:hint="eastAsia" w:ascii="宋体" w:hAnsi="宋体" w:cs="宋体"/>
                <w:color w:val="auto"/>
                <w:kern w:val="0"/>
                <w:szCs w:val="21"/>
              </w:rPr>
              <w:t>环境保护目标</w:t>
            </w:r>
          </w:p>
        </w:tc>
        <w:tc>
          <w:tcPr>
            <w:tcW w:w="8477" w:type="dxa"/>
            <w:vAlign w:val="center"/>
          </w:tcPr>
          <w:p w14:paraId="2FFAD7D1">
            <w:pPr>
              <w:ind w:firstLine="0" w:firstLineChars="0"/>
              <w:rPr>
                <w:b/>
                <w:bCs/>
                <w:color w:val="auto"/>
              </w:rPr>
            </w:pPr>
            <w:r>
              <w:rPr>
                <w:b/>
                <w:bCs/>
                <w:color w:val="auto"/>
              </w:rPr>
              <w:t>主要环境保护目标（列出名单及保护级别）：</w:t>
            </w:r>
          </w:p>
          <w:p w14:paraId="28110093">
            <w:pPr>
              <w:widowControl/>
              <w:ind w:firstLine="480"/>
              <w:rPr>
                <w:color w:val="auto"/>
              </w:rPr>
            </w:pPr>
            <w:r>
              <w:rPr>
                <w:color w:val="auto"/>
              </w:rPr>
              <w:t>1</w:t>
            </w:r>
            <w:r>
              <w:rPr>
                <w:rFonts w:hint="eastAsia"/>
                <w:color w:val="auto"/>
              </w:rPr>
              <w:t>、</w:t>
            </w:r>
            <w:r>
              <w:rPr>
                <w:color w:val="auto"/>
              </w:rPr>
              <w:t>大气环境</w:t>
            </w:r>
            <w:r>
              <w:rPr>
                <w:rFonts w:hint="eastAsia"/>
                <w:color w:val="auto"/>
              </w:rPr>
              <w:t>：本项目区域内大气环境执行《环境空气质量标准》（GB3095-2012）及其修改单中的二级标准</w:t>
            </w:r>
            <w:r>
              <w:rPr>
                <w:rFonts w:hint="eastAsia"/>
                <w:color w:val="auto"/>
                <w:lang w:eastAsia="zh-CN"/>
              </w:rPr>
              <w:t>，</w:t>
            </w:r>
            <w:r>
              <w:rPr>
                <w:rFonts w:hint="eastAsia"/>
                <w:color w:val="auto"/>
                <w:lang w:val="en-US" w:eastAsia="zh-CN"/>
              </w:rPr>
              <w:t>本项目500m范围内无环境保护目标</w:t>
            </w:r>
            <w:r>
              <w:rPr>
                <w:rFonts w:hint="eastAsia"/>
                <w:color w:val="auto"/>
              </w:rPr>
              <w:t>；</w:t>
            </w:r>
          </w:p>
          <w:p w14:paraId="6FD7C8F7">
            <w:pPr>
              <w:widowControl/>
              <w:ind w:firstLine="480"/>
              <w:rPr>
                <w:color w:val="auto"/>
              </w:rPr>
            </w:pPr>
            <w:r>
              <w:rPr>
                <w:color w:val="auto"/>
              </w:rPr>
              <w:t>2</w:t>
            </w:r>
            <w:r>
              <w:rPr>
                <w:rFonts w:hint="eastAsia"/>
                <w:color w:val="auto"/>
              </w:rPr>
              <w:t>、</w:t>
            </w:r>
            <w:r>
              <w:rPr>
                <w:color w:val="auto"/>
              </w:rPr>
              <w:t>声环境</w:t>
            </w:r>
            <w:r>
              <w:rPr>
                <w:rFonts w:hint="eastAsia"/>
                <w:color w:val="auto"/>
              </w:rPr>
              <w:t>：</w:t>
            </w:r>
            <w:r>
              <w:rPr>
                <w:color w:val="auto"/>
              </w:rPr>
              <w:t>本项目厂界外周边50米范围内不存在声环境保护</w:t>
            </w:r>
            <w:r>
              <w:rPr>
                <w:rFonts w:hint="eastAsia"/>
                <w:color w:val="auto"/>
                <w:lang w:val="en-US" w:eastAsia="zh-CN"/>
              </w:rPr>
              <w:t>目标</w:t>
            </w:r>
            <w:r>
              <w:rPr>
                <w:rFonts w:hint="eastAsia"/>
                <w:color w:val="auto"/>
              </w:rPr>
              <w:t>，本项目区域声环境执行《声环境质量标准》（GB3096-2008）2类标准；</w:t>
            </w:r>
          </w:p>
          <w:p w14:paraId="751587CD">
            <w:pPr>
              <w:pStyle w:val="44"/>
              <w:rPr>
                <w:rFonts w:hint="eastAsia" w:eastAsia="宋体"/>
                <w:color w:val="auto"/>
                <w:lang w:eastAsia="zh-CN"/>
              </w:rPr>
            </w:pPr>
            <w:r>
              <w:rPr>
                <w:rFonts w:hint="eastAsia"/>
                <w:color w:val="auto"/>
                <w:lang w:val="en-US" w:eastAsia="zh-CN"/>
              </w:rPr>
              <w:t>3</w:t>
            </w:r>
            <w:r>
              <w:rPr>
                <w:rFonts w:hint="eastAsia"/>
                <w:color w:val="auto"/>
              </w:rPr>
              <w:t>、</w:t>
            </w:r>
            <w:r>
              <w:rPr>
                <w:color w:val="auto"/>
              </w:rPr>
              <w:t>地下水环境：本项目厂界外500米范围内无地下水集中式饮用水水源和热水、矿泉水、温泉等特殊地下水资源，区域地下水环境执行《地下水质量标准》（GB/T14848-2017）中的</w:t>
            </w:r>
            <w:r>
              <w:rPr>
                <w:color w:val="auto"/>
              </w:rPr>
              <w:fldChar w:fldCharType="begin"/>
            </w:r>
            <w:r>
              <w:rPr>
                <w:color w:val="auto"/>
              </w:rPr>
              <w:instrText xml:space="preserve"> = 3 \* ROMAN \* MERGEFORMAT </w:instrText>
            </w:r>
            <w:r>
              <w:rPr>
                <w:color w:val="auto"/>
              </w:rPr>
              <w:fldChar w:fldCharType="separate"/>
            </w:r>
            <w:r>
              <w:rPr>
                <w:color w:val="auto"/>
              </w:rPr>
              <w:t>III</w:t>
            </w:r>
            <w:r>
              <w:rPr>
                <w:color w:val="auto"/>
              </w:rPr>
              <w:fldChar w:fldCharType="end"/>
            </w:r>
            <w:r>
              <w:rPr>
                <w:color w:val="auto"/>
              </w:rPr>
              <w:t>类标准</w:t>
            </w:r>
            <w:r>
              <w:rPr>
                <w:rFonts w:hint="eastAsia"/>
                <w:color w:val="auto"/>
                <w:lang w:eastAsia="zh-CN"/>
              </w:rPr>
              <w:t>。</w:t>
            </w:r>
          </w:p>
          <w:p w14:paraId="1C92D666">
            <w:pPr>
              <w:spacing w:line="240" w:lineRule="auto"/>
              <w:ind w:firstLine="0" w:firstLineChars="0"/>
              <w:jc w:val="center"/>
              <w:rPr>
                <w:b/>
                <w:color w:val="auto"/>
              </w:rPr>
            </w:pPr>
            <w:r>
              <w:rPr>
                <w:b/>
                <w:color w:val="auto"/>
              </w:rPr>
              <w:t>表3-</w:t>
            </w:r>
            <w:r>
              <w:rPr>
                <w:rFonts w:hint="eastAsia"/>
                <w:b/>
                <w:color w:val="auto"/>
                <w:lang w:val="en-US" w:eastAsia="zh-CN"/>
              </w:rPr>
              <w:t>6</w:t>
            </w:r>
            <w:r>
              <w:rPr>
                <w:b/>
                <w:color w:val="auto"/>
              </w:rPr>
              <w:t xml:space="preserve">  主要环境保护目标</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03"/>
              <w:gridCol w:w="835"/>
              <w:gridCol w:w="976"/>
              <w:gridCol w:w="1286"/>
              <w:gridCol w:w="1884"/>
              <w:gridCol w:w="908"/>
              <w:gridCol w:w="832"/>
            </w:tblGrid>
            <w:tr w14:paraId="1A94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Merge w:val="restart"/>
                  <w:vAlign w:val="center"/>
                </w:tcPr>
                <w:p w14:paraId="282EE92D">
                  <w:pPr>
                    <w:pStyle w:val="3"/>
                    <w:rPr>
                      <w:b/>
                      <w:bCs/>
                      <w:color w:val="auto"/>
                    </w:rPr>
                  </w:pPr>
                  <w:r>
                    <w:rPr>
                      <w:b/>
                      <w:bCs/>
                      <w:color w:val="auto"/>
                    </w:rPr>
                    <w:t>名称</w:t>
                  </w:r>
                </w:p>
              </w:tc>
              <w:tc>
                <w:tcPr>
                  <w:tcW w:w="1638" w:type="dxa"/>
                  <w:gridSpan w:val="2"/>
                  <w:vAlign w:val="center"/>
                </w:tcPr>
                <w:p w14:paraId="07E395A7">
                  <w:pPr>
                    <w:pStyle w:val="3"/>
                    <w:rPr>
                      <w:b/>
                      <w:bCs/>
                      <w:color w:val="auto"/>
                    </w:rPr>
                  </w:pPr>
                  <w:r>
                    <w:rPr>
                      <w:b/>
                      <w:bCs/>
                      <w:color w:val="auto"/>
                    </w:rPr>
                    <w:t>经纬度</w:t>
                  </w:r>
                </w:p>
              </w:tc>
              <w:tc>
                <w:tcPr>
                  <w:tcW w:w="976" w:type="dxa"/>
                  <w:vMerge w:val="restart"/>
                  <w:vAlign w:val="center"/>
                </w:tcPr>
                <w:p w14:paraId="1DC666D5">
                  <w:pPr>
                    <w:pStyle w:val="3"/>
                    <w:rPr>
                      <w:b/>
                      <w:bCs/>
                      <w:color w:val="auto"/>
                    </w:rPr>
                  </w:pPr>
                  <w:r>
                    <w:rPr>
                      <w:b/>
                      <w:bCs/>
                      <w:color w:val="auto"/>
                    </w:rPr>
                    <w:t>保护对象</w:t>
                  </w:r>
                </w:p>
              </w:tc>
              <w:tc>
                <w:tcPr>
                  <w:tcW w:w="1286" w:type="dxa"/>
                  <w:vMerge w:val="restart"/>
                  <w:vAlign w:val="center"/>
                </w:tcPr>
                <w:p w14:paraId="5017C73F">
                  <w:pPr>
                    <w:pStyle w:val="3"/>
                    <w:rPr>
                      <w:b/>
                      <w:bCs/>
                      <w:color w:val="auto"/>
                    </w:rPr>
                  </w:pPr>
                  <w:r>
                    <w:rPr>
                      <w:b/>
                      <w:bCs/>
                      <w:color w:val="auto"/>
                    </w:rPr>
                    <w:t>保护内容</w:t>
                  </w:r>
                </w:p>
              </w:tc>
              <w:tc>
                <w:tcPr>
                  <w:tcW w:w="1884" w:type="dxa"/>
                  <w:vMerge w:val="restart"/>
                  <w:vAlign w:val="center"/>
                </w:tcPr>
                <w:p w14:paraId="56D4195F">
                  <w:pPr>
                    <w:pStyle w:val="3"/>
                    <w:rPr>
                      <w:b/>
                      <w:bCs/>
                      <w:color w:val="auto"/>
                    </w:rPr>
                  </w:pPr>
                  <w:r>
                    <w:rPr>
                      <w:b/>
                      <w:bCs/>
                      <w:color w:val="auto"/>
                    </w:rPr>
                    <w:t>环境功能区</w:t>
                  </w:r>
                </w:p>
              </w:tc>
              <w:tc>
                <w:tcPr>
                  <w:tcW w:w="908" w:type="dxa"/>
                  <w:vMerge w:val="restart"/>
                  <w:vAlign w:val="center"/>
                </w:tcPr>
                <w:p w14:paraId="73765E75">
                  <w:pPr>
                    <w:pStyle w:val="3"/>
                    <w:rPr>
                      <w:b/>
                      <w:bCs/>
                      <w:color w:val="auto"/>
                    </w:rPr>
                  </w:pPr>
                  <w:r>
                    <w:rPr>
                      <w:b/>
                      <w:bCs/>
                      <w:color w:val="auto"/>
                    </w:rPr>
                    <w:t>相对厂址方位</w:t>
                  </w:r>
                </w:p>
              </w:tc>
              <w:tc>
                <w:tcPr>
                  <w:tcW w:w="832" w:type="dxa"/>
                  <w:vMerge w:val="restart"/>
                  <w:vAlign w:val="center"/>
                </w:tcPr>
                <w:p w14:paraId="49837FD3">
                  <w:pPr>
                    <w:pStyle w:val="3"/>
                    <w:rPr>
                      <w:b/>
                      <w:bCs/>
                      <w:color w:val="auto"/>
                    </w:rPr>
                  </w:pPr>
                  <w:r>
                    <w:rPr>
                      <w:b/>
                      <w:bCs/>
                      <w:color w:val="auto"/>
                    </w:rPr>
                    <w:t>相对厂界距离（m）</w:t>
                  </w:r>
                </w:p>
              </w:tc>
            </w:tr>
            <w:tr w14:paraId="7874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Merge w:val="continue"/>
                  <w:vAlign w:val="center"/>
                </w:tcPr>
                <w:p w14:paraId="4800C1CA">
                  <w:pPr>
                    <w:pStyle w:val="3"/>
                    <w:rPr>
                      <w:color w:val="auto"/>
                    </w:rPr>
                  </w:pPr>
                </w:p>
              </w:tc>
              <w:tc>
                <w:tcPr>
                  <w:tcW w:w="803" w:type="dxa"/>
                  <w:vAlign w:val="center"/>
                </w:tcPr>
                <w:p w14:paraId="2DA11377">
                  <w:pPr>
                    <w:pStyle w:val="3"/>
                    <w:rPr>
                      <w:b/>
                      <w:bCs/>
                      <w:color w:val="auto"/>
                    </w:rPr>
                  </w:pPr>
                  <w:r>
                    <w:rPr>
                      <w:b/>
                      <w:bCs/>
                      <w:color w:val="auto"/>
                    </w:rPr>
                    <w:t>经度</w:t>
                  </w:r>
                </w:p>
              </w:tc>
              <w:tc>
                <w:tcPr>
                  <w:tcW w:w="835" w:type="dxa"/>
                  <w:vAlign w:val="center"/>
                </w:tcPr>
                <w:p w14:paraId="05B68A0F">
                  <w:pPr>
                    <w:pStyle w:val="3"/>
                    <w:rPr>
                      <w:b/>
                      <w:bCs/>
                      <w:color w:val="auto"/>
                    </w:rPr>
                  </w:pPr>
                  <w:r>
                    <w:rPr>
                      <w:b/>
                      <w:bCs/>
                      <w:color w:val="auto"/>
                    </w:rPr>
                    <w:t>纬度</w:t>
                  </w:r>
                </w:p>
              </w:tc>
              <w:tc>
                <w:tcPr>
                  <w:tcW w:w="976" w:type="dxa"/>
                  <w:vMerge w:val="continue"/>
                  <w:vAlign w:val="center"/>
                </w:tcPr>
                <w:p w14:paraId="59489CCF">
                  <w:pPr>
                    <w:pStyle w:val="3"/>
                    <w:rPr>
                      <w:color w:val="auto"/>
                    </w:rPr>
                  </w:pPr>
                </w:p>
              </w:tc>
              <w:tc>
                <w:tcPr>
                  <w:tcW w:w="1286" w:type="dxa"/>
                  <w:vMerge w:val="continue"/>
                  <w:vAlign w:val="center"/>
                </w:tcPr>
                <w:p w14:paraId="1D5A4922">
                  <w:pPr>
                    <w:pStyle w:val="3"/>
                    <w:rPr>
                      <w:color w:val="auto"/>
                    </w:rPr>
                  </w:pPr>
                </w:p>
              </w:tc>
              <w:tc>
                <w:tcPr>
                  <w:tcW w:w="1884" w:type="dxa"/>
                  <w:vMerge w:val="continue"/>
                  <w:vAlign w:val="center"/>
                </w:tcPr>
                <w:p w14:paraId="0F6FE866">
                  <w:pPr>
                    <w:pStyle w:val="3"/>
                    <w:rPr>
                      <w:color w:val="auto"/>
                    </w:rPr>
                  </w:pPr>
                </w:p>
              </w:tc>
              <w:tc>
                <w:tcPr>
                  <w:tcW w:w="908" w:type="dxa"/>
                  <w:vMerge w:val="continue"/>
                  <w:vAlign w:val="center"/>
                </w:tcPr>
                <w:p w14:paraId="01F24FEF">
                  <w:pPr>
                    <w:pStyle w:val="3"/>
                    <w:rPr>
                      <w:color w:val="auto"/>
                    </w:rPr>
                  </w:pPr>
                </w:p>
              </w:tc>
              <w:tc>
                <w:tcPr>
                  <w:tcW w:w="832" w:type="dxa"/>
                  <w:vMerge w:val="continue"/>
                  <w:vAlign w:val="center"/>
                </w:tcPr>
                <w:p w14:paraId="54013EDA">
                  <w:pPr>
                    <w:pStyle w:val="3"/>
                    <w:rPr>
                      <w:color w:val="auto"/>
                    </w:rPr>
                  </w:pPr>
                </w:p>
              </w:tc>
            </w:tr>
            <w:tr w14:paraId="23F5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Align w:val="center"/>
                </w:tcPr>
                <w:p w14:paraId="5C365262">
                  <w:pPr>
                    <w:pStyle w:val="3"/>
                    <w:rPr>
                      <w:color w:val="auto"/>
                    </w:rPr>
                  </w:pPr>
                  <w:r>
                    <w:rPr>
                      <w:rFonts w:hint="eastAsia"/>
                      <w:color w:val="auto"/>
                    </w:rPr>
                    <w:t>大气环境质量</w:t>
                  </w:r>
                </w:p>
              </w:tc>
              <w:tc>
                <w:tcPr>
                  <w:tcW w:w="803" w:type="dxa"/>
                  <w:vAlign w:val="center"/>
                </w:tcPr>
                <w:p w14:paraId="63269737">
                  <w:pPr>
                    <w:pStyle w:val="3"/>
                    <w:rPr>
                      <w:rFonts w:hint="eastAsia" w:eastAsia="宋体"/>
                      <w:color w:val="auto"/>
                      <w:lang w:eastAsia="zh-CN"/>
                    </w:rPr>
                  </w:pPr>
                  <w:r>
                    <w:rPr>
                      <w:rFonts w:hint="eastAsia"/>
                      <w:color w:val="auto"/>
                      <w:lang w:val="en-US" w:eastAsia="zh-CN"/>
                    </w:rPr>
                    <w:t>/</w:t>
                  </w:r>
                </w:p>
              </w:tc>
              <w:tc>
                <w:tcPr>
                  <w:tcW w:w="835" w:type="dxa"/>
                  <w:vAlign w:val="center"/>
                </w:tcPr>
                <w:p w14:paraId="77394AC0">
                  <w:pPr>
                    <w:pStyle w:val="3"/>
                    <w:rPr>
                      <w:rFonts w:hint="eastAsia" w:eastAsia="宋体"/>
                      <w:color w:val="auto"/>
                      <w:lang w:eastAsia="zh-CN"/>
                    </w:rPr>
                  </w:pPr>
                  <w:r>
                    <w:rPr>
                      <w:rFonts w:hint="eastAsia"/>
                      <w:color w:val="auto"/>
                      <w:lang w:val="en-US" w:eastAsia="zh-CN"/>
                    </w:rPr>
                    <w:t>/</w:t>
                  </w:r>
                </w:p>
              </w:tc>
              <w:tc>
                <w:tcPr>
                  <w:tcW w:w="976" w:type="dxa"/>
                  <w:vAlign w:val="center"/>
                </w:tcPr>
                <w:p w14:paraId="4775C984">
                  <w:pPr>
                    <w:pStyle w:val="3"/>
                    <w:rPr>
                      <w:rFonts w:hint="eastAsia" w:eastAsia="宋体"/>
                      <w:color w:val="auto"/>
                      <w:lang w:eastAsia="zh-CN"/>
                    </w:rPr>
                  </w:pPr>
                  <w:r>
                    <w:rPr>
                      <w:rFonts w:hint="eastAsia"/>
                      <w:color w:val="auto"/>
                      <w:lang w:val="en-US" w:eastAsia="zh-CN"/>
                    </w:rPr>
                    <w:t>/</w:t>
                  </w:r>
                </w:p>
              </w:tc>
              <w:tc>
                <w:tcPr>
                  <w:tcW w:w="1286" w:type="dxa"/>
                  <w:vAlign w:val="center"/>
                </w:tcPr>
                <w:p w14:paraId="7D5909D0">
                  <w:pPr>
                    <w:pStyle w:val="3"/>
                    <w:rPr>
                      <w:rFonts w:hint="eastAsia" w:eastAsia="宋体"/>
                      <w:color w:val="auto"/>
                      <w:lang w:eastAsia="zh-CN"/>
                    </w:rPr>
                  </w:pPr>
                  <w:r>
                    <w:rPr>
                      <w:rFonts w:hint="eastAsia"/>
                      <w:color w:val="auto"/>
                      <w:lang w:val="en-US" w:eastAsia="zh-CN"/>
                    </w:rPr>
                    <w:t>/</w:t>
                  </w:r>
                </w:p>
              </w:tc>
              <w:tc>
                <w:tcPr>
                  <w:tcW w:w="1884" w:type="dxa"/>
                  <w:vAlign w:val="center"/>
                </w:tcPr>
                <w:p w14:paraId="3F271321">
                  <w:pPr>
                    <w:pStyle w:val="3"/>
                    <w:rPr>
                      <w:rFonts w:hint="eastAsia" w:eastAsia="宋体"/>
                      <w:color w:val="auto"/>
                      <w:lang w:eastAsia="zh-CN"/>
                    </w:rPr>
                  </w:pPr>
                  <w:r>
                    <w:rPr>
                      <w:rFonts w:hint="eastAsia"/>
                      <w:color w:val="auto"/>
                      <w:lang w:val="en-US" w:eastAsia="zh-CN"/>
                    </w:rPr>
                    <w:t>/</w:t>
                  </w:r>
                </w:p>
              </w:tc>
              <w:tc>
                <w:tcPr>
                  <w:tcW w:w="908" w:type="dxa"/>
                  <w:vAlign w:val="center"/>
                </w:tcPr>
                <w:p w14:paraId="5B07F433">
                  <w:pPr>
                    <w:pStyle w:val="3"/>
                    <w:rPr>
                      <w:rFonts w:hint="eastAsia" w:eastAsia="宋体"/>
                      <w:color w:val="auto"/>
                      <w:lang w:eastAsia="zh-CN"/>
                    </w:rPr>
                  </w:pPr>
                  <w:r>
                    <w:rPr>
                      <w:rFonts w:hint="eastAsia"/>
                      <w:color w:val="auto"/>
                      <w:lang w:val="en-US" w:eastAsia="zh-CN"/>
                    </w:rPr>
                    <w:t>/</w:t>
                  </w:r>
                </w:p>
              </w:tc>
              <w:tc>
                <w:tcPr>
                  <w:tcW w:w="832" w:type="dxa"/>
                  <w:vAlign w:val="center"/>
                </w:tcPr>
                <w:p w14:paraId="202EB9D3">
                  <w:pPr>
                    <w:pStyle w:val="3"/>
                    <w:rPr>
                      <w:rFonts w:hint="default" w:eastAsia="宋体"/>
                      <w:color w:val="auto"/>
                      <w:lang w:val="en-US" w:eastAsia="zh-CN"/>
                    </w:rPr>
                  </w:pPr>
                  <w:r>
                    <w:rPr>
                      <w:rFonts w:hint="eastAsia"/>
                      <w:color w:val="auto"/>
                      <w:lang w:val="en-US" w:eastAsia="zh-CN"/>
                    </w:rPr>
                    <w:t>/</w:t>
                  </w:r>
                </w:p>
              </w:tc>
            </w:tr>
            <w:tr w14:paraId="3CA0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Align w:val="center"/>
                </w:tcPr>
                <w:p w14:paraId="7143AD82">
                  <w:pPr>
                    <w:pStyle w:val="3"/>
                    <w:rPr>
                      <w:color w:val="auto"/>
                    </w:rPr>
                  </w:pPr>
                  <w:r>
                    <w:rPr>
                      <w:color w:val="auto"/>
                    </w:rPr>
                    <w:t>地下水环境</w:t>
                  </w:r>
                </w:p>
              </w:tc>
              <w:tc>
                <w:tcPr>
                  <w:tcW w:w="803" w:type="dxa"/>
                  <w:vAlign w:val="center"/>
                </w:tcPr>
                <w:p w14:paraId="5A76092E">
                  <w:pPr>
                    <w:pStyle w:val="3"/>
                    <w:rPr>
                      <w:color w:val="auto"/>
                    </w:rPr>
                  </w:pPr>
                  <w:r>
                    <w:rPr>
                      <w:color w:val="auto"/>
                    </w:rPr>
                    <w:t>/</w:t>
                  </w:r>
                </w:p>
              </w:tc>
              <w:tc>
                <w:tcPr>
                  <w:tcW w:w="835" w:type="dxa"/>
                  <w:vAlign w:val="center"/>
                </w:tcPr>
                <w:p w14:paraId="09039D9A">
                  <w:pPr>
                    <w:pStyle w:val="3"/>
                    <w:rPr>
                      <w:color w:val="auto"/>
                    </w:rPr>
                  </w:pPr>
                  <w:r>
                    <w:rPr>
                      <w:rFonts w:hint="eastAsia"/>
                      <w:color w:val="auto"/>
                      <w:lang w:val="en-US" w:eastAsia="zh-CN"/>
                    </w:rPr>
                    <w:t>/</w:t>
                  </w:r>
                </w:p>
              </w:tc>
              <w:tc>
                <w:tcPr>
                  <w:tcW w:w="976" w:type="dxa"/>
                  <w:vAlign w:val="center"/>
                </w:tcPr>
                <w:p w14:paraId="32CF4C04">
                  <w:pPr>
                    <w:pStyle w:val="3"/>
                    <w:rPr>
                      <w:color w:val="auto"/>
                    </w:rPr>
                  </w:pPr>
                  <w:r>
                    <w:rPr>
                      <w:color w:val="auto"/>
                    </w:rPr>
                    <w:t>项目地中心周围</w:t>
                  </w:r>
                </w:p>
              </w:tc>
              <w:tc>
                <w:tcPr>
                  <w:tcW w:w="1286" w:type="dxa"/>
                  <w:vAlign w:val="center"/>
                </w:tcPr>
                <w:p w14:paraId="7965C273">
                  <w:pPr>
                    <w:pStyle w:val="3"/>
                    <w:rPr>
                      <w:color w:val="auto"/>
                    </w:rPr>
                  </w:pPr>
                  <w:r>
                    <w:rPr>
                      <w:color w:val="auto"/>
                    </w:rPr>
                    <w:t>/</w:t>
                  </w:r>
                </w:p>
              </w:tc>
              <w:tc>
                <w:tcPr>
                  <w:tcW w:w="1884" w:type="dxa"/>
                  <w:vAlign w:val="center"/>
                </w:tcPr>
                <w:p w14:paraId="0B8BF7D6">
                  <w:pPr>
                    <w:pStyle w:val="3"/>
                    <w:rPr>
                      <w:color w:val="auto"/>
                    </w:rPr>
                  </w:pPr>
                  <w:r>
                    <w:rPr>
                      <w:color w:val="auto"/>
                    </w:rPr>
                    <w:t>《地下水质量标准》（GB/T14848-2017）中的</w:t>
                  </w:r>
                  <w:r>
                    <w:rPr>
                      <w:color w:val="auto"/>
                    </w:rPr>
                    <w:fldChar w:fldCharType="begin"/>
                  </w:r>
                  <w:r>
                    <w:rPr>
                      <w:color w:val="auto"/>
                    </w:rPr>
                    <w:instrText xml:space="preserve"> = 3 \* ROMAN \* MERGEFORMAT </w:instrText>
                  </w:r>
                  <w:r>
                    <w:rPr>
                      <w:color w:val="auto"/>
                    </w:rPr>
                    <w:fldChar w:fldCharType="separate"/>
                  </w:r>
                  <w:r>
                    <w:rPr>
                      <w:color w:val="auto"/>
                    </w:rPr>
                    <w:t>III</w:t>
                  </w:r>
                  <w:r>
                    <w:rPr>
                      <w:color w:val="auto"/>
                    </w:rPr>
                    <w:fldChar w:fldCharType="end"/>
                  </w:r>
                  <w:r>
                    <w:rPr>
                      <w:color w:val="auto"/>
                    </w:rPr>
                    <w:t>类标准</w:t>
                  </w:r>
                </w:p>
              </w:tc>
              <w:tc>
                <w:tcPr>
                  <w:tcW w:w="908" w:type="dxa"/>
                  <w:vAlign w:val="center"/>
                </w:tcPr>
                <w:p w14:paraId="11E4A66A">
                  <w:pPr>
                    <w:pStyle w:val="3"/>
                    <w:rPr>
                      <w:color w:val="auto"/>
                    </w:rPr>
                  </w:pPr>
                  <w:r>
                    <w:rPr>
                      <w:color w:val="auto"/>
                    </w:rPr>
                    <w:t>/</w:t>
                  </w:r>
                </w:p>
              </w:tc>
              <w:tc>
                <w:tcPr>
                  <w:tcW w:w="832" w:type="dxa"/>
                  <w:vAlign w:val="center"/>
                </w:tcPr>
                <w:p w14:paraId="79B53EA1">
                  <w:pPr>
                    <w:pStyle w:val="3"/>
                    <w:rPr>
                      <w:color w:val="auto"/>
                    </w:rPr>
                  </w:pPr>
                  <w:r>
                    <w:rPr>
                      <w:color w:val="auto"/>
                    </w:rPr>
                    <w:t>6km</w:t>
                  </w:r>
                  <w:r>
                    <w:rPr>
                      <w:color w:val="auto"/>
                      <w:vertAlign w:val="superscript"/>
                    </w:rPr>
                    <w:t>2</w:t>
                  </w:r>
                </w:p>
              </w:tc>
            </w:tr>
            <w:tr w14:paraId="7F68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Align w:val="center"/>
                </w:tcPr>
                <w:p w14:paraId="62D1A740">
                  <w:pPr>
                    <w:pStyle w:val="3"/>
                    <w:rPr>
                      <w:color w:val="auto"/>
                    </w:rPr>
                  </w:pPr>
                  <w:r>
                    <w:rPr>
                      <w:color w:val="auto"/>
                    </w:rPr>
                    <w:t>声环境</w:t>
                  </w:r>
                </w:p>
              </w:tc>
              <w:tc>
                <w:tcPr>
                  <w:tcW w:w="803" w:type="dxa"/>
                  <w:vAlign w:val="center"/>
                </w:tcPr>
                <w:p w14:paraId="27BA77C8">
                  <w:pPr>
                    <w:pStyle w:val="3"/>
                    <w:ind w:firstLine="0" w:firstLineChars="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w:t>
                  </w:r>
                </w:p>
              </w:tc>
              <w:tc>
                <w:tcPr>
                  <w:tcW w:w="835" w:type="dxa"/>
                  <w:vAlign w:val="center"/>
                </w:tcPr>
                <w:p w14:paraId="02CD642F">
                  <w:pPr>
                    <w:pStyle w:val="3"/>
                    <w:ind w:firstLine="0" w:firstLineChars="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w:t>
                  </w:r>
                </w:p>
              </w:tc>
              <w:tc>
                <w:tcPr>
                  <w:tcW w:w="976" w:type="dxa"/>
                  <w:vAlign w:val="center"/>
                </w:tcPr>
                <w:p w14:paraId="59AA5685">
                  <w:pPr>
                    <w:pStyle w:val="3"/>
                    <w:ind w:firstLine="0" w:firstLineChars="0"/>
                    <w:rPr>
                      <w:rFonts w:ascii="Times New Roman" w:hAnsi="Times New Roman" w:eastAsia="宋体" w:cs="Times New Roman"/>
                      <w:color w:val="auto"/>
                      <w:kern w:val="44"/>
                      <w:sz w:val="21"/>
                      <w:szCs w:val="24"/>
                      <w:lang w:val="en-US" w:eastAsia="zh-CN" w:bidi="ar-SA"/>
                    </w:rPr>
                  </w:pPr>
                  <w:r>
                    <w:rPr>
                      <w:rFonts w:hint="eastAsia"/>
                      <w:color w:val="auto"/>
                    </w:rPr>
                    <w:t>项目区界外</w:t>
                  </w:r>
                </w:p>
              </w:tc>
              <w:tc>
                <w:tcPr>
                  <w:tcW w:w="1286" w:type="dxa"/>
                  <w:vAlign w:val="center"/>
                </w:tcPr>
                <w:p w14:paraId="56171E10">
                  <w:pPr>
                    <w:pStyle w:val="3"/>
                    <w:ind w:firstLine="0" w:firstLineChars="0"/>
                    <w:rPr>
                      <w:rFonts w:ascii="Times New Roman" w:hAnsi="Times New Roman" w:eastAsia="宋体" w:cs="Times New Roman"/>
                      <w:color w:val="auto"/>
                      <w:kern w:val="44"/>
                      <w:sz w:val="21"/>
                      <w:szCs w:val="24"/>
                      <w:lang w:val="en-US" w:eastAsia="zh-CN" w:bidi="ar-SA"/>
                    </w:rPr>
                  </w:pPr>
                  <w:r>
                    <w:rPr>
                      <w:rFonts w:hint="eastAsia"/>
                      <w:color w:val="auto"/>
                    </w:rPr>
                    <w:t>110户、260人</w:t>
                  </w:r>
                </w:p>
              </w:tc>
              <w:tc>
                <w:tcPr>
                  <w:tcW w:w="1884" w:type="dxa"/>
                  <w:vAlign w:val="center"/>
                </w:tcPr>
                <w:p w14:paraId="068E5365">
                  <w:pPr>
                    <w:pStyle w:val="3"/>
                    <w:rPr>
                      <w:color w:val="auto"/>
                    </w:rPr>
                  </w:pPr>
                  <w:r>
                    <w:rPr>
                      <w:color w:val="auto"/>
                    </w:rPr>
                    <w:t>《声环境质量标准》（GB3096-2008）</w:t>
                  </w:r>
                  <w:r>
                    <w:rPr>
                      <w:rFonts w:hint="eastAsia"/>
                      <w:color w:val="auto"/>
                    </w:rPr>
                    <w:t>2</w:t>
                  </w:r>
                  <w:r>
                    <w:rPr>
                      <w:color w:val="auto"/>
                    </w:rPr>
                    <w:t>类区标准</w:t>
                  </w:r>
                </w:p>
              </w:tc>
              <w:tc>
                <w:tcPr>
                  <w:tcW w:w="908" w:type="dxa"/>
                  <w:vAlign w:val="center"/>
                </w:tcPr>
                <w:p w14:paraId="685A1758">
                  <w:pPr>
                    <w:pStyle w:val="3"/>
                    <w:ind w:firstLine="0" w:firstLineChars="0"/>
                    <w:rPr>
                      <w:rFonts w:hint="eastAsia" w:eastAsia="宋体"/>
                      <w:color w:val="auto"/>
                      <w:lang w:eastAsia="zh-CN"/>
                    </w:rPr>
                  </w:pPr>
                  <w:r>
                    <w:rPr>
                      <w:rFonts w:hint="eastAsia"/>
                      <w:color w:val="auto"/>
                      <w:lang w:val="en-US" w:eastAsia="zh-CN"/>
                    </w:rPr>
                    <w:t>/</w:t>
                  </w:r>
                </w:p>
              </w:tc>
              <w:tc>
                <w:tcPr>
                  <w:tcW w:w="832" w:type="dxa"/>
                  <w:vAlign w:val="center"/>
                </w:tcPr>
                <w:p w14:paraId="771C141C">
                  <w:pPr>
                    <w:pStyle w:val="3"/>
                    <w:ind w:firstLine="0" w:firstLineChars="0"/>
                    <w:rPr>
                      <w:color w:val="auto"/>
                    </w:rPr>
                  </w:pPr>
                  <w:r>
                    <w:rPr>
                      <w:rFonts w:hint="eastAsia"/>
                      <w:color w:val="auto"/>
                      <w:lang w:val="en-US" w:eastAsia="zh-CN"/>
                    </w:rPr>
                    <w:t>1</w:t>
                  </w:r>
                </w:p>
              </w:tc>
            </w:tr>
          </w:tbl>
          <w:p w14:paraId="38F2B6C0">
            <w:pPr>
              <w:pStyle w:val="22"/>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lang w:val="en-US" w:eastAsia="zh-CN"/>
              </w:rPr>
            </w:pPr>
          </w:p>
          <w:p w14:paraId="11D5E789">
            <w:pPr>
              <w:pStyle w:val="22"/>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lang w:val="en-US" w:eastAsia="zh-CN"/>
              </w:rPr>
            </w:pPr>
          </w:p>
          <w:p w14:paraId="5925F11F">
            <w:pPr>
              <w:keepNext w:val="0"/>
              <w:keepLines w:val="0"/>
              <w:pageBreakBefore w:val="0"/>
              <w:widowControl w:val="0"/>
              <w:shd w:val="solid" w:color="FFFFFF" w:fill="auto"/>
              <w:kinsoku/>
              <w:wordWrap/>
              <w:overflowPunct/>
              <w:topLinePunct w:val="0"/>
              <w:autoSpaceDE/>
              <w:autoSpaceDN w:val="0"/>
              <w:bidi w:val="0"/>
              <w:adjustRightInd/>
              <w:snapToGrid/>
              <w:spacing w:line="360" w:lineRule="auto"/>
              <w:ind w:firstLine="0" w:firstLineChars="0"/>
              <w:jc w:val="both"/>
              <w:textAlignment w:val="auto"/>
              <w:rPr>
                <w:rFonts w:hint="eastAsia" w:eastAsia="宋体"/>
                <w:lang w:val="en-US" w:eastAsia="zh-CN"/>
              </w:rPr>
            </w:pPr>
          </w:p>
        </w:tc>
      </w:tr>
      <w:tr w14:paraId="3A952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513" w:type="dxa"/>
            <w:tcMar>
              <w:left w:w="28" w:type="dxa"/>
              <w:right w:w="28" w:type="dxa"/>
            </w:tcMar>
            <w:vAlign w:val="center"/>
          </w:tcPr>
          <w:p w14:paraId="4EC35A1A">
            <w:pPr>
              <w:adjustRightInd w:val="0"/>
              <w:snapToGrid w:val="0"/>
              <w:ind w:firstLine="0" w:firstLineChars="0"/>
              <w:jc w:val="center"/>
              <w:rPr>
                <w:rFonts w:ascii="宋体" w:hAnsi="宋体" w:cs="宋体"/>
                <w:color w:val="auto"/>
                <w:kern w:val="0"/>
                <w:szCs w:val="21"/>
              </w:rPr>
            </w:pPr>
            <w:r>
              <w:rPr>
                <w:rFonts w:hint="eastAsia" w:ascii="宋体" w:hAnsi="宋体" w:cs="宋体"/>
                <w:color w:val="auto"/>
                <w:kern w:val="0"/>
                <w:szCs w:val="21"/>
              </w:rPr>
              <w:t>污染物排放控</w:t>
            </w:r>
          </w:p>
          <w:p w14:paraId="736CB5AB">
            <w:pPr>
              <w:adjustRightInd w:val="0"/>
              <w:snapToGrid w:val="0"/>
              <w:ind w:firstLine="0" w:firstLineChars="0"/>
              <w:jc w:val="center"/>
              <w:rPr>
                <w:rFonts w:ascii="宋体" w:hAnsi="宋体" w:cs="宋体"/>
                <w:color w:val="auto"/>
                <w:kern w:val="0"/>
                <w:szCs w:val="21"/>
              </w:rPr>
            </w:pPr>
            <w:r>
              <w:rPr>
                <w:rFonts w:hint="eastAsia" w:ascii="宋体" w:hAnsi="宋体" w:cs="宋体"/>
                <w:color w:val="auto"/>
                <w:kern w:val="0"/>
                <w:szCs w:val="21"/>
              </w:rPr>
              <w:t>制标准</w:t>
            </w:r>
          </w:p>
        </w:tc>
        <w:tc>
          <w:tcPr>
            <w:tcW w:w="8477" w:type="dxa"/>
          </w:tcPr>
          <w:p w14:paraId="55D86E96">
            <w:pPr>
              <w:ind w:firstLine="480"/>
              <w:rPr>
                <w:color w:val="auto"/>
              </w:rPr>
            </w:pPr>
            <w:r>
              <w:rPr>
                <w:rFonts w:hint="eastAsia"/>
                <w:color w:val="auto"/>
              </w:rPr>
              <w:t>本项目生产过程中产生颗粒物</w:t>
            </w:r>
            <w:r>
              <w:rPr>
                <w:rFonts w:hint="eastAsia"/>
                <w:color w:val="auto"/>
                <w:lang w:val="en-US" w:eastAsia="zh-CN"/>
              </w:rPr>
              <w:t>参照</w:t>
            </w:r>
            <w:r>
              <w:rPr>
                <w:rFonts w:hint="eastAsia"/>
                <w:color w:val="auto"/>
              </w:rPr>
              <w:t>执行</w:t>
            </w:r>
            <w:r>
              <w:rPr>
                <w:color w:val="auto"/>
              </w:rPr>
              <w:t>安徽省</w:t>
            </w:r>
            <w:r>
              <w:rPr>
                <w:rFonts w:hint="eastAsia"/>
                <w:color w:val="auto"/>
              </w:rPr>
              <w:t>地方标准《水泥工业大气污染物排放标准》（DB34/3576-2020）中</w:t>
            </w:r>
            <w:r>
              <w:rPr>
                <w:color w:val="auto"/>
              </w:rPr>
              <w:t>相关标准</w:t>
            </w:r>
            <w:r>
              <w:rPr>
                <w:rFonts w:hint="eastAsia"/>
                <w:color w:val="auto"/>
              </w:rPr>
              <w:t>；食堂油烟排放参照执行《饮食业油烟排放标准》（</w:t>
            </w:r>
            <w:r>
              <w:rPr>
                <w:color w:val="auto"/>
              </w:rPr>
              <w:t>GB18483-2001</w:t>
            </w:r>
            <w:r>
              <w:rPr>
                <w:rFonts w:hint="eastAsia"/>
                <w:color w:val="auto"/>
              </w:rPr>
              <w:t>）中的相关限值。</w:t>
            </w:r>
          </w:p>
          <w:p w14:paraId="1A18F2AA">
            <w:pPr>
              <w:spacing w:line="240" w:lineRule="auto"/>
              <w:ind w:firstLine="0" w:firstLineChars="0"/>
              <w:jc w:val="center"/>
              <w:rPr>
                <w:b/>
                <w:bCs/>
                <w:color w:val="auto"/>
              </w:rPr>
            </w:pPr>
            <w:r>
              <w:rPr>
                <w:rFonts w:hint="eastAsia"/>
                <w:b/>
                <w:bCs/>
                <w:color w:val="auto"/>
              </w:rPr>
              <w:t>表3-</w:t>
            </w:r>
            <w:r>
              <w:rPr>
                <w:rFonts w:hint="eastAsia"/>
                <w:b/>
                <w:bCs/>
                <w:color w:val="auto"/>
                <w:lang w:val="en-US" w:eastAsia="zh-CN"/>
              </w:rPr>
              <w:t>7</w:t>
            </w:r>
            <w:r>
              <w:rPr>
                <w:rFonts w:hint="eastAsia"/>
                <w:b/>
                <w:bCs/>
                <w:color w:val="auto"/>
              </w:rPr>
              <w:t xml:space="preserve">  水泥工业大气污染物排放标准  单位:</w:t>
            </w:r>
            <w:r>
              <w:rPr>
                <w:b/>
                <w:bCs/>
                <w:color w:val="auto"/>
              </w:rPr>
              <w:t>（mg/m</w:t>
            </w:r>
            <w:r>
              <w:rPr>
                <w:b/>
                <w:bCs/>
                <w:color w:val="auto"/>
                <w:vertAlign w:val="superscript"/>
              </w:rPr>
              <w:t>3</w:t>
            </w:r>
            <w:r>
              <w:rPr>
                <w:b/>
                <w:bCs/>
                <w:color w:val="auto"/>
              </w:rPr>
              <w:t>）</w:t>
            </w:r>
          </w:p>
          <w:tbl>
            <w:tblPr>
              <w:tblStyle w:val="26"/>
              <w:tblW w:w="8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7"/>
              <w:gridCol w:w="2984"/>
              <w:gridCol w:w="4070"/>
            </w:tblGrid>
            <w:tr w14:paraId="1B339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97" w:type="dxa"/>
                  <w:vAlign w:val="center"/>
                </w:tcPr>
                <w:p w14:paraId="2698CFDE">
                  <w:pPr>
                    <w:pStyle w:val="3"/>
                    <w:rPr>
                      <w:b/>
                      <w:bCs/>
                      <w:color w:val="auto"/>
                    </w:rPr>
                  </w:pPr>
                  <w:r>
                    <w:rPr>
                      <w:b/>
                      <w:bCs/>
                      <w:color w:val="auto"/>
                    </w:rPr>
                    <w:t>污染物</w:t>
                  </w:r>
                </w:p>
              </w:tc>
              <w:tc>
                <w:tcPr>
                  <w:tcW w:w="2984" w:type="dxa"/>
                  <w:vAlign w:val="center"/>
                </w:tcPr>
                <w:p w14:paraId="602CF032">
                  <w:pPr>
                    <w:spacing w:line="240" w:lineRule="auto"/>
                    <w:ind w:firstLine="422"/>
                    <w:jc w:val="center"/>
                    <w:rPr>
                      <w:rFonts w:hint="default" w:eastAsia="宋体"/>
                      <w:b/>
                      <w:bCs/>
                      <w:color w:val="auto"/>
                      <w:lang w:val="en-US" w:eastAsia="zh-CN"/>
                    </w:rPr>
                  </w:pPr>
                  <w:r>
                    <w:rPr>
                      <w:b/>
                      <w:bCs/>
                      <w:color w:val="auto"/>
                      <w:sz w:val="21"/>
                      <w:szCs w:val="21"/>
                    </w:rPr>
                    <w:t>最高允许排放浓度（mg/m</w:t>
                  </w:r>
                  <w:r>
                    <w:rPr>
                      <w:b/>
                      <w:bCs/>
                      <w:color w:val="auto"/>
                      <w:sz w:val="21"/>
                      <w:szCs w:val="21"/>
                      <w:vertAlign w:val="superscript"/>
                    </w:rPr>
                    <w:t>3</w:t>
                  </w:r>
                  <w:r>
                    <w:rPr>
                      <w:b/>
                      <w:bCs/>
                      <w:color w:val="auto"/>
                      <w:sz w:val="21"/>
                      <w:szCs w:val="21"/>
                    </w:rPr>
                    <w:t>）</w:t>
                  </w:r>
                </w:p>
              </w:tc>
              <w:tc>
                <w:tcPr>
                  <w:tcW w:w="4070" w:type="dxa"/>
                  <w:vAlign w:val="center"/>
                </w:tcPr>
                <w:p w14:paraId="501220F2">
                  <w:pPr>
                    <w:pStyle w:val="3"/>
                    <w:bidi w:val="0"/>
                    <w:rPr>
                      <w:b/>
                      <w:bCs/>
                      <w:color w:val="auto"/>
                    </w:rPr>
                  </w:pPr>
                  <w:r>
                    <w:rPr>
                      <w:rFonts w:hint="eastAsia"/>
                      <w:b/>
                      <w:bCs/>
                      <w:color w:val="auto"/>
                      <w:lang w:val="en-US" w:eastAsia="zh-CN"/>
                    </w:rPr>
                    <w:t>无</w:t>
                  </w:r>
                  <w:r>
                    <w:rPr>
                      <w:rFonts w:hint="eastAsia"/>
                      <w:b/>
                      <w:bCs/>
                      <w:color w:val="auto"/>
                    </w:rPr>
                    <w:t>组织排放监控位置：厂界外20m处上风向设参照点，下风向设监控点</w:t>
                  </w:r>
                </w:p>
              </w:tc>
            </w:tr>
            <w:tr w14:paraId="65816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97" w:type="dxa"/>
                  <w:vAlign w:val="center"/>
                </w:tcPr>
                <w:p w14:paraId="31E9672D">
                  <w:pPr>
                    <w:pStyle w:val="3"/>
                    <w:rPr>
                      <w:color w:val="auto"/>
                    </w:rPr>
                  </w:pPr>
                  <w:r>
                    <w:rPr>
                      <w:color w:val="auto"/>
                    </w:rPr>
                    <w:t>颗粒物</w:t>
                  </w:r>
                </w:p>
              </w:tc>
              <w:tc>
                <w:tcPr>
                  <w:tcW w:w="2984" w:type="dxa"/>
                  <w:vAlign w:val="center"/>
                </w:tcPr>
                <w:p w14:paraId="28A4C647">
                  <w:pPr>
                    <w:pStyle w:val="3"/>
                    <w:rPr>
                      <w:color w:val="auto"/>
                    </w:rPr>
                  </w:pPr>
                  <w:r>
                    <w:rPr>
                      <w:color w:val="auto"/>
                    </w:rPr>
                    <w:t>10</w:t>
                  </w:r>
                </w:p>
              </w:tc>
              <w:tc>
                <w:tcPr>
                  <w:tcW w:w="4070" w:type="dxa"/>
                  <w:vAlign w:val="center"/>
                </w:tcPr>
                <w:p w14:paraId="4927D444">
                  <w:pPr>
                    <w:pStyle w:val="3"/>
                    <w:rPr>
                      <w:color w:val="auto"/>
                    </w:rPr>
                  </w:pPr>
                  <w:r>
                    <w:rPr>
                      <w:color w:val="auto"/>
                    </w:rPr>
                    <w:t>0.5</w:t>
                  </w:r>
                </w:p>
              </w:tc>
            </w:tr>
          </w:tbl>
          <w:p w14:paraId="0732FC2E">
            <w:pPr>
              <w:spacing w:line="240" w:lineRule="auto"/>
              <w:ind w:firstLine="482"/>
              <w:jc w:val="center"/>
              <w:rPr>
                <w:b/>
                <w:bCs/>
                <w:color w:val="auto"/>
              </w:rPr>
            </w:pPr>
            <w:r>
              <w:rPr>
                <w:b/>
                <w:bCs/>
                <w:color w:val="auto"/>
              </w:rPr>
              <w:t>表</w:t>
            </w:r>
            <w:r>
              <w:rPr>
                <w:rFonts w:hint="eastAsia"/>
                <w:b/>
                <w:bCs/>
                <w:color w:val="auto"/>
              </w:rPr>
              <w:t>3</w:t>
            </w:r>
            <w:r>
              <w:rPr>
                <w:b/>
                <w:bCs/>
                <w:color w:val="auto"/>
              </w:rPr>
              <w:t>-</w:t>
            </w:r>
            <w:r>
              <w:rPr>
                <w:rFonts w:hint="eastAsia"/>
                <w:b/>
                <w:bCs/>
                <w:color w:val="auto"/>
                <w:lang w:val="en-US" w:eastAsia="zh-CN"/>
              </w:rPr>
              <w:t>8</w:t>
            </w:r>
            <w:r>
              <w:rPr>
                <w:b/>
                <w:bCs/>
                <w:color w:val="auto"/>
              </w:rPr>
              <w:t xml:space="preserve">  饮食业油烟排放标准</w:t>
            </w:r>
          </w:p>
          <w:tbl>
            <w:tblPr>
              <w:tblStyle w:val="26"/>
              <w:tblW w:w="8251"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3611"/>
              <w:gridCol w:w="1892"/>
              <w:gridCol w:w="1637"/>
              <w:gridCol w:w="1111"/>
            </w:tblGrid>
            <w:tr w14:paraId="1CF8491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611" w:type="dxa"/>
                  <w:vAlign w:val="center"/>
                </w:tcPr>
                <w:p w14:paraId="405E61AB">
                  <w:pPr>
                    <w:spacing w:line="240" w:lineRule="auto"/>
                    <w:ind w:firstLine="0" w:firstLineChars="0"/>
                    <w:jc w:val="center"/>
                    <w:rPr>
                      <w:b/>
                      <w:bCs/>
                      <w:color w:val="auto"/>
                      <w:sz w:val="21"/>
                      <w:szCs w:val="21"/>
                    </w:rPr>
                  </w:pPr>
                  <w:r>
                    <w:rPr>
                      <w:b/>
                      <w:bCs/>
                      <w:color w:val="auto"/>
                      <w:sz w:val="21"/>
                      <w:szCs w:val="21"/>
                    </w:rPr>
                    <w:t>规模</w:t>
                  </w:r>
                </w:p>
              </w:tc>
              <w:tc>
                <w:tcPr>
                  <w:tcW w:w="1892" w:type="dxa"/>
                  <w:vAlign w:val="center"/>
                </w:tcPr>
                <w:p w14:paraId="4EBB44BE">
                  <w:pPr>
                    <w:spacing w:line="240" w:lineRule="auto"/>
                    <w:ind w:firstLine="0" w:firstLineChars="0"/>
                    <w:jc w:val="center"/>
                    <w:rPr>
                      <w:b/>
                      <w:bCs/>
                      <w:color w:val="auto"/>
                      <w:sz w:val="21"/>
                      <w:szCs w:val="21"/>
                    </w:rPr>
                  </w:pPr>
                  <w:r>
                    <w:rPr>
                      <w:b/>
                      <w:bCs/>
                      <w:color w:val="auto"/>
                      <w:sz w:val="21"/>
                      <w:szCs w:val="21"/>
                    </w:rPr>
                    <w:t>小型</w:t>
                  </w:r>
                </w:p>
              </w:tc>
              <w:tc>
                <w:tcPr>
                  <w:tcW w:w="1637" w:type="dxa"/>
                  <w:vAlign w:val="center"/>
                </w:tcPr>
                <w:p w14:paraId="55EB02F9">
                  <w:pPr>
                    <w:spacing w:line="240" w:lineRule="auto"/>
                    <w:ind w:firstLine="0" w:firstLineChars="0"/>
                    <w:jc w:val="center"/>
                    <w:rPr>
                      <w:b/>
                      <w:bCs/>
                      <w:color w:val="auto"/>
                      <w:sz w:val="21"/>
                      <w:szCs w:val="21"/>
                    </w:rPr>
                  </w:pPr>
                  <w:r>
                    <w:rPr>
                      <w:b/>
                      <w:bCs/>
                      <w:color w:val="auto"/>
                      <w:sz w:val="21"/>
                      <w:szCs w:val="21"/>
                    </w:rPr>
                    <w:t>中型</w:t>
                  </w:r>
                </w:p>
              </w:tc>
              <w:tc>
                <w:tcPr>
                  <w:tcW w:w="1111" w:type="dxa"/>
                  <w:vAlign w:val="center"/>
                </w:tcPr>
                <w:p w14:paraId="75ADC304">
                  <w:pPr>
                    <w:spacing w:line="240" w:lineRule="auto"/>
                    <w:ind w:firstLine="0" w:firstLineChars="0"/>
                    <w:jc w:val="center"/>
                    <w:rPr>
                      <w:b/>
                      <w:bCs/>
                      <w:color w:val="auto"/>
                      <w:sz w:val="21"/>
                      <w:szCs w:val="21"/>
                    </w:rPr>
                  </w:pPr>
                  <w:r>
                    <w:rPr>
                      <w:b/>
                      <w:bCs/>
                      <w:color w:val="auto"/>
                      <w:sz w:val="21"/>
                      <w:szCs w:val="21"/>
                    </w:rPr>
                    <w:t>大型</w:t>
                  </w:r>
                </w:p>
              </w:tc>
            </w:tr>
            <w:tr w14:paraId="2AD1F1B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611" w:type="dxa"/>
                  <w:vAlign w:val="center"/>
                </w:tcPr>
                <w:p w14:paraId="6F05B76C">
                  <w:pPr>
                    <w:spacing w:line="240" w:lineRule="auto"/>
                    <w:ind w:firstLine="0" w:firstLineChars="0"/>
                    <w:jc w:val="center"/>
                    <w:rPr>
                      <w:color w:val="auto"/>
                      <w:sz w:val="21"/>
                      <w:szCs w:val="21"/>
                    </w:rPr>
                  </w:pPr>
                  <w:r>
                    <w:rPr>
                      <w:color w:val="auto"/>
                      <w:sz w:val="21"/>
                      <w:szCs w:val="21"/>
                    </w:rPr>
                    <w:t>基准灶头数</w:t>
                  </w:r>
                </w:p>
              </w:tc>
              <w:tc>
                <w:tcPr>
                  <w:tcW w:w="1892" w:type="dxa"/>
                  <w:vAlign w:val="center"/>
                </w:tcPr>
                <w:p w14:paraId="4F29B9C1">
                  <w:pPr>
                    <w:spacing w:line="240" w:lineRule="auto"/>
                    <w:ind w:firstLine="0" w:firstLineChars="0"/>
                    <w:jc w:val="center"/>
                    <w:rPr>
                      <w:color w:val="auto"/>
                      <w:sz w:val="21"/>
                      <w:szCs w:val="21"/>
                    </w:rPr>
                  </w:pPr>
                  <w:r>
                    <w:rPr>
                      <w:color w:val="auto"/>
                      <w:sz w:val="21"/>
                      <w:szCs w:val="21"/>
                    </w:rPr>
                    <w:t>≥1，＜3</w:t>
                  </w:r>
                </w:p>
              </w:tc>
              <w:tc>
                <w:tcPr>
                  <w:tcW w:w="1637" w:type="dxa"/>
                  <w:vAlign w:val="center"/>
                </w:tcPr>
                <w:p w14:paraId="4EDE781A">
                  <w:pPr>
                    <w:spacing w:line="240" w:lineRule="auto"/>
                    <w:ind w:firstLine="0" w:firstLineChars="0"/>
                    <w:jc w:val="center"/>
                    <w:rPr>
                      <w:color w:val="auto"/>
                      <w:sz w:val="21"/>
                      <w:szCs w:val="21"/>
                    </w:rPr>
                  </w:pPr>
                  <w:r>
                    <w:rPr>
                      <w:color w:val="auto"/>
                      <w:sz w:val="21"/>
                      <w:szCs w:val="21"/>
                    </w:rPr>
                    <w:t>≥3，＜6</w:t>
                  </w:r>
                </w:p>
              </w:tc>
              <w:tc>
                <w:tcPr>
                  <w:tcW w:w="1111" w:type="dxa"/>
                  <w:vAlign w:val="center"/>
                </w:tcPr>
                <w:p w14:paraId="2F11CA52">
                  <w:pPr>
                    <w:spacing w:line="240" w:lineRule="auto"/>
                    <w:ind w:firstLine="0" w:firstLineChars="0"/>
                    <w:jc w:val="center"/>
                    <w:rPr>
                      <w:color w:val="auto"/>
                      <w:sz w:val="21"/>
                      <w:szCs w:val="21"/>
                    </w:rPr>
                  </w:pPr>
                  <w:r>
                    <w:rPr>
                      <w:color w:val="auto"/>
                      <w:sz w:val="21"/>
                      <w:szCs w:val="21"/>
                    </w:rPr>
                    <w:t>≥6</w:t>
                  </w:r>
                </w:p>
              </w:tc>
            </w:tr>
            <w:tr w14:paraId="39DBE45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611" w:type="dxa"/>
                  <w:vAlign w:val="center"/>
                </w:tcPr>
                <w:p w14:paraId="5835086B">
                  <w:pPr>
                    <w:spacing w:line="240" w:lineRule="auto"/>
                    <w:ind w:firstLine="0" w:firstLineChars="0"/>
                    <w:jc w:val="center"/>
                    <w:rPr>
                      <w:color w:val="auto"/>
                      <w:sz w:val="21"/>
                      <w:szCs w:val="21"/>
                    </w:rPr>
                  </w:pPr>
                  <w:r>
                    <w:rPr>
                      <w:color w:val="auto"/>
                      <w:sz w:val="21"/>
                      <w:szCs w:val="21"/>
                    </w:rPr>
                    <w:t>对应排气罩灶面总投影面积（m</w:t>
                  </w:r>
                  <w:r>
                    <w:rPr>
                      <w:color w:val="auto"/>
                      <w:sz w:val="21"/>
                      <w:szCs w:val="21"/>
                      <w:vertAlign w:val="superscript"/>
                    </w:rPr>
                    <w:t>2</w:t>
                  </w:r>
                  <w:r>
                    <w:rPr>
                      <w:color w:val="auto"/>
                      <w:sz w:val="21"/>
                      <w:szCs w:val="21"/>
                    </w:rPr>
                    <w:t>）</w:t>
                  </w:r>
                </w:p>
              </w:tc>
              <w:tc>
                <w:tcPr>
                  <w:tcW w:w="1892" w:type="dxa"/>
                  <w:vAlign w:val="center"/>
                </w:tcPr>
                <w:p w14:paraId="2CDD5527">
                  <w:pPr>
                    <w:spacing w:line="240" w:lineRule="auto"/>
                    <w:ind w:firstLine="0" w:firstLineChars="0"/>
                    <w:jc w:val="center"/>
                    <w:rPr>
                      <w:color w:val="auto"/>
                      <w:sz w:val="21"/>
                      <w:szCs w:val="21"/>
                    </w:rPr>
                  </w:pPr>
                  <w:r>
                    <w:rPr>
                      <w:color w:val="auto"/>
                      <w:sz w:val="21"/>
                      <w:szCs w:val="21"/>
                    </w:rPr>
                    <w:t>≥1.1，＜3.3</w:t>
                  </w:r>
                </w:p>
              </w:tc>
              <w:tc>
                <w:tcPr>
                  <w:tcW w:w="1637" w:type="dxa"/>
                  <w:vAlign w:val="center"/>
                </w:tcPr>
                <w:p w14:paraId="7580F0A1">
                  <w:pPr>
                    <w:spacing w:line="240" w:lineRule="auto"/>
                    <w:ind w:firstLine="0" w:firstLineChars="0"/>
                    <w:jc w:val="center"/>
                    <w:rPr>
                      <w:color w:val="auto"/>
                      <w:sz w:val="21"/>
                      <w:szCs w:val="21"/>
                    </w:rPr>
                  </w:pPr>
                  <w:r>
                    <w:rPr>
                      <w:color w:val="auto"/>
                      <w:sz w:val="21"/>
                      <w:szCs w:val="21"/>
                    </w:rPr>
                    <w:t>≥3.3，＜6.6</w:t>
                  </w:r>
                </w:p>
              </w:tc>
              <w:tc>
                <w:tcPr>
                  <w:tcW w:w="1111" w:type="dxa"/>
                  <w:vAlign w:val="center"/>
                </w:tcPr>
                <w:p w14:paraId="08577EC2">
                  <w:pPr>
                    <w:spacing w:line="240" w:lineRule="auto"/>
                    <w:ind w:firstLine="0" w:firstLineChars="0"/>
                    <w:jc w:val="center"/>
                    <w:rPr>
                      <w:color w:val="auto"/>
                      <w:sz w:val="21"/>
                      <w:szCs w:val="21"/>
                    </w:rPr>
                  </w:pPr>
                  <w:r>
                    <w:rPr>
                      <w:color w:val="auto"/>
                      <w:sz w:val="21"/>
                      <w:szCs w:val="21"/>
                    </w:rPr>
                    <w:t>≥6.6</w:t>
                  </w:r>
                </w:p>
              </w:tc>
            </w:tr>
            <w:tr w14:paraId="7B01688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611" w:type="dxa"/>
                  <w:vAlign w:val="center"/>
                </w:tcPr>
                <w:p w14:paraId="759C630E">
                  <w:pPr>
                    <w:spacing w:line="240" w:lineRule="auto"/>
                    <w:ind w:firstLine="0" w:firstLineChars="0"/>
                    <w:jc w:val="center"/>
                    <w:rPr>
                      <w:color w:val="auto"/>
                      <w:sz w:val="21"/>
                      <w:szCs w:val="21"/>
                    </w:rPr>
                  </w:pPr>
                  <w:r>
                    <w:rPr>
                      <w:color w:val="auto"/>
                      <w:sz w:val="21"/>
                      <w:szCs w:val="21"/>
                    </w:rPr>
                    <w:t>最高允许排放浓度（mg/m</w:t>
                  </w:r>
                  <w:r>
                    <w:rPr>
                      <w:color w:val="auto"/>
                      <w:sz w:val="21"/>
                      <w:szCs w:val="21"/>
                      <w:vertAlign w:val="superscript"/>
                    </w:rPr>
                    <w:t>3</w:t>
                  </w:r>
                  <w:r>
                    <w:rPr>
                      <w:color w:val="auto"/>
                      <w:sz w:val="21"/>
                      <w:szCs w:val="21"/>
                    </w:rPr>
                    <w:t>）</w:t>
                  </w:r>
                </w:p>
              </w:tc>
              <w:tc>
                <w:tcPr>
                  <w:tcW w:w="4640" w:type="dxa"/>
                  <w:gridSpan w:val="3"/>
                  <w:vAlign w:val="center"/>
                </w:tcPr>
                <w:p w14:paraId="5ECE0B54">
                  <w:pPr>
                    <w:spacing w:line="240" w:lineRule="auto"/>
                    <w:ind w:firstLine="0" w:firstLineChars="0"/>
                    <w:jc w:val="center"/>
                    <w:rPr>
                      <w:color w:val="auto"/>
                      <w:sz w:val="21"/>
                      <w:szCs w:val="21"/>
                    </w:rPr>
                  </w:pPr>
                  <w:r>
                    <w:rPr>
                      <w:color w:val="auto"/>
                      <w:sz w:val="21"/>
                      <w:szCs w:val="21"/>
                    </w:rPr>
                    <w:t>2.0</w:t>
                  </w:r>
                </w:p>
              </w:tc>
            </w:tr>
            <w:tr w14:paraId="76DF117E">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611" w:type="dxa"/>
                  <w:vAlign w:val="center"/>
                </w:tcPr>
                <w:p w14:paraId="7AC2168C">
                  <w:pPr>
                    <w:spacing w:line="240" w:lineRule="auto"/>
                    <w:ind w:firstLine="0" w:firstLineChars="0"/>
                    <w:jc w:val="center"/>
                    <w:rPr>
                      <w:color w:val="auto"/>
                      <w:sz w:val="21"/>
                      <w:szCs w:val="21"/>
                    </w:rPr>
                  </w:pPr>
                  <w:r>
                    <w:rPr>
                      <w:color w:val="auto"/>
                      <w:sz w:val="21"/>
                      <w:szCs w:val="21"/>
                    </w:rPr>
                    <w:t>净化设施最低去除效率（%）</w:t>
                  </w:r>
                </w:p>
              </w:tc>
              <w:tc>
                <w:tcPr>
                  <w:tcW w:w="1892" w:type="dxa"/>
                  <w:vAlign w:val="center"/>
                </w:tcPr>
                <w:p w14:paraId="6F3A348D">
                  <w:pPr>
                    <w:spacing w:line="240" w:lineRule="auto"/>
                    <w:ind w:firstLine="0" w:firstLineChars="0"/>
                    <w:jc w:val="center"/>
                    <w:rPr>
                      <w:color w:val="auto"/>
                      <w:sz w:val="21"/>
                      <w:szCs w:val="21"/>
                    </w:rPr>
                  </w:pPr>
                  <w:r>
                    <w:rPr>
                      <w:color w:val="auto"/>
                      <w:sz w:val="21"/>
                      <w:szCs w:val="21"/>
                    </w:rPr>
                    <w:t>60</w:t>
                  </w:r>
                </w:p>
              </w:tc>
              <w:tc>
                <w:tcPr>
                  <w:tcW w:w="1637" w:type="dxa"/>
                  <w:vAlign w:val="center"/>
                </w:tcPr>
                <w:p w14:paraId="125C1E8B">
                  <w:pPr>
                    <w:spacing w:line="240" w:lineRule="auto"/>
                    <w:ind w:firstLine="0" w:firstLineChars="0"/>
                    <w:jc w:val="center"/>
                    <w:rPr>
                      <w:color w:val="auto"/>
                      <w:sz w:val="21"/>
                      <w:szCs w:val="21"/>
                    </w:rPr>
                  </w:pPr>
                  <w:r>
                    <w:rPr>
                      <w:color w:val="auto"/>
                      <w:sz w:val="21"/>
                      <w:szCs w:val="21"/>
                    </w:rPr>
                    <w:t>75</w:t>
                  </w:r>
                </w:p>
              </w:tc>
              <w:tc>
                <w:tcPr>
                  <w:tcW w:w="1111" w:type="dxa"/>
                  <w:vAlign w:val="center"/>
                </w:tcPr>
                <w:p w14:paraId="652CE35A">
                  <w:pPr>
                    <w:spacing w:line="240" w:lineRule="auto"/>
                    <w:ind w:firstLine="0" w:firstLineChars="0"/>
                    <w:jc w:val="center"/>
                    <w:rPr>
                      <w:color w:val="auto"/>
                      <w:sz w:val="21"/>
                      <w:szCs w:val="21"/>
                    </w:rPr>
                  </w:pPr>
                  <w:r>
                    <w:rPr>
                      <w:color w:val="auto"/>
                      <w:sz w:val="21"/>
                      <w:szCs w:val="21"/>
                    </w:rPr>
                    <w:t>85</w:t>
                  </w:r>
                </w:p>
              </w:tc>
            </w:tr>
          </w:tbl>
          <w:p w14:paraId="1573CC4A">
            <w:pPr>
              <w:numPr>
                <w:ilvl w:val="0"/>
                <w:numId w:val="5"/>
              </w:numPr>
              <w:ind w:firstLine="0" w:firstLineChars="0"/>
              <w:rPr>
                <w:b/>
                <w:bCs/>
                <w:color w:val="auto"/>
              </w:rPr>
            </w:pPr>
            <w:r>
              <w:rPr>
                <w:rFonts w:hint="eastAsia"/>
                <w:b/>
                <w:bCs/>
                <w:color w:val="auto"/>
              </w:rPr>
              <w:t>废水</w:t>
            </w:r>
          </w:p>
          <w:p w14:paraId="2D8EB6AF">
            <w:pPr>
              <w:keepNext w:val="0"/>
              <w:keepLines w:val="0"/>
              <w:pageBreakBefore w:val="0"/>
              <w:widowControl w:val="0"/>
              <w:kinsoku/>
              <w:wordWrap/>
              <w:overflowPunct/>
              <w:topLinePunct w:val="0"/>
              <w:autoSpaceDE/>
              <w:autoSpaceDN/>
              <w:bidi w:val="0"/>
              <w:adjustRightInd/>
              <w:snapToGrid/>
              <w:ind w:firstLine="480"/>
              <w:jc w:val="left"/>
              <w:textAlignment w:val="auto"/>
              <w:rPr>
                <w:color w:val="auto"/>
              </w:rPr>
            </w:pPr>
            <w:r>
              <w:rPr>
                <w:rFonts w:hint="eastAsia"/>
                <w:color w:val="auto"/>
              </w:rPr>
              <w:t>厂区雨污分流制，经隔油池</w:t>
            </w:r>
            <w:r>
              <w:rPr>
                <w:rFonts w:hint="eastAsia"/>
                <w:color w:val="auto"/>
                <w:lang w:val="en-US" w:eastAsia="zh-CN"/>
              </w:rPr>
              <w:t>（依托现有）</w:t>
            </w:r>
            <w:r>
              <w:rPr>
                <w:rFonts w:hint="eastAsia"/>
                <w:color w:val="auto"/>
              </w:rPr>
              <w:t>处理的食堂废水汇同生活污水经化粪池</w:t>
            </w:r>
            <w:r>
              <w:rPr>
                <w:rFonts w:hint="eastAsia"/>
                <w:color w:val="auto"/>
                <w:lang w:val="en-US" w:eastAsia="zh-CN"/>
              </w:rPr>
              <w:t>（依托现有）</w:t>
            </w:r>
            <w:r>
              <w:rPr>
                <w:rFonts w:hint="eastAsia"/>
                <w:color w:val="auto"/>
              </w:rPr>
              <w:t>处理后，吸粪车定期抽运；车辆冲洗废水、道路冲洗废水</w:t>
            </w:r>
            <w:r>
              <w:rPr>
                <w:rFonts w:hint="eastAsia"/>
                <w:color w:val="auto"/>
                <w:lang w:eastAsia="zh-CN"/>
              </w:rPr>
              <w:t>、</w:t>
            </w:r>
            <w:r>
              <w:rPr>
                <w:rFonts w:hint="eastAsia"/>
                <w:color w:val="auto"/>
                <w:lang w:val="en-US" w:eastAsia="zh-CN"/>
              </w:rPr>
              <w:t>设备冲洗废水</w:t>
            </w:r>
            <w:r>
              <w:rPr>
                <w:rFonts w:hint="eastAsia"/>
                <w:color w:val="auto"/>
              </w:rPr>
              <w:t>经二级沉淀池</w:t>
            </w:r>
            <w:r>
              <w:rPr>
                <w:rFonts w:hint="eastAsia"/>
                <w:color w:val="auto"/>
                <w:lang w:val="en-US" w:eastAsia="zh-CN"/>
              </w:rPr>
              <w:t>（依托现有）</w:t>
            </w:r>
            <w:r>
              <w:rPr>
                <w:rFonts w:hint="eastAsia"/>
                <w:color w:val="auto"/>
              </w:rPr>
              <w:t>处理后循环使用，不外排</w:t>
            </w:r>
            <w:r>
              <w:rPr>
                <w:rFonts w:hint="eastAsia"/>
                <w:color w:val="auto"/>
                <w:lang w:eastAsia="zh-CN"/>
              </w:rPr>
              <w:t>。</w:t>
            </w:r>
          </w:p>
          <w:p w14:paraId="19CBE7B5">
            <w:pPr>
              <w:numPr>
                <w:ilvl w:val="0"/>
                <w:numId w:val="5"/>
              </w:numPr>
              <w:ind w:firstLine="0" w:firstLineChars="0"/>
              <w:rPr>
                <w:b/>
                <w:bCs/>
                <w:color w:val="auto"/>
              </w:rPr>
            </w:pPr>
            <w:r>
              <w:rPr>
                <w:rFonts w:hint="eastAsia"/>
                <w:b/>
                <w:bCs/>
                <w:color w:val="auto"/>
              </w:rPr>
              <w:t>噪声</w:t>
            </w:r>
          </w:p>
          <w:p w14:paraId="00A7D438">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本项目施工期厂界噪声执行《建筑施工场界环境噪声排放标准》（GB12523-2011）中相关标准；</w:t>
            </w:r>
            <w:r>
              <w:rPr>
                <w:rFonts w:hint="default"/>
              </w:rPr>
              <w:t>运营期厂界噪声执行《工业企业厂界环境噪声排放标准》（GB12348-2008）中</w:t>
            </w:r>
            <w:r>
              <w:rPr>
                <w:rFonts w:hint="eastAsia"/>
                <w:lang w:val="en-US" w:eastAsia="zh-CN"/>
              </w:rPr>
              <w:t>2</w:t>
            </w:r>
            <w:r>
              <w:rPr>
                <w:rFonts w:hint="default"/>
              </w:rPr>
              <w:t>类标准</w:t>
            </w:r>
            <w:r>
              <w:rPr>
                <w:rFonts w:hint="eastAsia"/>
                <w:lang w:eastAsia="zh-CN"/>
              </w:rPr>
              <w:t>。</w:t>
            </w:r>
          </w:p>
          <w:p w14:paraId="39981187">
            <w:pPr>
              <w:spacing w:line="240" w:lineRule="auto"/>
              <w:ind w:firstLine="482"/>
              <w:jc w:val="center"/>
              <w:rPr>
                <w:b/>
                <w:bCs/>
                <w:color w:val="auto"/>
              </w:rPr>
            </w:pPr>
            <w:r>
              <w:rPr>
                <w:b/>
                <w:bCs/>
                <w:color w:val="auto"/>
              </w:rPr>
              <w:t>表</w:t>
            </w:r>
            <w:r>
              <w:rPr>
                <w:rFonts w:hint="eastAsia"/>
                <w:b/>
                <w:bCs/>
                <w:color w:val="auto"/>
              </w:rPr>
              <w:t>3-</w:t>
            </w:r>
            <w:r>
              <w:rPr>
                <w:rFonts w:hint="eastAsia"/>
                <w:b/>
                <w:bCs/>
                <w:color w:val="auto"/>
                <w:lang w:val="en-US" w:eastAsia="zh-CN"/>
              </w:rPr>
              <w:t>10</w:t>
            </w:r>
            <w:r>
              <w:rPr>
                <w:rFonts w:hint="eastAsia"/>
                <w:b/>
                <w:bCs/>
                <w:color w:val="auto"/>
              </w:rPr>
              <w:t xml:space="preserve">  </w:t>
            </w:r>
            <w:r>
              <w:rPr>
                <w:b/>
                <w:bCs/>
                <w:color w:val="auto"/>
              </w:rPr>
              <w:t>环境噪声排放标准  单位：dB（A）</w:t>
            </w:r>
          </w:p>
          <w:tbl>
            <w:tblPr>
              <w:tblStyle w:val="26"/>
              <w:tblW w:w="8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824"/>
              <w:gridCol w:w="894"/>
              <w:gridCol w:w="5548"/>
            </w:tblGrid>
            <w:tr w14:paraId="25D0F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85" w:type="dxa"/>
                  <w:vAlign w:val="center"/>
                </w:tcPr>
                <w:p w14:paraId="0B4FEB3F">
                  <w:pPr>
                    <w:pStyle w:val="3"/>
                    <w:spacing w:line="240" w:lineRule="auto"/>
                    <w:rPr>
                      <w:b/>
                      <w:bCs/>
                      <w:color w:val="auto"/>
                    </w:rPr>
                  </w:pPr>
                  <w:r>
                    <w:rPr>
                      <w:b/>
                      <w:bCs/>
                      <w:color w:val="auto"/>
                    </w:rPr>
                    <w:t>时段</w:t>
                  </w:r>
                </w:p>
              </w:tc>
              <w:tc>
                <w:tcPr>
                  <w:tcW w:w="824" w:type="dxa"/>
                  <w:vAlign w:val="center"/>
                </w:tcPr>
                <w:p w14:paraId="563DBB18">
                  <w:pPr>
                    <w:pStyle w:val="3"/>
                    <w:spacing w:line="240" w:lineRule="auto"/>
                    <w:rPr>
                      <w:b/>
                      <w:bCs/>
                      <w:color w:val="auto"/>
                    </w:rPr>
                  </w:pPr>
                  <w:r>
                    <w:rPr>
                      <w:b/>
                      <w:bCs/>
                      <w:color w:val="auto"/>
                    </w:rPr>
                    <w:t>昼间</w:t>
                  </w:r>
                </w:p>
              </w:tc>
              <w:tc>
                <w:tcPr>
                  <w:tcW w:w="894" w:type="dxa"/>
                  <w:vAlign w:val="center"/>
                </w:tcPr>
                <w:p w14:paraId="2415F606">
                  <w:pPr>
                    <w:pStyle w:val="3"/>
                    <w:spacing w:line="240" w:lineRule="auto"/>
                    <w:rPr>
                      <w:b/>
                      <w:bCs/>
                      <w:color w:val="auto"/>
                    </w:rPr>
                  </w:pPr>
                  <w:r>
                    <w:rPr>
                      <w:b/>
                      <w:bCs/>
                      <w:color w:val="auto"/>
                    </w:rPr>
                    <w:t>夜间</w:t>
                  </w:r>
                </w:p>
              </w:tc>
              <w:tc>
                <w:tcPr>
                  <w:tcW w:w="5548" w:type="dxa"/>
                  <w:vAlign w:val="center"/>
                </w:tcPr>
                <w:p w14:paraId="269A12F9">
                  <w:pPr>
                    <w:pStyle w:val="3"/>
                    <w:spacing w:line="240" w:lineRule="auto"/>
                    <w:rPr>
                      <w:b/>
                      <w:bCs/>
                      <w:color w:val="auto"/>
                    </w:rPr>
                  </w:pPr>
                  <w:r>
                    <w:rPr>
                      <w:b/>
                      <w:bCs/>
                      <w:color w:val="auto"/>
                    </w:rPr>
                    <w:t>标准</w:t>
                  </w:r>
                </w:p>
              </w:tc>
            </w:tr>
            <w:tr w14:paraId="28BC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85" w:type="dxa"/>
                  <w:vMerge w:val="restart"/>
                  <w:vAlign w:val="center"/>
                </w:tcPr>
                <w:p w14:paraId="24410A5F">
                  <w:pPr>
                    <w:pStyle w:val="3"/>
                    <w:spacing w:line="240" w:lineRule="auto"/>
                    <w:rPr>
                      <w:color w:val="auto"/>
                    </w:rPr>
                  </w:pPr>
                  <w:r>
                    <w:rPr>
                      <w:color w:val="auto"/>
                    </w:rPr>
                    <w:t>运行期</w:t>
                  </w:r>
                </w:p>
              </w:tc>
              <w:tc>
                <w:tcPr>
                  <w:tcW w:w="824" w:type="dxa"/>
                  <w:vAlign w:val="center"/>
                </w:tcPr>
                <w:p w14:paraId="32596E46">
                  <w:pPr>
                    <w:pStyle w:val="3"/>
                    <w:spacing w:line="240" w:lineRule="auto"/>
                    <w:rPr>
                      <w:rFonts w:hint="eastAsia" w:eastAsia="宋体"/>
                      <w:color w:val="auto"/>
                      <w:lang w:eastAsia="zh-CN"/>
                    </w:rPr>
                  </w:pPr>
                  <w:r>
                    <w:rPr>
                      <w:color w:val="auto"/>
                    </w:rPr>
                    <w:t>6</w:t>
                  </w:r>
                  <w:r>
                    <w:rPr>
                      <w:rFonts w:hint="eastAsia"/>
                      <w:color w:val="auto"/>
                      <w:lang w:val="en-US" w:eastAsia="zh-CN"/>
                    </w:rPr>
                    <w:t>5</w:t>
                  </w:r>
                </w:p>
              </w:tc>
              <w:tc>
                <w:tcPr>
                  <w:tcW w:w="894" w:type="dxa"/>
                  <w:vAlign w:val="center"/>
                </w:tcPr>
                <w:p w14:paraId="57B50CB3">
                  <w:pPr>
                    <w:pStyle w:val="3"/>
                    <w:spacing w:line="240" w:lineRule="auto"/>
                    <w:rPr>
                      <w:rFonts w:hint="eastAsia" w:eastAsia="宋体"/>
                      <w:color w:val="auto"/>
                      <w:lang w:eastAsia="zh-CN"/>
                    </w:rPr>
                  </w:pPr>
                  <w:r>
                    <w:rPr>
                      <w:color w:val="auto"/>
                    </w:rPr>
                    <w:t>5</w:t>
                  </w:r>
                  <w:r>
                    <w:rPr>
                      <w:rFonts w:hint="eastAsia"/>
                      <w:color w:val="auto"/>
                      <w:lang w:val="en-US" w:eastAsia="zh-CN"/>
                    </w:rPr>
                    <w:t>5</w:t>
                  </w:r>
                </w:p>
              </w:tc>
              <w:tc>
                <w:tcPr>
                  <w:tcW w:w="5548" w:type="dxa"/>
                  <w:vAlign w:val="center"/>
                </w:tcPr>
                <w:p w14:paraId="2DE9F5CA">
                  <w:pPr>
                    <w:pStyle w:val="3"/>
                    <w:spacing w:line="240" w:lineRule="auto"/>
                    <w:rPr>
                      <w:color w:val="auto"/>
                    </w:rPr>
                  </w:pPr>
                  <w:r>
                    <w:rPr>
                      <w:color w:val="auto"/>
                    </w:rPr>
                    <w:t>《工业企业厂界环境噪声排放标准》</w:t>
                  </w:r>
                  <w:r>
                    <w:rPr>
                      <w:rFonts w:hint="eastAsia"/>
                      <w:color w:val="auto"/>
                    </w:rPr>
                    <w:t>（</w:t>
                  </w:r>
                  <w:r>
                    <w:rPr>
                      <w:color w:val="auto"/>
                    </w:rPr>
                    <w:t>GB12348-2008</w:t>
                  </w:r>
                  <w:r>
                    <w:rPr>
                      <w:rFonts w:hint="eastAsia"/>
                      <w:color w:val="auto"/>
                    </w:rPr>
                    <w:t>）</w:t>
                  </w:r>
                  <w:r>
                    <w:rPr>
                      <w:color w:val="auto"/>
                    </w:rPr>
                    <w:t>中的</w:t>
                  </w:r>
                  <w:r>
                    <w:rPr>
                      <w:rFonts w:hint="eastAsia"/>
                      <w:color w:val="auto"/>
                    </w:rPr>
                    <w:t>2</w:t>
                  </w:r>
                  <w:r>
                    <w:rPr>
                      <w:color w:val="auto"/>
                    </w:rPr>
                    <w:t>类标准</w:t>
                  </w:r>
                </w:p>
              </w:tc>
            </w:tr>
            <w:tr w14:paraId="48212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146AB8F4">
                  <w:pPr>
                    <w:pStyle w:val="3"/>
                    <w:spacing w:line="240" w:lineRule="auto"/>
                    <w:rPr>
                      <w:color w:val="auto"/>
                    </w:rPr>
                  </w:pPr>
                </w:p>
              </w:tc>
              <w:tc>
                <w:tcPr>
                  <w:tcW w:w="824" w:type="dxa"/>
                  <w:shd w:val="clear" w:color="auto" w:fill="auto"/>
                  <w:vAlign w:val="center"/>
                </w:tcPr>
                <w:p w14:paraId="5555B78B">
                  <w:pPr>
                    <w:keepNext w:val="0"/>
                    <w:keepLines w:val="0"/>
                    <w:pageBreakBefore w:val="0"/>
                    <w:widowControl/>
                    <w:suppressLineNumbers w:val="0"/>
                    <w:tabs>
                      <w:tab w:val="left" w:pos="630"/>
                      <w:tab w:val="left" w:pos="1260"/>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color w:val="auto"/>
                      <w:kern w:val="2"/>
                      <w:sz w:val="21"/>
                      <w:szCs w:val="21"/>
                      <w:lang w:val="en-US" w:eastAsia="zh-CN" w:bidi="ar-SA"/>
                    </w:rPr>
                  </w:pPr>
                  <w:r>
                    <w:rPr>
                      <w:rFonts w:hint="eastAsia"/>
                      <w:snapToGrid w:val="0"/>
                      <w:color w:val="auto"/>
                      <w:sz w:val="21"/>
                      <w:szCs w:val="21"/>
                      <w:lang w:val="en-US" w:eastAsia="zh-CN"/>
                    </w:rPr>
                    <w:t>/</w:t>
                  </w:r>
                </w:p>
              </w:tc>
              <w:tc>
                <w:tcPr>
                  <w:tcW w:w="894" w:type="dxa"/>
                  <w:shd w:val="clear" w:color="auto" w:fill="auto"/>
                  <w:vAlign w:val="center"/>
                </w:tcPr>
                <w:p w14:paraId="6C7E251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w:t>
                  </w:r>
                  <w:r>
                    <w:rPr>
                      <w:rFonts w:hint="eastAsia" w:cs="Times New Roman"/>
                      <w:bCs/>
                      <w:sz w:val="21"/>
                      <w:szCs w:val="21"/>
                      <w:lang w:val="en-US" w:eastAsia="zh-CN"/>
                    </w:rPr>
                    <w:t>15</w:t>
                  </w:r>
                </w:p>
              </w:tc>
              <w:tc>
                <w:tcPr>
                  <w:tcW w:w="5548" w:type="dxa"/>
                  <w:vAlign w:val="center"/>
                </w:tcPr>
                <w:p w14:paraId="3F37EE78">
                  <w:pPr>
                    <w:pStyle w:val="3"/>
                    <w:spacing w:line="240" w:lineRule="auto"/>
                    <w:rPr>
                      <w:color w:val="auto"/>
                    </w:rPr>
                  </w:pPr>
                  <w:r>
                    <w:rPr>
                      <w:color w:val="auto"/>
                    </w:rPr>
                    <w:t>《工业企业厂界环境噪声排放标准》</w:t>
                  </w:r>
                  <w:r>
                    <w:rPr>
                      <w:rFonts w:hint="eastAsia"/>
                      <w:color w:val="auto"/>
                    </w:rPr>
                    <w:t>（</w:t>
                  </w:r>
                  <w:r>
                    <w:rPr>
                      <w:color w:val="auto"/>
                    </w:rPr>
                    <w:t>GB12348-2008</w:t>
                  </w:r>
                  <w:r>
                    <w:rPr>
                      <w:rFonts w:hint="eastAsia"/>
                      <w:color w:val="auto"/>
                    </w:rPr>
                    <w:t>）</w:t>
                  </w:r>
                  <w:r>
                    <w:rPr>
                      <w:color w:val="auto"/>
                    </w:rPr>
                    <w:t>中的</w:t>
                  </w:r>
                  <w:r>
                    <w:rPr>
                      <w:rFonts w:hint="eastAsia"/>
                      <w:color w:val="auto"/>
                    </w:rPr>
                    <w:t>2</w:t>
                  </w:r>
                  <w:r>
                    <w:rPr>
                      <w:color w:val="auto"/>
                    </w:rPr>
                    <w:t>类标准夜间偶发噪声</w:t>
                  </w:r>
                </w:p>
              </w:tc>
            </w:tr>
            <w:tr w14:paraId="58A8A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985" w:type="dxa"/>
                  <w:shd w:val="clear" w:color="auto" w:fill="auto"/>
                  <w:vAlign w:val="center"/>
                </w:tcPr>
                <w:p w14:paraId="2799137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Cs/>
                      <w:sz w:val="21"/>
                      <w:szCs w:val="21"/>
                      <w:lang w:val="en-AU"/>
                    </w:rPr>
                    <w:t>施工期</w:t>
                  </w:r>
                </w:p>
              </w:tc>
              <w:tc>
                <w:tcPr>
                  <w:tcW w:w="824" w:type="dxa"/>
                  <w:shd w:val="clear" w:color="auto" w:fill="auto"/>
                  <w:vAlign w:val="center"/>
                </w:tcPr>
                <w:p w14:paraId="2FF589FD">
                  <w:pPr>
                    <w:keepNext w:val="0"/>
                    <w:keepLines w:val="0"/>
                    <w:pageBreakBefore w:val="0"/>
                    <w:widowControl/>
                    <w:suppressLineNumbers w:val="0"/>
                    <w:tabs>
                      <w:tab w:val="left" w:pos="630"/>
                      <w:tab w:val="left" w:pos="1260"/>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snapToGrid w:val="0"/>
                      <w:color w:val="auto"/>
                      <w:sz w:val="21"/>
                      <w:szCs w:val="21"/>
                    </w:rPr>
                    <w:t>70</w:t>
                  </w:r>
                </w:p>
              </w:tc>
              <w:tc>
                <w:tcPr>
                  <w:tcW w:w="894" w:type="dxa"/>
                  <w:shd w:val="clear" w:color="auto" w:fill="auto"/>
                  <w:vAlign w:val="center"/>
                </w:tcPr>
                <w:p w14:paraId="30911C5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sz w:val="21"/>
                      <w:szCs w:val="21"/>
                    </w:rPr>
                    <w:t>55</w:t>
                  </w:r>
                </w:p>
              </w:tc>
              <w:tc>
                <w:tcPr>
                  <w:tcW w:w="5548" w:type="dxa"/>
                  <w:shd w:val="clear" w:color="auto" w:fill="auto"/>
                  <w:vAlign w:val="center"/>
                </w:tcPr>
                <w:p w14:paraId="2A19B75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sz w:val="21"/>
                      <w:szCs w:val="21"/>
                      <w:lang w:val="en-AU"/>
                    </w:rPr>
                    <w:t>《建筑施工场界环境噪声排放标准》（GB12523-2011）</w:t>
                  </w:r>
                </w:p>
              </w:tc>
            </w:tr>
          </w:tbl>
          <w:p w14:paraId="7367984E">
            <w:pPr>
              <w:numPr>
                <w:ilvl w:val="0"/>
                <w:numId w:val="5"/>
              </w:numPr>
              <w:ind w:firstLine="0" w:firstLineChars="0"/>
              <w:rPr>
                <w:b/>
                <w:bCs/>
                <w:color w:val="auto"/>
                <w:kern w:val="0"/>
              </w:rPr>
            </w:pPr>
            <w:r>
              <w:rPr>
                <w:b/>
                <w:bCs/>
                <w:color w:val="auto"/>
                <w:kern w:val="0"/>
              </w:rPr>
              <w:t>固废</w:t>
            </w:r>
          </w:p>
          <w:p w14:paraId="20171D1D">
            <w:pPr>
              <w:ind w:firstLine="480"/>
              <w:rPr>
                <w:rFonts w:hint="default" w:ascii="宋体" w:hAnsi="宋体" w:cs="宋体"/>
                <w:color w:val="auto"/>
                <w:kern w:val="0"/>
                <w:szCs w:val="21"/>
                <w:lang w:val="en-US"/>
              </w:rPr>
            </w:pPr>
            <w:r>
              <w:rPr>
                <w:rFonts w:hint="default" w:ascii="Times New Roman" w:hAnsi="Times New Roman" w:eastAsia="宋体" w:cs="Times New Roman"/>
                <w:kern w:val="2"/>
                <w:sz w:val="24"/>
                <w:szCs w:val="24"/>
                <w:lang w:eastAsia="zh-CN"/>
              </w:rPr>
              <w:t>工业固体废物的贮存、处置执行《中华人民共和国固体废物污染环境防治法》</w:t>
            </w:r>
            <w:r>
              <w:rPr>
                <w:rFonts w:hint="eastAsia" w:cs="Times New Roman"/>
                <w:kern w:val="2"/>
                <w:sz w:val="24"/>
                <w:szCs w:val="24"/>
                <w:lang w:eastAsia="zh-CN"/>
              </w:rPr>
              <w:t>，</w:t>
            </w:r>
            <w:r>
              <w:rPr>
                <w:rFonts w:hint="default" w:ascii="Times New Roman" w:hAnsi="Times New Roman" w:eastAsia="宋体" w:cs="Times New Roman"/>
                <w:kern w:val="2"/>
                <w:sz w:val="24"/>
                <w:szCs w:val="24"/>
                <w:lang w:val="en-US" w:eastAsia="zh-CN"/>
              </w:rPr>
              <w:t>一般工业固体废物暂存场所的建设参照执行</w:t>
            </w:r>
            <w:r>
              <w:rPr>
                <w:rFonts w:hint="default" w:ascii="Times New Roman" w:hAnsi="Times New Roman" w:eastAsia="宋体" w:cs="Times New Roman"/>
                <w:kern w:val="2"/>
                <w:sz w:val="24"/>
                <w:szCs w:val="24"/>
                <w:lang w:eastAsia="zh-CN"/>
              </w:rPr>
              <w:t>《一般工业固体废物贮存和填埋污染控制标准》（GB18599-2020）</w:t>
            </w:r>
            <w:r>
              <w:rPr>
                <w:rFonts w:hint="default" w:ascii="Times New Roman" w:hAnsi="Times New Roman" w:eastAsia="宋体" w:cs="Times New Roman"/>
                <w:color w:val="auto"/>
                <w:kern w:val="2"/>
                <w:sz w:val="24"/>
                <w:szCs w:val="24"/>
                <w:lang w:val="en-US" w:eastAsia="zh-CN"/>
              </w:rPr>
              <w:t>。</w:t>
            </w:r>
            <w:r>
              <w:rPr>
                <w:rFonts w:hint="default" w:ascii="Times New Roman" w:hAnsi="Times New Roman" w:eastAsia="宋体" w:cs="Times New Roman"/>
                <w:color w:val="auto"/>
                <w:kern w:val="2"/>
                <w:sz w:val="24"/>
                <w:szCs w:val="24"/>
                <w:lang w:eastAsia="zh-CN"/>
              </w:rPr>
              <w:t>危险废物贮存库</w:t>
            </w:r>
            <w:r>
              <w:rPr>
                <w:rFonts w:hint="default" w:ascii="Times New Roman" w:hAnsi="Times New Roman" w:eastAsia="宋体" w:cs="Times New Roman"/>
                <w:color w:val="auto"/>
                <w:kern w:val="2"/>
                <w:sz w:val="24"/>
                <w:szCs w:val="24"/>
                <w:lang w:val="en-US" w:eastAsia="zh-CN"/>
              </w:rPr>
              <w:t>建设</w:t>
            </w:r>
            <w:r>
              <w:rPr>
                <w:rFonts w:hint="default" w:ascii="Times New Roman" w:hAnsi="Times New Roman" w:eastAsia="宋体" w:cs="Times New Roman"/>
                <w:color w:val="auto"/>
                <w:kern w:val="2"/>
                <w:sz w:val="24"/>
                <w:szCs w:val="24"/>
              </w:rPr>
              <w:t>执行《危险废物贮存污染控制标准》（GB 18597—2023）</w:t>
            </w:r>
            <w:r>
              <w:rPr>
                <w:rFonts w:hint="default" w:ascii="Times New Roman" w:hAnsi="Times New Roman" w:eastAsia="宋体" w:cs="Times New Roman"/>
                <w:color w:val="auto"/>
                <w:kern w:val="2"/>
                <w:sz w:val="24"/>
                <w:szCs w:val="24"/>
                <w:lang w:val="en-US" w:eastAsia="zh-CN"/>
              </w:rPr>
              <w:t>中相关标准。</w:t>
            </w:r>
          </w:p>
        </w:tc>
      </w:tr>
      <w:tr w14:paraId="38247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513" w:type="dxa"/>
            <w:vAlign w:val="center"/>
          </w:tcPr>
          <w:p w14:paraId="2AFE283E">
            <w:pPr>
              <w:adjustRightInd w:val="0"/>
              <w:snapToGrid w:val="0"/>
              <w:ind w:firstLine="0" w:firstLineChars="0"/>
              <w:jc w:val="center"/>
              <w:rPr>
                <w:rFonts w:ascii="宋体" w:hAnsi="宋体" w:cs="宋体"/>
                <w:color w:val="auto"/>
                <w:kern w:val="0"/>
                <w:szCs w:val="21"/>
              </w:rPr>
            </w:pPr>
            <w:r>
              <w:rPr>
                <w:rFonts w:hint="eastAsia" w:ascii="宋体" w:hAnsi="宋体" w:cs="宋体"/>
                <w:color w:val="auto"/>
                <w:kern w:val="0"/>
                <w:szCs w:val="21"/>
              </w:rPr>
              <w:t>总量控制指标</w:t>
            </w:r>
          </w:p>
        </w:tc>
        <w:tc>
          <w:tcPr>
            <w:tcW w:w="8477" w:type="dxa"/>
            <w:vAlign w:val="center"/>
          </w:tcPr>
          <w:p w14:paraId="63536B5B">
            <w:pPr>
              <w:ind w:firstLine="480"/>
              <w:rPr>
                <w:color w:val="auto"/>
              </w:rPr>
            </w:pPr>
            <w:r>
              <w:rPr>
                <w:color w:val="auto"/>
              </w:rPr>
              <w:t>根据</w:t>
            </w:r>
            <w:r>
              <w:rPr>
                <w:rFonts w:hint="eastAsia"/>
                <w:color w:val="auto"/>
              </w:rPr>
              <w:t>原</w:t>
            </w:r>
            <w:r>
              <w:rPr>
                <w:color w:val="auto"/>
              </w:rPr>
              <w:t>安徽省环保厅</w:t>
            </w:r>
            <w:r>
              <w:rPr>
                <w:rFonts w:hint="eastAsia"/>
                <w:color w:val="auto"/>
              </w:rPr>
              <w:t>发布的文件</w:t>
            </w:r>
            <w:r>
              <w:rPr>
                <w:color w:val="auto"/>
              </w:rPr>
              <w:t>《关于进一步加强建设项目新增大气主要污染物总量指标管理工作的通知》</w:t>
            </w:r>
            <w:r>
              <w:rPr>
                <w:rFonts w:hint="eastAsia"/>
                <w:color w:val="auto"/>
              </w:rPr>
              <w:t>（</w:t>
            </w:r>
            <w:r>
              <w:rPr>
                <w:color w:val="auto"/>
              </w:rPr>
              <w:t>皖环发〔2017〕19号</w:t>
            </w:r>
            <w:r>
              <w:rPr>
                <w:rFonts w:hint="eastAsia"/>
                <w:color w:val="auto"/>
              </w:rPr>
              <w:t>），</w:t>
            </w:r>
            <w:r>
              <w:rPr>
                <w:color w:val="auto"/>
              </w:rPr>
              <w:t>大气主要污染物总量指标实行区域内等量或倍量削减替代。上年度空气质量不达标的城市，相应污染物指标应执行</w:t>
            </w:r>
            <w:r>
              <w:rPr>
                <w:rFonts w:hint="eastAsia"/>
                <w:color w:val="auto"/>
              </w:rPr>
              <w:t>“</w:t>
            </w:r>
            <w:r>
              <w:rPr>
                <w:color w:val="auto"/>
              </w:rPr>
              <w:t>倍量替代</w:t>
            </w:r>
            <w:r>
              <w:rPr>
                <w:rFonts w:hint="eastAsia"/>
                <w:color w:val="auto"/>
              </w:rPr>
              <w:t>”</w:t>
            </w:r>
            <w:r>
              <w:rPr>
                <w:color w:val="auto"/>
              </w:rPr>
              <w:t>。其中，上年度PM</w:t>
            </w:r>
            <w:r>
              <w:rPr>
                <w:color w:val="auto"/>
                <w:vertAlign w:val="subscript"/>
              </w:rPr>
              <w:t>2.5</w:t>
            </w:r>
            <w:r>
              <w:rPr>
                <w:color w:val="auto"/>
              </w:rPr>
              <w:t>不达标的城市，新增SO</w:t>
            </w:r>
            <w:r>
              <w:rPr>
                <w:color w:val="auto"/>
                <w:vertAlign w:val="subscript"/>
              </w:rPr>
              <w:t>2</w:t>
            </w:r>
            <w:r>
              <w:rPr>
                <w:color w:val="auto"/>
              </w:rPr>
              <w:t>、NOx和VOCs指标均要执行</w:t>
            </w:r>
            <w:r>
              <w:rPr>
                <w:rFonts w:hint="eastAsia"/>
                <w:color w:val="auto"/>
              </w:rPr>
              <w:t>“</w:t>
            </w:r>
            <w:r>
              <w:rPr>
                <w:color w:val="auto"/>
              </w:rPr>
              <w:t>倍量替代</w:t>
            </w:r>
            <w:r>
              <w:rPr>
                <w:rFonts w:hint="eastAsia"/>
                <w:color w:val="auto"/>
              </w:rPr>
              <w:t>”</w:t>
            </w:r>
            <w:r>
              <w:rPr>
                <w:color w:val="auto"/>
              </w:rPr>
              <w:t>。上年度PM</w:t>
            </w:r>
            <w:r>
              <w:rPr>
                <w:color w:val="auto"/>
                <w:vertAlign w:val="subscript"/>
              </w:rPr>
              <w:t>10</w:t>
            </w:r>
            <w:r>
              <w:rPr>
                <w:color w:val="auto"/>
              </w:rPr>
              <w:t>不达标的城市，新增烟（粉）尘指标要执行</w:t>
            </w:r>
            <w:r>
              <w:rPr>
                <w:rFonts w:hint="eastAsia"/>
                <w:color w:val="auto"/>
              </w:rPr>
              <w:t>“</w:t>
            </w:r>
            <w:r>
              <w:rPr>
                <w:color w:val="auto"/>
              </w:rPr>
              <w:t>倍量替代</w:t>
            </w:r>
            <w:r>
              <w:rPr>
                <w:rFonts w:hint="eastAsia"/>
                <w:color w:val="auto"/>
              </w:rPr>
              <w:t>”</w:t>
            </w:r>
            <w:r>
              <w:rPr>
                <w:color w:val="auto"/>
              </w:rPr>
              <w:t>。达到超低排放标准的新建火电项目无需执行</w:t>
            </w:r>
            <w:r>
              <w:rPr>
                <w:rFonts w:hint="eastAsia"/>
                <w:color w:val="auto"/>
              </w:rPr>
              <w:t>“</w:t>
            </w:r>
            <w:r>
              <w:rPr>
                <w:color w:val="auto"/>
              </w:rPr>
              <w:t>倍量替代</w:t>
            </w:r>
            <w:r>
              <w:rPr>
                <w:rFonts w:hint="eastAsia"/>
                <w:color w:val="auto"/>
              </w:rPr>
              <w:t>”</w:t>
            </w:r>
            <w:r>
              <w:rPr>
                <w:color w:val="auto"/>
              </w:rPr>
              <w:t>。</w:t>
            </w:r>
          </w:p>
          <w:p w14:paraId="1AD02159">
            <w:pPr>
              <w:ind w:firstLine="480"/>
              <w:rPr>
                <w:color w:val="auto"/>
              </w:rPr>
            </w:pPr>
            <w:r>
              <w:rPr>
                <w:rFonts w:hint="eastAsia"/>
                <w:color w:val="auto"/>
              </w:rPr>
              <w:t>项目所在区域为淮北市，上年度环境空气质量不达标，新增大气污染物指标</w:t>
            </w:r>
            <w:r>
              <w:rPr>
                <w:rFonts w:hint="eastAsia"/>
                <w:color w:val="0000FF"/>
                <w:lang w:val="en-US" w:eastAsia="zh-CN"/>
              </w:rPr>
              <w:t>应执行</w:t>
            </w:r>
            <w:r>
              <w:rPr>
                <w:rFonts w:hint="eastAsia"/>
                <w:color w:val="auto"/>
              </w:rPr>
              <w:t>“倍量替代”。</w:t>
            </w:r>
          </w:p>
          <w:p w14:paraId="5453594C">
            <w:pPr>
              <w:ind w:firstLine="480"/>
              <w:rPr>
                <w:color w:val="auto"/>
              </w:rPr>
            </w:pPr>
            <w:r>
              <w:rPr>
                <w:rFonts w:hint="eastAsia"/>
                <w:color w:val="auto"/>
              </w:rPr>
              <w:t>厂区雨污分流制，经隔油池</w:t>
            </w:r>
            <w:r>
              <w:rPr>
                <w:rFonts w:hint="eastAsia"/>
                <w:color w:val="auto"/>
                <w:lang w:val="en-US" w:eastAsia="zh-CN"/>
              </w:rPr>
              <w:t>（依托现有）</w:t>
            </w:r>
            <w:r>
              <w:rPr>
                <w:rFonts w:hint="eastAsia"/>
                <w:color w:val="auto"/>
              </w:rPr>
              <w:t>处理的食堂废水汇同生活污水经化粪池</w:t>
            </w:r>
            <w:r>
              <w:rPr>
                <w:rFonts w:hint="eastAsia"/>
                <w:color w:val="auto"/>
                <w:lang w:val="en-US" w:eastAsia="zh-CN"/>
              </w:rPr>
              <w:t>（依托现有）</w:t>
            </w:r>
            <w:r>
              <w:rPr>
                <w:rFonts w:hint="eastAsia"/>
                <w:color w:val="auto"/>
              </w:rPr>
              <w:t>处理后，吸粪车定期抽运；车辆冲洗废水、道路冲洗废水</w:t>
            </w:r>
            <w:r>
              <w:rPr>
                <w:rFonts w:hint="eastAsia"/>
                <w:color w:val="auto"/>
                <w:lang w:eastAsia="zh-CN"/>
              </w:rPr>
              <w:t>、</w:t>
            </w:r>
            <w:r>
              <w:rPr>
                <w:rFonts w:hint="eastAsia"/>
                <w:color w:val="auto"/>
                <w:lang w:val="en-US" w:eastAsia="zh-CN"/>
              </w:rPr>
              <w:t>设备冲洗废水</w:t>
            </w:r>
            <w:r>
              <w:rPr>
                <w:rFonts w:hint="eastAsia"/>
                <w:color w:val="auto"/>
              </w:rPr>
              <w:t>经二级沉淀池</w:t>
            </w:r>
            <w:r>
              <w:rPr>
                <w:rFonts w:hint="eastAsia"/>
                <w:color w:val="auto"/>
                <w:lang w:val="en-US" w:eastAsia="zh-CN"/>
              </w:rPr>
              <w:t>（依托现有）</w:t>
            </w:r>
            <w:r>
              <w:rPr>
                <w:rFonts w:hint="eastAsia"/>
                <w:color w:val="auto"/>
              </w:rPr>
              <w:t>处理后循环使用，不外排。因此，本项目水污染物总量，</w:t>
            </w:r>
            <w:r>
              <w:rPr>
                <w:color w:val="auto"/>
              </w:rPr>
              <w:t>无需申请总量控制指标。</w:t>
            </w:r>
          </w:p>
          <w:p w14:paraId="0AEC8B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Cs w:val="21"/>
              </w:rPr>
            </w:pPr>
            <w:r>
              <w:rPr>
                <w:rFonts w:hint="eastAsia" w:cs="Times New Roman"/>
                <w:color w:val="auto"/>
                <w:szCs w:val="21"/>
                <w:lang w:val="en-US" w:eastAsia="zh-CN"/>
              </w:rPr>
              <w:t>厂区产尘点采取安装喷淋装置后</w:t>
            </w:r>
            <w:r>
              <w:rPr>
                <w:rFonts w:hint="default" w:ascii="Times New Roman" w:hAnsi="Times New Roman" w:cs="Times New Roman"/>
                <w:color w:val="auto"/>
                <w:szCs w:val="21"/>
              </w:rPr>
              <w:t>，项目</w:t>
            </w:r>
            <w:r>
              <w:rPr>
                <w:rFonts w:hint="eastAsia" w:cs="Times New Roman"/>
                <w:color w:val="auto"/>
                <w:szCs w:val="21"/>
                <w:lang w:val="en-US" w:eastAsia="zh-CN"/>
              </w:rPr>
              <w:t>有组织</w:t>
            </w:r>
            <w:r>
              <w:rPr>
                <w:rFonts w:hint="default" w:ascii="Times New Roman" w:hAnsi="Times New Roman" w:cs="Times New Roman"/>
                <w:color w:val="auto"/>
                <w:szCs w:val="21"/>
              </w:rPr>
              <w:t>颗粒物总排放量减少了</w:t>
            </w:r>
            <w:r>
              <w:rPr>
                <w:rFonts w:hint="eastAsia" w:cs="Times New Roman"/>
                <w:color w:val="auto"/>
                <w:szCs w:val="21"/>
                <w:lang w:val="en-US" w:eastAsia="zh-CN"/>
              </w:rPr>
              <w:t>0.1922</w:t>
            </w:r>
            <w:r>
              <w:rPr>
                <w:rFonts w:hint="default" w:ascii="Times New Roman" w:hAnsi="Times New Roman" w:cs="Times New Roman"/>
                <w:color w:val="auto"/>
                <w:szCs w:val="21"/>
              </w:rPr>
              <w:t>t</w:t>
            </w:r>
            <w:r>
              <w:rPr>
                <w:rFonts w:hint="eastAsia" w:cs="Times New Roman"/>
                <w:color w:val="auto"/>
                <w:szCs w:val="21"/>
                <w:lang w:val="en-US" w:eastAsia="zh-CN"/>
              </w:rPr>
              <w:t>/</w:t>
            </w:r>
            <w:r>
              <w:rPr>
                <w:rFonts w:hint="default" w:ascii="Times New Roman" w:hAnsi="Times New Roman" w:cs="Times New Roman"/>
                <w:color w:val="auto"/>
                <w:szCs w:val="21"/>
              </w:rPr>
              <w:t>a，在一定程度上减少了项目所在地的大气污染负荷</w:t>
            </w:r>
            <w:r>
              <w:rPr>
                <w:rFonts w:hint="eastAsia" w:cs="Times New Roman"/>
                <w:color w:val="auto"/>
                <w:szCs w:val="21"/>
                <w:lang w:val="en-US" w:eastAsia="zh-CN"/>
              </w:rPr>
              <w:t>，</w:t>
            </w:r>
            <w:r>
              <w:rPr>
                <w:rFonts w:hint="default" w:ascii="Times New Roman" w:hAnsi="Times New Roman" w:cs="Times New Roman"/>
                <w:color w:val="auto"/>
                <w:szCs w:val="21"/>
              </w:rPr>
              <w:t>为环境正效益</w:t>
            </w:r>
            <w:r>
              <w:rPr>
                <w:rFonts w:hint="eastAsia" w:cs="Times New Roman"/>
                <w:color w:val="auto"/>
                <w:szCs w:val="21"/>
                <w:lang w:eastAsia="zh-CN"/>
              </w:rPr>
              <w:t>，</w:t>
            </w:r>
            <w:r>
              <w:rPr>
                <w:rFonts w:hint="eastAsia" w:cs="Times New Roman"/>
                <w:color w:val="auto"/>
                <w:szCs w:val="21"/>
                <w:lang w:val="en-US" w:eastAsia="zh-CN"/>
              </w:rPr>
              <w:t>且扩建后全厂污染物排放量能满足现有总量控制指标</w:t>
            </w:r>
            <w:r>
              <w:rPr>
                <w:rFonts w:hint="default" w:ascii="Times New Roman" w:hAnsi="Times New Roman" w:cs="Times New Roman"/>
                <w:color w:val="auto"/>
                <w:szCs w:val="21"/>
              </w:rPr>
              <w:t>。</w:t>
            </w:r>
          </w:p>
          <w:p w14:paraId="40EFEF32">
            <w:pPr>
              <w:adjustRightInd w:val="0"/>
              <w:snapToGrid w:val="0"/>
              <w:ind w:firstLine="0" w:firstLineChars="0"/>
              <w:rPr>
                <w:rFonts w:hint="eastAsia" w:ascii="宋体" w:hAnsi="宋体" w:cs="宋体"/>
                <w:color w:val="auto"/>
                <w:kern w:val="0"/>
                <w:szCs w:val="21"/>
                <w:lang w:val="en-US" w:eastAsia="zh-CN"/>
              </w:rPr>
            </w:pPr>
          </w:p>
          <w:p w14:paraId="04C5EB63">
            <w:pPr>
              <w:adjustRightInd w:val="0"/>
              <w:snapToGrid w:val="0"/>
              <w:ind w:firstLine="0" w:firstLineChars="0"/>
              <w:rPr>
                <w:rFonts w:hint="eastAsia" w:ascii="宋体" w:hAnsi="宋体" w:cs="宋体"/>
                <w:color w:val="auto"/>
                <w:kern w:val="0"/>
                <w:szCs w:val="21"/>
                <w:lang w:val="en-US" w:eastAsia="zh-CN"/>
              </w:rPr>
            </w:pPr>
          </w:p>
          <w:p w14:paraId="35EF53AF">
            <w:pPr>
              <w:adjustRightInd w:val="0"/>
              <w:snapToGrid w:val="0"/>
              <w:ind w:firstLine="0" w:firstLineChars="0"/>
              <w:rPr>
                <w:rFonts w:hint="default" w:ascii="宋体" w:hAnsi="宋体" w:eastAsia="宋体" w:cs="宋体"/>
                <w:color w:val="auto"/>
                <w:kern w:val="0"/>
                <w:szCs w:val="21"/>
                <w:lang w:val="en-US" w:eastAsia="zh-CN"/>
              </w:rPr>
            </w:pPr>
          </w:p>
        </w:tc>
      </w:tr>
    </w:tbl>
    <w:p w14:paraId="6ADD7727">
      <w:pPr>
        <w:pStyle w:val="23"/>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26"/>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1"/>
        <w:gridCol w:w="8427"/>
      </w:tblGrid>
      <w:tr w14:paraId="3D10B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81" w:type="dxa"/>
            <w:tcMar>
              <w:left w:w="28" w:type="dxa"/>
              <w:right w:w="28" w:type="dxa"/>
            </w:tcMar>
            <w:vAlign w:val="center"/>
          </w:tcPr>
          <w:p w14:paraId="4E952FD4">
            <w:pPr>
              <w:ind w:firstLine="0" w:firstLineChars="0"/>
              <w:jc w:val="center"/>
              <w:rPr>
                <w:rFonts w:cs="宋体"/>
                <w:bCs/>
                <w:color w:val="auto"/>
                <w:szCs w:val="21"/>
              </w:rPr>
            </w:pPr>
            <w:r>
              <w:rPr>
                <w:rFonts w:hint="eastAsia"/>
                <w:color w:val="auto"/>
              </w:rPr>
              <w:t>施工期环境保护措施</w:t>
            </w:r>
          </w:p>
        </w:tc>
        <w:tc>
          <w:tcPr>
            <w:tcW w:w="8427" w:type="dxa"/>
            <w:vAlign w:val="center"/>
          </w:tcPr>
          <w:p w14:paraId="45BCC292">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b/>
                <w:bCs/>
                <w:color w:val="auto"/>
                <w:sz w:val="24"/>
                <w:szCs w:val="24"/>
              </w:rPr>
            </w:pPr>
            <w:bookmarkStart w:id="6" w:name="_Toc140027321"/>
            <w:bookmarkStart w:id="7" w:name="_Toc140027472"/>
            <w:r>
              <w:rPr>
                <w:rFonts w:hint="eastAsia" w:cs="宋体"/>
                <w:b/>
                <w:bCs/>
                <w:color w:val="auto"/>
                <w:sz w:val="24"/>
                <w:szCs w:val="24"/>
              </w:rPr>
              <w:t>施工期环境影响</w:t>
            </w:r>
            <w:r>
              <w:rPr>
                <w:rFonts w:hint="eastAsia" w:cs="宋体"/>
                <w:b/>
                <w:bCs/>
                <w:color w:val="auto"/>
                <w:sz w:val="24"/>
                <w:szCs w:val="24"/>
                <w:lang w:val="en-US" w:eastAsia="zh-CN"/>
              </w:rPr>
              <w:t>措施</w:t>
            </w:r>
            <w:r>
              <w:rPr>
                <w:rFonts w:hint="eastAsia" w:cs="宋体"/>
                <w:b/>
                <w:bCs/>
                <w:color w:val="auto"/>
                <w:sz w:val="24"/>
                <w:szCs w:val="24"/>
              </w:rPr>
              <w:t>：</w:t>
            </w:r>
          </w:p>
          <w:p w14:paraId="26C318E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color w:val="auto"/>
                <w:sz w:val="24"/>
                <w:szCs w:val="24"/>
              </w:rPr>
            </w:pPr>
            <w:r>
              <w:rPr>
                <w:rFonts w:hint="eastAsia" w:cs="宋体"/>
                <w:color w:val="auto"/>
                <w:sz w:val="24"/>
                <w:szCs w:val="24"/>
              </w:rPr>
              <w:t>根据建设项目概况的介绍分析可知，该项目在建设期及建成后对周围环境产生直接影响的污染因子有：生活污水、噪声、</w:t>
            </w:r>
            <w:r>
              <w:rPr>
                <w:rFonts w:hint="eastAsia" w:cs="宋体"/>
                <w:color w:val="auto"/>
                <w:sz w:val="24"/>
                <w:szCs w:val="24"/>
                <w:lang w:val="en-US" w:eastAsia="zh-CN"/>
              </w:rPr>
              <w:t>粉尘及非甲烷总烃</w:t>
            </w:r>
            <w:r>
              <w:rPr>
                <w:rFonts w:hint="eastAsia" w:cs="宋体"/>
                <w:color w:val="auto"/>
                <w:sz w:val="24"/>
                <w:szCs w:val="24"/>
              </w:rPr>
              <w:t>、建筑垃圾、生活垃圾等。</w:t>
            </w:r>
          </w:p>
          <w:bookmarkEnd w:id="6"/>
          <w:bookmarkEnd w:id="7"/>
          <w:p w14:paraId="57A034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1</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rPr>
              <w:t>大气环境影响措施</w:t>
            </w:r>
          </w:p>
          <w:p w14:paraId="4D8E84D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施工期大气污染物主要为粉尘，粉尘主要产生在施工期间土石方和建筑材料的运输引起的交通道路扬尘，建筑施工产生的扬尘量与天气、温度、风速、施工队文明程度和管理水平等因素有关。尤其是干燥无雨的有风天气，扬尘对大气的污染较为严重，主要是增加大气的TSP。</w:t>
            </w:r>
          </w:p>
          <w:p w14:paraId="3D270BFC">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装修过程中会产生车辆运输扬尘、装修粉尘及非甲烷总烃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废气污染物</w:t>
            </w:r>
            <w:r>
              <w:rPr>
                <w:rFonts w:hint="default" w:ascii="Times New Roman" w:hAnsi="Times New Roman" w:eastAsia="宋体" w:cs="Times New Roman"/>
                <w:color w:val="auto"/>
                <w:sz w:val="24"/>
                <w:szCs w:val="24"/>
              </w:rPr>
              <w:t>只要合理规划、科学管理，切实按照规定执行，不会明显影响场地周围的环境空气质量，而且随着施工活动的结束，这些污染也将消失。</w:t>
            </w:r>
          </w:p>
          <w:p w14:paraId="762102E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488" w:firstLineChars="200"/>
              <w:textAlignment w:val="auto"/>
              <w:rPr>
                <w:rFonts w:hint="default" w:ascii="Times New Roman" w:hAnsi="Times New Roman" w:cs="Times New Roman"/>
                <w:color w:val="auto"/>
                <w:spacing w:val="2"/>
                <w:sz w:val="24"/>
                <w:lang w:val="en-US" w:eastAsia="zh-CN"/>
              </w:rPr>
            </w:pPr>
            <w:r>
              <w:rPr>
                <w:rFonts w:hint="default" w:ascii="Times New Roman" w:hAnsi="Times New Roman" w:cs="Times New Roman"/>
                <w:color w:val="auto"/>
                <w:spacing w:val="2"/>
                <w:sz w:val="24"/>
                <w:lang w:val="en-US" w:eastAsia="zh-CN"/>
              </w:rPr>
              <w:t>本项目施工过程中产生的废气可能会对周边</w:t>
            </w:r>
            <w:r>
              <w:rPr>
                <w:rFonts w:hint="eastAsia" w:ascii="Times New Roman" w:hAnsi="Times New Roman" w:cs="Times New Roman"/>
                <w:color w:val="auto"/>
                <w:spacing w:val="2"/>
                <w:sz w:val="24"/>
                <w:lang w:val="en-US" w:eastAsia="zh-CN"/>
              </w:rPr>
              <w:t>环境</w:t>
            </w:r>
            <w:r>
              <w:rPr>
                <w:rFonts w:hint="default" w:ascii="Times New Roman" w:hAnsi="Times New Roman" w:cs="Times New Roman"/>
                <w:color w:val="auto"/>
                <w:spacing w:val="2"/>
                <w:sz w:val="24"/>
                <w:lang w:val="en-US" w:eastAsia="zh-CN"/>
              </w:rPr>
              <w:t>产生一定的影响，因此本环评对建设单位及施工单位提出以下要求：</w:t>
            </w:r>
          </w:p>
          <w:p w14:paraId="35D1758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szCs w:val="24"/>
                <w:lang w:eastAsia="zh-CN"/>
              </w:rPr>
            </w:pPr>
            <w:bookmarkStart w:id="8" w:name="_Toc140027473"/>
            <w:bookmarkStart w:id="9" w:name="_Toc140027322"/>
            <w:r>
              <w:rPr>
                <w:rFonts w:hint="default" w:ascii="Times New Roman" w:hAnsi="Times New Roman" w:cs="Times New Roman"/>
                <w:b w:val="0"/>
                <w:bCs/>
                <w:color w:val="auto"/>
                <w:sz w:val="24"/>
                <w:szCs w:val="24"/>
                <w:lang w:eastAsia="zh-CN"/>
              </w:rPr>
              <w:t>① 建设单位是建筑工程施工扬尘污染防治的责任人，明确扬尘污染防治责任并监督落实；将扬尘污染防治费用列入工程安全文明施工措施费，作为不可竞争费用列入工程成本，并在开工前及时足额支付给施工单位。</w:t>
            </w:r>
          </w:p>
          <w:p w14:paraId="2B56A76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szCs w:val="24"/>
                <w:lang w:eastAsia="zh-CN"/>
              </w:rPr>
            </w:pPr>
            <w:r>
              <w:rPr>
                <w:rFonts w:hint="default" w:ascii="Times New Roman" w:hAnsi="Times New Roman" w:cs="Times New Roman"/>
                <w:b w:val="0"/>
                <w:bCs/>
                <w:color w:val="auto"/>
                <w:sz w:val="24"/>
                <w:szCs w:val="24"/>
                <w:lang w:eastAsia="zh-CN"/>
              </w:rPr>
              <w:t>②施工现场实行围挡封闭。主要路段施工现场围挡高度不得低于2.5</w:t>
            </w:r>
            <w:r>
              <w:rPr>
                <w:rFonts w:hint="default" w:ascii="Times New Roman" w:hAnsi="Times New Roman" w:cs="Times New Roman"/>
                <w:b w:val="0"/>
                <w:bCs/>
                <w:color w:val="auto"/>
                <w:sz w:val="24"/>
                <w:szCs w:val="24"/>
                <w:lang w:val="en-US" w:eastAsia="zh-CN"/>
              </w:rPr>
              <w:t>m</w:t>
            </w:r>
            <w:r>
              <w:rPr>
                <w:rFonts w:hint="default" w:ascii="Times New Roman" w:hAnsi="Times New Roman" w:cs="Times New Roman"/>
                <w:b w:val="0"/>
                <w:bCs/>
                <w:color w:val="auto"/>
                <w:sz w:val="24"/>
                <w:szCs w:val="24"/>
                <w:lang w:eastAsia="zh-CN"/>
              </w:rPr>
              <w:t>，一般施工现场围挡高度不得低于1.8</w:t>
            </w:r>
            <w:r>
              <w:rPr>
                <w:rFonts w:hint="default" w:ascii="Times New Roman" w:hAnsi="Times New Roman" w:cs="Times New Roman"/>
                <w:b w:val="0"/>
                <w:bCs/>
                <w:color w:val="auto"/>
                <w:sz w:val="24"/>
                <w:szCs w:val="24"/>
                <w:lang w:val="en-US" w:eastAsia="zh-CN"/>
              </w:rPr>
              <w:t>m</w:t>
            </w:r>
            <w:r>
              <w:rPr>
                <w:rFonts w:hint="default" w:ascii="Times New Roman" w:hAnsi="Times New Roman" w:cs="Times New Roman"/>
                <w:b w:val="0"/>
                <w:bCs/>
                <w:color w:val="auto"/>
                <w:sz w:val="24"/>
                <w:szCs w:val="24"/>
                <w:lang w:eastAsia="zh-CN"/>
              </w:rPr>
              <w:t>。</w:t>
            </w:r>
          </w:p>
          <w:p w14:paraId="2B988DC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szCs w:val="24"/>
                <w:lang w:eastAsia="zh-CN"/>
              </w:rPr>
            </w:pPr>
            <w:r>
              <w:rPr>
                <w:rFonts w:hint="default" w:ascii="Times New Roman" w:hAnsi="Times New Roman" w:cs="Times New Roman"/>
                <w:b w:val="0"/>
                <w:bCs/>
                <w:color w:val="auto"/>
                <w:sz w:val="24"/>
                <w:szCs w:val="24"/>
                <w:lang w:eastAsia="zh-CN"/>
              </w:rPr>
              <w:t>③施工现场出入口道路实施混凝土硬化并配备车辆冲洗设施。对驶出施工现场的机动车辆冲洗干净，方可上路。</w:t>
            </w:r>
          </w:p>
          <w:p w14:paraId="1539BE7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szCs w:val="24"/>
                <w:lang w:eastAsia="zh-CN"/>
              </w:rPr>
            </w:pPr>
            <w:r>
              <w:rPr>
                <w:rFonts w:hint="default" w:ascii="Times New Roman" w:hAnsi="Times New Roman" w:cs="Times New Roman"/>
                <w:b w:val="0"/>
                <w:bCs/>
                <w:color w:val="auto"/>
                <w:sz w:val="24"/>
                <w:szCs w:val="24"/>
                <w:lang w:eastAsia="zh-CN"/>
              </w:rPr>
              <w:t>④施工现场内道路、加工区实施混凝土硬化。硬化后的地面，不得有浮土、积土，裸露场地应当采取覆盖或绿化措施。</w:t>
            </w:r>
          </w:p>
          <w:p w14:paraId="46CC3C2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szCs w:val="24"/>
                <w:lang w:eastAsia="zh-CN"/>
              </w:rPr>
            </w:pPr>
            <w:r>
              <w:rPr>
                <w:rFonts w:hint="default" w:ascii="Times New Roman" w:hAnsi="Times New Roman" w:cs="Times New Roman"/>
                <w:b w:val="0"/>
                <w:bCs/>
                <w:color w:val="auto"/>
                <w:sz w:val="24"/>
                <w:szCs w:val="24"/>
                <w:lang w:eastAsia="zh-CN"/>
              </w:rPr>
              <w:t>⑤施工现场设置洒水降尘设施，安排专人定时洒水降尘。</w:t>
            </w:r>
          </w:p>
          <w:p w14:paraId="085F98B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szCs w:val="24"/>
                <w:lang w:eastAsia="zh-CN"/>
              </w:rPr>
            </w:pPr>
            <w:r>
              <w:rPr>
                <w:rFonts w:hint="default" w:ascii="Times New Roman" w:hAnsi="Times New Roman" w:cs="Times New Roman"/>
                <w:b w:val="0"/>
                <w:bCs/>
                <w:color w:val="auto"/>
                <w:sz w:val="24"/>
                <w:szCs w:val="24"/>
                <w:lang w:eastAsia="zh-CN"/>
              </w:rPr>
              <w:t>⑥渣土等建筑垃圾集中、分类堆放，严密遮盖，采用封闭式或装袋清运，严禁高处抛洒。需要运输、处理的，按照市、县（区）政府市容环境卫生行政主管部门规定的时间、线路和要求，清运到指定的场所处理。</w:t>
            </w:r>
          </w:p>
          <w:p w14:paraId="1F26108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szCs w:val="24"/>
                <w:lang w:eastAsia="zh-CN"/>
              </w:rPr>
            </w:pPr>
            <w:r>
              <w:rPr>
                <w:rFonts w:hint="default" w:ascii="Times New Roman" w:hAnsi="Times New Roman" w:cs="Times New Roman"/>
                <w:b w:val="0"/>
                <w:bCs/>
                <w:color w:val="auto"/>
                <w:sz w:val="24"/>
                <w:szCs w:val="24"/>
                <w:lang w:eastAsia="zh-CN"/>
              </w:rPr>
              <w:t>⑦施工现场禁止焚烧沥青、油毡、橡胶、塑料、皮革、垃圾以及其他产生有毒有害烟尘和恶臭气体的物质。</w:t>
            </w:r>
          </w:p>
          <w:p w14:paraId="14C6905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szCs w:val="24"/>
                <w:lang w:eastAsia="zh-CN"/>
              </w:rPr>
            </w:pPr>
            <w:r>
              <w:rPr>
                <w:rFonts w:hint="default" w:ascii="Times New Roman" w:hAnsi="Times New Roman" w:cs="Times New Roman"/>
                <w:b w:val="0"/>
                <w:bCs/>
                <w:color w:val="auto"/>
                <w:sz w:val="24"/>
                <w:szCs w:val="24"/>
                <w:lang w:eastAsia="zh-CN"/>
              </w:rPr>
              <w:t>⑧施工现场使用商品混凝土和预拌砂浆，搅拌混凝土和砂浆采取封闭、降尘措施。</w:t>
            </w:r>
          </w:p>
          <w:p w14:paraId="5D550C4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szCs w:val="24"/>
                <w:lang w:eastAsia="zh-CN"/>
              </w:rPr>
            </w:pPr>
            <w:r>
              <w:rPr>
                <w:rFonts w:hint="default" w:ascii="Times New Roman" w:hAnsi="Times New Roman" w:cs="Times New Roman"/>
                <w:b w:val="0"/>
                <w:bCs/>
                <w:color w:val="auto"/>
                <w:sz w:val="24"/>
                <w:szCs w:val="24"/>
                <w:lang w:eastAsia="zh-CN"/>
              </w:rPr>
              <w:t>⑨运进或运出工地的土方、砂石、建筑垃圾等易产生扬尘的材料，应采取封闭运输。</w:t>
            </w:r>
          </w:p>
          <w:p w14:paraId="66670E7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szCs w:val="24"/>
                <w:lang w:eastAsia="zh-CN"/>
              </w:rPr>
            </w:pPr>
            <w:r>
              <w:rPr>
                <w:rFonts w:hint="default" w:ascii="Times New Roman" w:hAnsi="Times New Roman" w:cs="Times New Roman"/>
                <w:b w:val="0"/>
                <w:bCs/>
                <w:color w:val="auto"/>
                <w:sz w:val="24"/>
                <w:szCs w:val="24"/>
                <w:lang w:eastAsia="zh-CN"/>
              </w:rPr>
              <w:t>⑩根据《安徽省重污染天气应急预案》启动Ⅲ级（黄色）预警以上或气象预报风速达到五级以上时，不得进行土方挖填和转运、拆除、道路路面鼓风机吹灰等易产生扬尘的作业。</w:t>
            </w:r>
          </w:p>
          <w:p w14:paraId="0AAACB4D">
            <w:pPr>
              <w:keepNext w:val="0"/>
              <w:keepLines w:val="0"/>
              <w:suppressLineNumbers w:val="0"/>
              <w:spacing w:before="0" w:beforeAutospacing="0" w:after="0" w:afterAutospacing="0" w:line="360" w:lineRule="auto"/>
              <w:ind w:left="0" w:right="0"/>
              <w:rPr>
                <w:rFonts w:hint="eastAsia" w:eastAsia="宋体"/>
                <w:b/>
                <w:bCs/>
                <w:color w:val="auto"/>
                <w:sz w:val="24"/>
                <w:szCs w:val="24"/>
                <w:lang w:eastAsia="zh-CN"/>
              </w:rPr>
            </w:pPr>
            <w:r>
              <w:rPr>
                <w:rFonts w:hint="eastAsia" w:cs="宋体"/>
                <w:b/>
                <w:bCs/>
                <w:color w:val="auto"/>
                <w:sz w:val="24"/>
                <w:szCs w:val="24"/>
              </w:rPr>
              <w:t>建筑工地扬尘污染</w:t>
            </w:r>
            <w:r>
              <w:rPr>
                <w:rFonts w:hint="eastAsia" w:cs="宋体"/>
                <w:b/>
                <w:bCs/>
                <w:color w:val="auto"/>
                <w:sz w:val="24"/>
                <w:szCs w:val="24"/>
                <w:lang w:eastAsia="zh-CN"/>
              </w:rPr>
              <w:t>“</w:t>
            </w:r>
            <w:r>
              <w:rPr>
                <w:rFonts w:hint="eastAsia" w:cs="宋体"/>
                <w:b/>
                <w:bCs/>
                <w:color w:val="auto"/>
                <w:sz w:val="24"/>
                <w:szCs w:val="24"/>
              </w:rPr>
              <w:t>六个百分百</w:t>
            </w:r>
            <w:r>
              <w:rPr>
                <w:rFonts w:hint="eastAsia" w:cs="宋体"/>
                <w:b/>
                <w:bCs/>
                <w:color w:val="auto"/>
                <w:sz w:val="24"/>
                <w:szCs w:val="24"/>
                <w:lang w:eastAsia="zh-CN"/>
              </w:rPr>
              <w:t>”</w:t>
            </w:r>
          </w:p>
          <w:p w14:paraId="12C2CE7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根据当前对建筑施工现场扬尘治理的要求，施工现场须做到以下方面：</w:t>
            </w:r>
          </w:p>
          <w:p w14:paraId="65AA05B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工地周边100%围挡</w:t>
            </w:r>
          </w:p>
          <w:p w14:paraId="75C3A4A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施工现场硬质围挡应连续设置，城区主要路段工地围挡高度不低于2.5m，一般路段的工地不低于1.8m，做到坚固、平稳、整洁、美观。在建工程外立面应用安全网实现全封闭围护。</w:t>
            </w:r>
          </w:p>
          <w:p w14:paraId="2ECC020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物料堆放100%覆盖</w:t>
            </w:r>
          </w:p>
          <w:p w14:paraId="015B057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易产生扬尘的建筑材料、渣土应采取密闭搬运、存储或采用防尘布苫盖等防尘措施。严禁熔融沥青、焚烧垃圾等有毒有害物质，禁止无牌无证车辆进入施工现场。</w:t>
            </w:r>
          </w:p>
          <w:p w14:paraId="416C842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出入车辆100%冲洗</w:t>
            </w:r>
          </w:p>
          <w:p w14:paraId="07B65A0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施工现场出入口处设置自动车辆冲洗装置和沉淀池，运输车辆底盘和车轮冲洗干净后方可驶离施工现场。</w:t>
            </w:r>
          </w:p>
          <w:p w14:paraId="7028C37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施工现场地面100%硬化</w:t>
            </w:r>
          </w:p>
          <w:p w14:paraId="1FCB530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主要通道、进出道路、材料加工区及办公生活区地面进行硬化处理。</w:t>
            </w:r>
          </w:p>
          <w:p w14:paraId="07C86A6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拆迁工地100%湿法作业</w:t>
            </w:r>
          </w:p>
          <w:p w14:paraId="526B1AD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现场设专人负责卫生保洁，每天上午、下午各进行二次洒水降尘，遇到干旱和大风天气时，应增加洒水降尘次数，确保无浮土扬尘。开挖、回填等土方作业时，要辅以洒水压尘等措施。工程竣工后，施工现场的临设、围挡、垃圾等必须及时清理完毕，清理时必须采取有效的降尘措施。</w:t>
            </w:r>
          </w:p>
          <w:p w14:paraId="72C5FE2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渣土车辆100%密闭运输</w:t>
            </w:r>
          </w:p>
          <w:p w14:paraId="1CB9E99C">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施工现场内裸露的场地和集中堆放的土方应采取覆盖、固化或绿化等防尘措施。易产生扬尘的物料要篷盖。</w:t>
            </w:r>
          </w:p>
          <w:p w14:paraId="4640829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采用上述防治措施后，拟建项目施工期</w:t>
            </w:r>
            <w:r>
              <w:rPr>
                <w:rFonts w:hint="default" w:ascii="Times New Roman" w:hAnsi="Times New Roman" w:cs="Times New Roman"/>
                <w:bCs/>
                <w:color w:val="auto"/>
                <w:sz w:val="24"/>
                <w:szCs w:val="24"/>
                <w:lang w:val="en-US" w:eastAsia="zh-CN"/>
              </w:rPr>
              <w:t>废气</w:t>
            </w:r>
            <w:r>
              <w:rPr>
                <w:rFonts w:hint="default" w:ascii="Times New Roman" w:hAnsi="Times New Roman" w:cs="Times New Roman"/>
                <w:bCs/>
                <w:color w:val="auto"/>
                <w:sz w:val="24"/>
                <w:szCs w:val="24"/>
              </w:rPr>
              <w:t>对周边环境的影响将有效减小。</w:t>
            </w:r>
          </w:p>
          <w:p w14:paraId="155EB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2</w:t>
            </w:r>
            <w:r>
              <w:rPr>
                <w:rFonts w:hint="eastAsia" w:ascii="Times New Roman" w:hAnsi="Times New Roman" w:cs="Times New Roman"/>
                <w:b/>
                <w:bCs/>
                <w:color w:val="auto"/>
                <w:sz w:val="24"/>
                <w:szCs w:val="24"/>
                <w:lang w:val="en-US" w:eastAsia="zh-CN"/>
              </w:rPr>
              <w:t>、</w:t>
            </w:r>
            <w:r>
              <w:rPr>
                <w:rFonts w:hint="default" w:ascii="Times New Roman" w:hAnsi="Times New Roman" w:cs="Times New Roman"/>
                <w:b/>
                <w:bCs/>
                <w:color w:val="auto"/>
                <w:sz w:val="24"/>
                <w:szCs w:val="24"/>
              </w:rPr>
              <w:t>水环境影响措施</w:t>
            </w:r>
          </w:p>
          <w:p w14:paraId="3B5C6C3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施工阶段对周围水环境产生影响的因素主要来自于施工人员的生活污水、混凝土保养水、地面冲洗水及设备清洗水，其中以生活污水中的污染物数量最高</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施工过程中桩基作业施工时还将产生部分泥浆废水，产生量与地下水位及施工方式不同而不同，建议将这些泥浆废水经临时沉淀池沉淀后回用于场地内洒水降尘，不外排。</w:t>
            </w:r>
          </w:p>
          <w:p w14:paraId="6FA81EF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由于施工现场人员数量受到施工内容、施工季节、施工机械等多种因素影响，变化较大。本项目施工人员产生的生活污水中主要污染物为COD、SS、NH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-N，通过类比进行估算，废水中主要污染物浓度为：COD200～300mg/L、BOD</w:t>
            </w:r>
            <w:r>
              <w:rPr>
                <w:rFonts w:hint="default" w:ascii="Times New Roman" w:hAnsi="Times New Roman" w:cs="Times New Roman"/>
                <w:color w:val="auto"/>
                <w:sz w:val="24"/>
                <w:vertAlign w:val="subscript"/>
              </w:rPr>
              <w:t>5</w:t>
            </w:r>
            <w:r>
              <w:rPr>
                <w:rFonts w:hint="default" w:ascii="Times New Roman" w:hAnsi="Times New Roman" w:cs="Times New Roman"/>
                <w:color w:val="auto"/>
                <w:sz w:val="24"/>
              </w:rPr>
              <w:t>100～150mg/L、SS100～200mg/L。施工期生活</w:t>
            </w:r>
            <w:r>
              <w:rPr>
                <w:rFonts w:hint="eastAsia" w:cs="Times New Roman"/>
                <w:color w:val="auto"/>
                <w:sz w:val="24"/>
                <w:lang w:val="en-US" w:eastAsia="zh-CN"/>
              </w:rPr>
              <w:t>污水</w:t>
            </w:r>
            <w:r>
              <w:rPr>
                <w:rFonts w:hint="default" w:ascii="Times New Roman" w:hAnsi="Times New Roman" w:cs="Times New Roman"/>
                <w:color w:val="auto"/>
                <w:sz w:val="24"/>
              </w:rPr>
              <w:t>如果不经处理而直接排放，将会对项目拟建区域的环境产生一定的不利影响。经化粪池处理后</w:t>
            </w:r>
            <w:r>
              <w:rPr>
                <w:rFonts w:hint="eastAsia" w:cs="Times New Roman"/>
                <w:color w:val="auto"/>
                <w:sz w:val="24"/>
                <w:lang w:val="en-US" w:eastAsia="zh-CN"/>
              </w:rPr>
              <w:t>吸粪车定期清运</w:t>
            </w:r>
            <w:r>
              <w:rPr>
                <w:rFonts w:hint="default" w:ascii="Times New Roman" w:hAnsi="Times New Roman" w:cs="Times New Roman"/>
                <w:color w:val="auto"/>
                <w:sz w:val="24"/>
              </w:rPr>
              <w:t>。</w:t>
            </w:r>
          </w:p>
          <w:p w14:paraId="25F913F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施工期间的混凝土保养水、地面冲洗水和设备冲洗水，其排水量视其工程的规模大小和工程的进度以及天气状况有所差别，施工期间产生的此类废水禁止外排，必须经过自然沉淀或者加药沉淀处理后回用。</w:t>
            </w:r>
          </w:p>
          <w:p w14:paraId="7391256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施工期间所产生的废水经过以上措施后对周围水环境基本无影响。</w:t>
            </w:r>
          </w:p>
          <w:p w14:paraId="7E8AF3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3</w:t>
            </w:r>
            <w:r>
              <w:rPr>
                <w:rFonts w:hint="eastAsia" w:ascii="Times New Roman" w:hAnsi="Times New Roman" w:cs="Times New Roman"/>
                <w:b/>
                <w:bCs/>
                <w:color w:val="auto"/>
                <w:sz w:val="24"/>
                <w:lang w:eastAsia="zh-CN"/>
              </w:rPr>
              <w:t>、</w:t>
            </w:r>
            <w:r>
              <w:rPr>
                <w:rFonts w:hint="default" w:ascii="Times New Roman" w:hAnsi="Times New Roman" w:cs="Times New Roman"/>
                <w:b/>
                <w:bCs/>
                <w:color w:val="auto"/>
                <w:sz w:val="24"/>
              </w:rPr>
              <w:t>声环境影响</w:t>
            </w:r>
            <w:bookmarkEnd w:id="8"/>
            <w:bookmarkEnd w:id="9"/>
            <w:r>
              <w:rPr>
                <w:rFonts w:hint="default" w:ascii="Times New Roman" w:hAnsi="Times New Roman" w:cs="Times New Roman"/>
                <w:b/>
                <w:bCs/>
                <w:color w:val="auto"/>
                <w:sz w:val="24"/>
              </w:rPr>
              <w:t>措施</w:t>
            </w:r>
          </w:p>
          <w:p w14:paraId="3B5890F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本项目施工期噪声主要来自施工机械及运输车辆产生的噪声。这部分噪声是暂时的，随着施工的结束将自动消除。只要合理安排施工计划和施工机械设备组合以及施工时间，选择低噪声的机械设备，加强运输车辆管理，施工期噪声对外环境造成的污染是可以得到控制的，对厂界周围环境影响较小。</w:t>
            </w:r>
          </w:p>
          <w:p w14:paraId="7657F07C">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项目施工期间要求施工单位采取以下防治措施：</w:t>
            </w:r>
          </w:p>
          <w:p w14:paraId="47EAA84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①严禁夜间（22：00～6：00期间）自由作业，</w:t>
            </w:r>
            <w:r>
              <w:rPr>
                <w:rFonts w:hint="eastAsia" w:cs="Times New Roman"/>
                <w:bCs/>
                <w:color w:val="auto"/>
                <w:sz w:val="24"/>
                <w:lang w:val="en-US" w:eastAsia="zh-CN"/>
              </w:rPr>
              <w:t>严格控制施工时间，</w:t>
            </w:r>
            <w:r>
              <w:rPr>
                <w:rFonts w:hint="default" w:ascii="Times New Roman" w:hAnsi="Times New Roman" w:cs="Times New Roman"/>
                <w:bCs/>
                <w:color w:val="auto"/>
                <w:sz w:val="24"/>
              </w:rPr>
              <w:t>因特殊需要延续施工时间的，必须报有关管理部门批准，才能施工。</w:t>
            </w:r>
          </w:p>
          <w:p w14:paraId="0CE7A71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②选用低噪声的作业机械及施工方法，对产噪较大的设备要进行适当屏蔽，作临时的隔声、消声和减振等综合治理；</w:t>
            </w:r>
          </w:p>
          <w:p w14:paraId="16654E7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③为防止建筑工人受噪声侵害，靠近强声源的工人应戴上耳塞和头盔，并限制工作时间；</w:t>
            </w:r>
          </w:p>
          <w:p w14:paraId="7380803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④尽量将施工设备放置在建筑物内部，现场加工须在室内进行，尽量减轻对周围环境敏感目标的影响。</w:t>
            </w:r>
          </w:p>
          <w:p w14:paraId="53F9346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综上所述，通过采取上述措施可将施工期间产生的噪声向外界的传播强度控制在最小程度，对周围环境影响较小。</w:t>
            </w:r>
          </w:p>
          <w:p w14:paraId="407E3F8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color w:val="auto"/>
                <w:sz w:val="24"/>
              </w:rPr>
              <w:t>综上，建筑施工噪声的污染防治工作，设计、建设、施工单位必须重视，应把该项工作列入工程招标、文明施工、优质工程的考核内容，环保部门要加强管理监督。要尽可能的减少噪声的影响。</w:t>
            </w:r>
            <w:r>
              <w:rPr>
                <w:rFonts w:hint="default" w:ascii="Times New Roman" w:hAnsi="Times New Roman" w:cs="Times New Roman"/>
                <w:color w:val="auto"/>
                <w:spacing w:val="2"/>
                <w:sz w:val="24"/>
              </w:rPr>
              <w:t>对此，在建筑施工期间向周围排放噪声必须按照《中华人民共和国环境噪声污染防治法》及《建筑施工场界环境噪声排放标准》（GB12523-2011）进行控制。施工期高噪声设备合理安排施工时间，夜间禁止使用高噪声机械设备，杜绝深夜施工噪声扰民，另外，对施工场地平面布局时将施工机械产噪设备尽量置于场地中央，进行合理布设，尽量减少施工噪声的污染影响。</w:t>
            </w:r>
          </w:p>
          <w:p w14:paraId="04FEC6F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经采取措施后，项目施工期噪声对周围环境影响较小。</w:t>
            </w:r>
          </w:p>
          <w:p w14:paraId="50960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4</w:t>
            </w:r>
            <w:r>
              <w:rPr>
                <w:rFonts w:hint="eastAsia" w:ascii="Times New Roman" w:hAnsi="Times New Roman" w:cs="Times New Roman"/>
                <w:b/>
                <w:bCs/>
                <w:color w:val="auto"/>
                <w:sz w:val="24"/>
                <w:lang w:eastAsia="zh-CN"/>
              </w:rPr>
              <w:t>、</w:t>
            </w:r>
            <w:r>
              <w:rPr>
                <w:rFonts w:hint="default" w:ascii="Times New Roman" w:hAnsi="Times New Roman" w:cs="Times New Roman"/>
                <w:b/>
                <w:bCs/>
                <w:color w:val="auto"/>
                <w:sz w:val="24"/>
              </w:rPr>
              <w:t>固体废物环境措施</w:t>
            </w:r>
          </w:p>
          <w:p w14:paraId="71AFE3E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施工期间的固体废物有三种：一是建筑垃圾，二是生活垃圾，三是施工渣土建筑垃圾，主要有遗弃钢筋、废木材、废混凝土、废（碎）砖等。施工结束清场后可以回收或用于填埋。</w:t>
            </w:r>
          </w:p>
          <w:p w14:paraId="42DBDBA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生活垃圾成分主要有菜帮、果皮、遗弃食品、废塑料袋、泡沫塑料等。其中果皮、菜帮、食物残渣等易腐败发臭，将产生氨和硫化氢等恶臭气体，如不及时清运，将污染堆放场的环境和水体，又影响环境卫生。</w:t>
            </w:r>
          </w:p>
          <w:p w14:paraId="24EAEF4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为防止固体废物污染，应采取以下措施：</w:t>
            </w:r>
          </w:p>
          <w:p w14:paraId="7634FC9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（1）现场搅拌砂浆时应按用量进行配料，尽量做到不洒、不漏、不剩、不倒。废弃的钢筋、木材等尽量做到回收循环利用。</w:t>
            </w:r>
          </w:p>
          <w:p w14:paraId="1BD5B23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（2）生活垃圾应集中收集，</w:t>
            </w:r>
            <w:r>
              <w:rPr>
                <w:rFonts w:hint="eastAsia" w:cs="Times New Roman"/>
                <w:color w:val="auto"/>
                <w:sz w:val="24"/>
                <w:lang w:val="en-US" w:eastAsia="zh-CN"/>
              </w:rPr>
              <w:t>委托环卫部门处理</w:t>
            </w:r>
            <w:r>
              <w:rPr>
                <w:rFonts w:hint="default" w:ascii="Times New Roman" w:hAnsi="Times New Roman" w:cs="Times New Roman"/>
                <w:color w:val="auto"/>
                <w:sz w:val="24"/>
              </w:rPr>
              <w:t>，以免滋生蚊蝇。</w:t>
            </w:r>
          </w:p>
          <w:p w14:paraId="5FB39E4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（3）项目场地挖掘产生的土方应切实按照规划要求少量用于厂区绿化的抬高层及绿地铺设，其余大部分要外运处理，不造成对自然和环境的影响。</w:t>
            </w:r>
          </w:p>
          <w:p w14:paraId="239E0A2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rPr>
              <w:t>5</w:t>
            </w:r>
            <w:r>
              <w:rPr>
                <w:rFonts w:hint="eastAsia"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水土流失影响措施</w:t>
            </w:r>
          </w:p>
          <w:p w14:paraId="7652CF7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项目建设过程中应加强管理，取土及时回填，堆土及原材料堆场应设置围墙，防止水土流失。建设过程中的绿化等植被的破坏，应有计划的进行植被恢复措施，如植树、绿化等。绿化应采取点、线、面结合的立体绿化方式，以树、灌木、草等互补种植。</w:t>
            </w:r>
          </w:p>
          <w:p w14:paraId="3BA40F27">
            <w:pPr>
              <w:adjustRightInd w:val="0"/>
              <w:snapToGrid w:val="0"/>
              <w:ind w:firstLine="480"/>
              <w:rPr>
                <w:color w:val="auto"/>
              </w:rPr>
            </w:pPr>
            <w:r>
              <w:rPr>
                <w:rFonts w:hint="default" w:ascii="Times New Roman" w:hAnsi="Times New Roman" w:cs="Times New Roman"/>
                <w:color w:val="auto"/>
                <w:sz w:val="24"/>
              </w:rPr>
              <w:t>随着工程建设的结束，施工期对环境的影响将会逐渐消失</w:t>
            </w:r>
            <w:r>
              <w:rPr>
                <w:rFonts w:hint="eastAsia" w:cs="Times New Roman"/>
                <w:color w:val="auto"/>
                <w:sz w:val="24"/>
                <w:lang w:eastAsia="zh-CN"/>
              </w:rPr>
              <w:t>。</w:t>
            </w:r>
          </w:p>
          <w:p w14:paraId="2F5D1574">
            <w:pPr>
              <w:adjustRightInd w:val="0"/>
              <w:snapToGrid w:val="0"/>
              <w:ind w:firstLine="480"/>
              <w:rPr>
                <w:color w:val="auto"/>
              </w:rPr>
            </w:pPr>
          </w:p>
          <w:p w14:paraId="3FCE7438">
            <w:pPr>
              <w:adjustRightInd w:val="0"/>
              <w:snapToGrid w:val="0"/>
              <w:ind w:firstLine="480"/>
              <w:rPr>
                <w:color w:val="auto"/>
              </w:rPr>
            </w:pPr>
          </w:p>
          <w:p w14:paraId="6063B67C">
            <w:pPr>
              <w:adjustRightInd w:val="0"/>
              <w:snapToGrid w:val="0"/>
              <w:ind w:firstLine="480"/>
              <w:rPr>
                <w:color w:val="auto"/>
              </w:rPr>
            </w:pPr>
          </w:p>
          <w:p w14:paraId="5A6CEC9B">
            <w:pPr>
              <w:adjustRightInd w:val="0"/>
              <w:snapToGrid w:val="0"/>
              <w:ind w:firstLine="480"/>
              <w:rPr>
                <w:color w:val="auto"/>
              </w:rPr>
            </w:pPr>
          </w:p>
          <w:p w14:paraId="692D20AA">
            <w:pPr>
              <w:adjustRightInd w:val="0"/>
              <w:snapToGrid w:val="0"/>
              <w:ind w:firstLine="480"/>
              <w:rPr>
                <w:color w:val="auto"/>
              </w:rPr>
            </w:pPr>
          </w:p>
          <w:p w14:paraId="1EC0E4A7">
            <w:pPr>
              <w:adjustRightInd w:val="0"/>
              <w:snapToGrid w:val="0"/>
              <w:ind w:firstLine="440"/>
              <w:rPr>
                <w:rFonts w:hint="eastAsia" w:ascii="宋体" w:hAnsi="宋体" w:cs="宋体"/>
                <w:bCs/>
                <w:color w:val="auto"/>
                <w:spacing w:val="-10"/>
                <w:szCs w:val="21"/>
                <w:lang w:val="en-US" w:eastAsia="zh-CN"/>
              </w:rPr>
            </w:pPr>
          </w:p>
          <w:p w14:paraId="446301E7">
            <w:pPr>
              <w:adjustRightInd w:val="0"/>
              <w:snapToGrid w:val="0"/>
              <w:ind w:firstLine="440"/>
              <w:rPr>
                <w:rFonts w:hint="eastAsia" w:ascii="宋体" w:hAnsi="宋体" w:cs="宋体"/>
                <w:bCs/>
                <w:color w:val="auto"/>
                <w:spacing w:val="-10"/>
                <w:szCs w:val="21"/>
                <w:lang w:val="en-US" w:eastAsia="zh-CN"/>
              </w:rPr>
            </w:pPr>
          </w:p>
          <w:p w14:paraId="395AACE7">
            <w:pPr>
              <w:adjustRightInd w:val="0"/>
              <w:snapToGrid w:val="0"/>
              <w:ind w:firstLine="440"/>
              <w:rPr>
                <w:rFonts w:hint="eastAsia" w:ascii="宋体" w:hAnsi="宋体" w:cs="宋体"/>
                <w:bCs/>
                <w:color w:val="auto"/>
                <w:spacing w:val="-10"/>
                <w:szCs w:val="21"/>
                <w:lang w:val="en-US" w:eastAsia="zh-CN"/>
              </w:rPr>
            </w:pPr>
          </w:p>
          <w:p w14:paraId="16BB4E09">
            <w:pPr>
              <w:adjustRightInd w:val="0"/>
              <w:snapToGrid w:val="0"/>
              <w:ind w:firstLine="440"/>
              <w:rPr>
                <w:rFonts w:hint="eastAsia" w:ascii="宋体" w:hAnsi="宋体" w:cs="宋体"/>
                <w:bCs/>
                <w:color w:val="auto"/>
                <w:spacing w:val="-10"/>
                <w:szCs w:val="21"/>
                <w:lang w:val="en-US" w:eastAsia="zh-CN"/>
              </w:rPr>
            </w:pPr>
          </w:p>
          <w:p w14:paraId="791DC271">
            <w:pPr>
              <w:adjustRightInd w:val="0"/>
              <w:snapToGrid w:val="0"/>
              <w:ind w:firstLine="440"/>
              <w:rPr>
                <w:rFonts w:hint="eastAsia" w:ascii="宋体" w:hAnsi="宋体" w:cs="宋体"/>
                <w:bCs/>
                <w:color w:val="auto"/>
                <w:spacing w:val="-10"/>
                <w:szCs w:val="21"/>
                <w:lang w:val="en-US" w:eastAsia="zh-CN"/>
              </w:rPr>
            </w:pPr>
          </w:p>
          <w:p w14:paraId="39F78FEC">
            <w:pPr>
              <w:adjustRightInd w:val="0"/>
              <w:snapToGrid w:val="0"/>
              <w:ind w:firstLine="440"/>
              <w:rPr>
                <w:rFonts w:hint="eastAsia" w:ascii="宋体" w:hAnsi="宋体" w:cs="宋体"/>
                <w:bCs/>
                <w:color w:val="auto"/>
                <w:spacing w:val="-10"/>
                <w:szCs w:val="21"/>
                <w:lang w:val="en-US" w:eastAsia="zh-CN"/>
              </w:rPr>
            </w:pPr>
          </w:p>
          <w:p w14:paraId="0ED9C29B">
            <w:pPr>
              <w:adjustRightInd w:val="0"/>
              <w:snapToGrid w:val="0"/>
              <w:ind w:firstLine="440"/>
              <w:rPr>
                <w:rFonts w:hint="eastAsia" w:ascii="宋体" w:hAnsi="宋体" w:cs="宋体"/>
                <w:bCs/>
                <w:color w:val="auto"/>
                <w:spacing w:val="-10"/>
                <w:szCs w:val="21"/>
                <w:lang w:val="en-US" w:eastAsia="zh-CN"/>
              </w:rPr>
            </w:pPr>
          </w:p>
          <w:p w14:paraId="490DC83F">
            <w:pPr>
              <w:adjustRightInd w:val="0"/>
              <w:snapToGrid w:val="0"/>
              <w:ind w:firstLine="440"/>
              <w:rPr>
                <w:rFonts w:hint="eastAsia" w:ascii="宋体" w:hAnsi="宋体" w:eastAsia="宋体" w:cs="宋体"/>
                <w:bCs/>
                <w:color w:val="auto"/>
                <w:spacing w:val="-10"/>
                <w:szCs w:val="21"/>
                <w:lang w:val="en-US" w:eastAsia="zh-CN"/>
              </w:rPr>
            </w:pPr>
          </w:p>
        </w:tc>
      </w:tr>
      <w:tr w14:paraId="0948C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1" w:hRule="atLeast"/>
          <w:jc w:val="center"/>
        </w:trPr>
        <w:tc>
          <w:tcPr>
            <w:tcW w:w="481" w:type="dxa"/>
            <w:tcMar>
              <w:left w:w="28" w:type="dxa"/>
              <w:right w:w="28" w:type="dxa"/>
            </w:tcMar>
            <w:vAlign w:val="center"/>
          </w:tcPr>
          <w:p w14:paraId="4739CD8E">
            <w:pPr>
              <w:adjustRightInd w:val="0"/>
              <w:snapToGrid w:val="0"/>
              <w:ind w:firstLine="0" w:firstLineChars="0"/>
              <w:jc w:val="center"/>
              <w:rPr>
                <w:rFonts w:ascii="宋体" w:hAnsi="宋体" w:cs="宋体"/>
                <w:bCs/>
                <w:color w:val="auto"/>
                <w:szCs w:val="21"/>
              </w:rPr>
            </w:pPr>
            <w:r>
              <w:rPr>
                <w:rFonts w:hint="eastAsia" w:ascii="宋体" w:hAnsi="宋体" w:cs="宋体"/>
                <w:bCs/>
                <w:color w:val="auto"/>
                <w:szCs w:val="21"/>
              </w:rPr>
              <w:t>运营期环境影响和保护</w:t>
            </w:r>
          </w:p>
          <w:p w14:paraId="79D475B9">
            <w:pPr>
              <w:adjustRightInd w:val="0"/>
              <w:snapToGrid w:val="0"/>
              <w:ind w:firstLine="0" w:firstLineChars="0"/>
              <w:jc w:val="center"/>
              <w:rPr>
                <w:rFonts w:ascii="宋体" w:hAnsi="宋体" w:cs="宋体"/>
                <w:bCs/>
                <w:color w:val="auto"/>
                <w:szCs w:val="21"/>
              </w:rPr>
            </w:pPr>
            <w:r>
              <w:rPr>
                <w:rFonts w:hint="eastAsia" w:ascii="宋体" w:hAnsi="宋体" w:cs="宋体"/>
                <w:bCs/>
                <w:color w:val="auto"/>
                <w:szCs w:val="21"/>
              </w:rPr>
              <w:t>措施</w:t>
            </w:r>
          </w:p>
        </w:tc>
        <w:tc>
          <w:tcPr>
            <w:tcW w:w="8427" w:type="dxa"/>
          </w:tcPr>
          <w:p w14:paraId="6275B991">
            <w:pPr>
              <w:ind w:firstLine="0" w:firstLineChars="0"/>
              <w:rPr>
                <w:b/>
                <w:bCs/>
                <w:color w:val="auto"/>
              </w:rPr>
            </w:pPr>
            <w:r>
              <w:rPr>
                <w:rFonts w:hint="eastAsia"/>
                <w:b/>
                <w:bCs/>
                <w:color w:val="auto"/>
              </w:rPr>
              <w:t>1、废气</w:t>
            </w:r>
          </w:p>
          <w:p w14:paraId="4341E267">
            <w:pPr>
              <w:widowControl w:val="0"/>
              <w:wordWrap/>
              <w:adjustRightInd/>
              <w:snapToGrid/>
              <w:spacing w:before="0" w:beforeAutospacing="0" w:after="0" w:afterAutospacing="0" w:line="360" w:lineRule="auto"/>
              <w:ind w:left="0" w:right="0" w:firstLine="0" w:firstLineChars="0"/>
              <w:jc w:val="both"/>
              <w:textAlignment w:val="auto"/>
              <w:rPr>
                <w:rFonts w:hint="default" w:ascii="Times New Roman" w:hAnsi="Times New Roman" w:eastAsia="宋体" w:cs="Times New Roman"/>
                <w:b/>
                <w:bCs w:val="0"/>
                <w:spacing w:val="-10"/>
                <w:kern w:val="2"/>
                <w:sz w:val="24"/>
                <w:szCs w:val="24"/>
                <w:lang w:val="en-US" w:eastAsia="zh-CN"/>
              </w:rPr>
            </w:pPr>
            <w:r>
              <w:rPr>
                <w:rFonts w:hint="eastAsia" w:cs="Times New Roman"/>
                <w:b/>
                <w:bCs w:val="0"/>
                <w:spacing w:val="-10"/>
                <w:kern w:val="2"/>
                <w:sz w:val="24"/>
                <w:szCs w:val="24"/>
                <w:lang w:val="en-US" w:eastAsia="zh-CN"/>
              </w:rPr>
              <w:t>1</w:t>
            </w:r>
            <w:r>
              <w:rPr>
                <w:rFonts w:hint="default" w:ascii="Times New Roman" w:hAnsi="Times New Roman" w:eastAsia="宋体" w:cs="Times New Roman"/>
                <w:b/>
                <w:bCs w:val="0"/>
                <w:spacing w:val="-10"/>
                <w:kern w:val="2"/>
                <w:sz w:val="24"/>
                <w:szCs w:val="24"/>
                <w:lang w:val="en-US" w:eastAsia="zh-CN"/>
              </w:rPr>
              <w:t>.1废气产排情况</w:t>
            </w:r>
          </w:p>
          <w:p w14:paraId="372BA1E9">
            <w:pPr>
              <w:ind w:firstLine="480"/>
              <w:rPr>
                <w:color w:val="auto"/>
              </w:rPr>
            </w:pPr>
            <w:r>
              <w:rPr>
                <w:rFonts w:hint="eastAsia"/>
                <w:color w:val="auto"/>
              </w:rPr>
              <w:t>本项目生产过程中产生的废气主要为筒仓呼吸粉尘、卸料粉尘、输送、投料粉尘、车辆运输扬尘及食堂油烟。</w:t>
            </w:r>
          </w:p>
          <w:p w14:paraId="6AEA1EB2">
            <w:pPr>
              <w:numPr>
                <w:ilvl w:val="0"/>
                <w:numId w:val="7"/>
              </w:numPr>
              <w:ind w:firstLine="482"/>
              <w:rPr>
                <w:b/>
                <w:bCs/>
                <w:color w:val="auto"/>
              </w:rPr>
            </w:pPr>
            <w:r>
              <w:rPr>
                <w:rFonts w:hint="eastAsia"/>
                <w:b/>
                <w:bCs/>
                <w:color w:val="auto"/>
              </w:rPr>
              <w:t>卸料粉尘</w:t>
            </w:r>
          </w:p>
          <w:p w14:paraId="62D21D43">
            <w:pPr>
              <w:ind w:firstLine="480"/>
              <w:rPr>
                <w:color w:val="auto"/>
              </w:rPr>
            </w:pPr>
            <w:r>
              <w:rPr>
                <w:rFonts w:hint="eastAsia"/>
                <w:color w:val="auto"/>
                <w:lang w:val="en-US" w:eastAsia="zh-CN"/>
              </w:rPr>
              <w:t>本项目石料及石粉需要进行卸料</w:t>
            </w:r>
            <w:r>
              <w:rPr>
                <w:rFonts w:hint="eastAsia"/>
                <w:color w:val="auto"/>
                <w:lang w:eastAsia="zh-CN"/>
              </w:rPr>
              <w:t>。</w:t>
            </w:r>
            <w:r>
              <w:rPr>
                <w:rFonts w:hint="eastAsia"/>
                <w:color w:val="auto"/>
              </w:rPr>
              <w:t>在卸料过程中会产生一定量的粉尘。本项目年使用</w:t>
            </w:r>
            <w:r>
              <w:rPr>
                <w:rFonts w:hint="eastAsia"/>
                <w:color w:val="auto"/>
                <w:lang w:val="en-US" w:eastAsia="zh-CN"/>
              </w:rPr>
              <w:t>石子、石粉总用量为435000t/a</w:t>
            </w:r>
            <w:r>
              <w:rPr>
                <w:rFonts w:hint="eastAsia"/>
                <w:color w:val="auto"/>
              </w:rPr>
              <w:t>，</w:t>
            </w:r>
            <w:r>
              <w:rPr>
                <w:rFonts w:hint="eastAsia"/>
                <w:color w:val="auto"/>
                <w:lang w:val="en-US" w:eastAsia="zh-CN"/>
              </w:rPr>
              <w:t>车辆运输卸料最大为50t/次，约卸料2700次/a，卸料时间单次为0.5h，总</w:t>
            </w:r>
            <w:r>
              <w:rPr>
                <w:rFonts w:hint="eastAsia"/>
                <w:color w:val="auto"/>
              </w:rPr>
              <w:t>卸料时间为</w:t>
            </w:r>
            <w:r>
              <w:rPr>
                <w:rFonts w:hint="eastAsia"/>
                <w:color w:val="auto"/>
                <w:lang w:val="en-US" w:eastAsia="zh-CN"/>
              </w:rPr>
              <w:t>1350</w:t>
            </w:r>
            <w:r>
              <w:rPr>
                <w:rFonts w:hint="eastAsia"/>
                <w:color w:val="auto"/>
              </w:rPr>
              <w:t>h/a，则卸料粉尘产生量为</w:t>
            </w:r>
            <w:r>
              <w:rPr>
                <w:rFonts w:hint="eastAsia"/>
                <w:color w:val="auto"/>
                <w:lang w:val="en-US" w:eastAsia="zh-CN"/>
              </w:rPr>
              <w:t>4.350</w:t>
            </w:r>
            <w:r>
              <w:rPr>
                <w:rFonts w:hint="eastAsia"/>
                <w:color w:val="auto"/>
              </w:rPr>
              <w:t>t/a，本项目在卸料过程采取车间封闭、喷雾降尘等措施，参车间封闭降尘90%，则本项目卸料粉尘无组织排放量为</w:t>
            </w:r>
            <w:r>
              <w:rPr>
                <w:rFonts w:hint="eastAsia"/>
                <w:color w:val="auto"/>
                <w:lang w:val="en-US" w:eastAsia="zh-CN"/>
              </w:rPr>
              <w:t>0.218t</w:t>
            </w:r>
            <w:r>
              <w:rPr>
                <w:rFonts w:hint="eastAsia"/>
                <w:color w:val="auto"/>
              </w:rPr>
              <w:t>/a，排放速率为</w:t>
            </w:r>
            <w:r>
              <w:rPr>
                <w:rFonts w:hint="eastAsia"/>
                <w:color w:val="auto"/>
                <w:lang w:val="en-US" w:eastAsia="zh-CN"/>
              </w:rPr>
              <w:t>0.161</w:t>
            </w:r>
            <w:r>
              <w:rPr>
                <w:rFonts w:hint="eastAsia"/>
                <w:color w:val="auto"/>
              </w:rPr>
              <w:t>kg/h。</w:t>
            </w:r>
          </w:p>
          <w:p w14:paraId="3FFFC38B">
            <w:pPr>
              <w:numPr>
                <w:ilvl w:val="0"/>
                <w:numId w:val="7"/>
              </w:numPr>
              <w:ind w:firstLine="482"/>
              <w:rPr>
                <w:b/>
                <w:bCs/>
                <w:color w:val="auto"/>
              </w:rPr>
            </w:pPr>
            <w:r>
              <w:rPr>
                <w:rFonts w:hint="eastAsia"/>
                <w:b/>
                <w:bCs/>
                <w:color w:val="auto"/>
              </w:rPr>
              <w:t>车辆运输扬尘</w:t>
            </w:r>
          </w:p>
          <w:p w14:paraId="484E22AC">
            <w:pPr>
              <w:ind w:firstLine="480"/>
              <w:rPr>
                <w:color w:val="auto"/>
              </w:rPr>
            </w:pPr>
            <w:r>
              <w:rPr>
                <w:rFonts w:hint="eastAsia"/>
                <w:color w:val="auto"/>
              </w:rPr>
              <w:t>由于本项目原料、产品量运载频次较高，车辆在厂内、临近主入口行驶路线产生少量车辆扬尘。一般情况下，道路在自然风作用下产生的扬尘所影响的范围在</w:t>
            </w:r>
            <w:r>
              <w:rPr>
                <w:color w:val="auto"/>
              </w:rPr>
              <w:t>100m</w:t>
            </w:r>
            <w:r>
              <w:rPr>
                <w:rFonts w:hint="eastAsia"/>
                <w:color w:val="auto"/>
              </w:rPr>
              <w:t>以内。如果对车辆行驶出入口的路面实施喷雾降尘等措施，每天洒水</w:t>
            </w:r>
            <w:r>
              <w:rPr>
                <w:color w:val="auto"/>
              </w:rPr>
              <w:t>2~3</w:t>
            </w:r>
            <w:r>
              <w:rPr>
                <w:rFonts w:hint="eastAsia"/>
                <w:color w:val="auto"/>
              </w:rPr>
              <w:t>次，可使扬尘量减少5</w:t>
            </w:r>
            <w:r>
              <w:rPr>
                <w:color w:val="auto"/>
              </w:rPr>
              <w:t>0%</w:t>
            </w:r>
            <w:r>
              <w:rPr>
                <w:rFonts w:hint="eastAsia"/>
                <w:color w:val="auto"/>
              </w:rPr>
              <w:t>左右，在实施每天喷雾降尘作业</w:t>
            </w:r>
            <w:r>
              <w:rPr>
                <w:color w:val="auto"/>
              </w:rPr>
              <w:t>4~5</w:t>
            </w:r>
            <w:r>
              <w:rPr>
                <w:rFonts w:hint="eastAsia"/>
                <w:color w:val="auto"/>
              </w:rPr>
              <w:t>次后，其扬尘造成的</w:t>
            </w:r>
            <w:r>
              <w:rPr>
                <w:color w:val="auto"/>
              </w:rPr>
              <w:t>TSP</w:t>
            </w:r>
            <w:r>
              <w:rPr>
                <w:rFonts w:hint="eastAsia"/>
                <w:color w:val="auto"/>
              </w:rPr>
              <w:t>污染距离可缩小到</w:t>
            </w:r>
            <w:r>
              <w:rPr>
                <w:color w:val="auto"/>
              </w:rPr>
              <w:t>20~50m</w:t>
            </w:r>
            <w:r>
              <w:rPr>
                <w:rFonts w:hint="eastAsia"/>
                <w:color w:val="auto"/>
              </w:rPr>
              <w:t>范围。</w:t>
            </w:r>
          </w:p>
          <w:p w14:paraId="3C0709AF">
            <w:pPr>
              <w:ind w:firstLine="480"/>
              <w:rPr>
                <w:color w:val="auto"/>
              </w:rPr>
            </w:pPr>
            <w:r>
              <w:rPr>
                <w:rFonts w:hint="eastAsia"/>
                <w:color w:val="auto"/>
                <w:lang w:val="en-US" w:eastAsia="zh-CN"/>
              </w:rPr>
              <w:t>依托</w:t>
            </w:r>
            <w:r>
              <w:rPr>
                <w:rFonts w:hint="eastAsia"/>
                <w:color w:val="auto"/>
              </w:rPr>
              <w:t>厂区入口</w:t>
            </w:r>
            <w:r>
              <w:rPr>
                <w:rFonts w:hint="eastAsia"/>
                <w:color w:val="auto"/>
                <w:lang w:val="en-US" w:eastAsia="zh-CN"/>
              </w:rPr>
              <w:t>现有</w:t>
            </w:r>
            <w:r>
              <w:rPr>
                <w:rFonts w:hint="eastAsia"/>
                <w:color w:val="auto"/>
              </w:rPr>
              <w:t>洗车平台，厂区内道路硬化、洒水抑尘、定期清扫地面，车辆运输扬尘排放量较小。</w:t>
            </w:r>
          </w:p>
          <w:p w14:paraId="40650F16">
            <w:pPr>
              <w:ind w:firstLine="482"/>
              <w:jc w:val="left"/>
              <w:rPr>
                <w:b/>
                <w:bCs/>
                <w:color w:val="auto"/>
              </w:rPr>
            </w:pPr>
            <w:r>
              <w:rPr>
                <w:rFonts w:hint="eastAsia"/>
                <w:b/>
                <w:bCs/>
                <w:color w:val="auto"/>
              </w:rPr>
              <w:t>（3）筒仓呼吸粉尘</w:t>
            </w:r>
          </w:p>
          <w:p w14:paraId="115A659D">
            <w:pPr>
              <w:widowControl/>
              <w:ind w:firstLine="480"/>
              <w:jc w:val="left"/>
              <w:rPr>
                <w:color w:val="auto"/>
              </w:rPr>
            </w:pPr>
            <w:r>
              <w:rPr>
                <w:rFonts w:hint="eastAsia"/>
                <w:color w:val="auto"/>
              </w:rPr>
              <w:t>本项目使用水泥均通过专用设备加入到水泥筒仓中，本项目水泥用量为25000</w:t>
            </w:r>
            <w:r>
              <w:rPr>
                <w:color w:val="auto"/>
              </w:rPr>
              <w:t>t/a</w:t>
            </w:r>
            <w:r>
              <w:rPr>
                <w:rFonts w:hint="eastAsia"/>
                <w:color w:val="auto"/>
              </w:rPr>
              <w:t>，单次装卸量为10t计，则年装卸次数为</w:t>
            </w:r>
            <w:r>
              <w:rPr>
                <w:rFonts w:hint="eastAsia"/>
                <w:color w:val="auto"/>
                <w:lang w:val="en-US" w:eastAsia="zh-CN"/>
              </w:rPr>
              <w:t>2500</w:t>
            </w:r>
            <w:r>
              <w:rPr>
                <w:rFonts w:hint="eastAsia"/>
                <w:color w:val="auto"/>
              </w:rPr>
              <w:t>次，单次时间为0.5h计算，则总装卸时间为</w:t>
            </w:r>
            <w:r>
              <w:rPr>
                <w:rFonts w:hint="eastAsia"/>
                <w:color w:val="auto"/>
                <w:lang w:val="en-US" w:eastAsia="zh-CN"/>
              </w:rPr>
              <w:t>1250</w:t>
            </w:r>
            <w:r>
              <w:rPr>
                <w:rFonts w:hint="eastAsia"/>
                <w:color w:val="auto"/>
              </w:rPr>
              <w:t>h/a。由于水泥筒仓必须排气，以利于粉料进入水泥粉料贮仓时置换的空气溢出，此过程中呼吸孔会产生粉尘。则项目水泥筒仓呼吸粉尘产生量为</w:t>
            </w:r>
            <w:r>
              <w:rPr>
                <w:rFonts w:hint="eastAsia"/>
                <w:color w:val="auto"/>
                <w:lang w:val="en-US" w:eastAsia="zh-CN"/>
              </w:rPr>
              <w:t>5.75</w:t>
            </w:r>
            <w:r>
              <w:rPr>
                <w:color w:val="auto"/>
              </w:rPr>
              <w:t>t/a</w:t>
            </w:r>
            <w:r>
              <w:rPr>
                <w:rFonts w:hint="eastAsia"/>
                <w:color w:val="auto"/>
              </w:rPr>
              <w:t>。</w:t>
            </w:r>
            <w:r>
              <w:rPr>
                <w:color w:val="auto"/>
              </w:rPr>
              <w:t>筒仓灌装过程中产生的</w:t>
            </w:r>
            <w:r>
              <w:rPr>
                <w:rFonts w:hint="eastAsia"/>
                <w:color w:val="auto"/>
              </w:rPr>
              <w:t>呼吸</w:t>
            </w:r>
            <w:r>
              <w:rPr>
                <w:color w:val="auto"/>
              </w:rPr>
              <w:t>粉尘</w:t>
            </w:r>
            <w:r>
              <w:rPr>
                <w:rFonts w:hint="eastAsia"/>
                <w:color w:val="auto"/>
              </w:rPr>
              <w:t>，经仓顶设置的除尘器处理后，车间内无组织排放，仓顶袋式除尘器处理效率按</w:t>
            </w:r>
            <w:r>
              <w:rPr>
                <w:color w:val="auto"/>
              </w:rPr>
              <w:t>99%</w:t>
            </w:r>
            <w:r>
              <w:rPr>
                <w:rFonts w:hint="eastAsia"/>
                <w:color w:val="auto"/>
              </w:rPr>
              <w:t>计，经处理后的粉尘排放情况为</w:t>
            </w:r>
            <w:r>
              <w:rPr>
                <w:rFonts w:hint="eastAsia"/>
                <w:color w:val="auto"/>
                <w:lang w:val="en-US" w:eastAsia="zh-CN"/>
              </w:rPr>
              <w:t>0.058</w:t>
            </w:r>
            <w:r>
              <w:rPr>
                <w:rFonts w:hint="eastAsia"/>
                <w:color w:val="auto"/>
              </w:rPr>
              <w:t>t/a。</w:t>
            </w:r>
          </w:p>
          <w:p w14:paraId="20CFDECF">
            <w:pPr>
              <w:ind w:left="480" w:leftChars="200" w:firstLine="0" w:firstLineChars="0"/>
              <w:rPr>
                <w:rFonts w:hint="eastAsia" w:eastAsia="宋体"/>
                <w:b/>
                <w:bCs/>
                <w:color w:val="auto"/>
                <w:lang w:val="en-US" w:eastAsia="zh-CN"/>
              </w:rPr>
            </w:pPr>
            <w:r>
              <w:rPr>
                <w:rFonts w:hint="eastAsia"/>
                <w:b/>
                <w:bCs/>
                <w:color w:val="auto"/>
              </w:rPr>
              <w:t>（4）输送</w:t>
            </w:r>
            <w:r>
              <w:rPr>
                <w:rFonts w:hint="eastAsia"/>
                <w:b/>
                <w:bCs/>
                <w:color w:val="auto"/>
                <w:lang w:eastAsia="zh-CN"/>
              </w:rPr>
              <w:t>、</w:t>
            </w:r>
            <w:r>
              <w:rPr>
                <w:rFonts w:hint="eastAsia"/>
                <w:b/>
                <w:bCs/>
                <w:color w:val="auto"/>
                <w:lang w:val="en-US" w:eastAsia="zh-CN"/>
              </w:rPr>
              <w:t>投料粉尘</w:t>
            </w:r>
          </w:p>
          <w:p w14:paraId="04AAC6CB">
            <w:pPr>
              <w:ind w:firstLine="480"/>
              <w:jc w:val="left"/>
              <w:rPr>
                <w:rFonts w:cs="宋体"/>
                <w:color w:val="auto"/>
              </w:rPr>
            </w:pPr>
            <w:r>
              <w:rPr>
                <w:rFonts w:hint="eastAsia"/>
                <w:color w:val="auto"/>
              </w:rPr>
              <w:t>生产线石料</w:t>
            </w:r>
            <w:r>
              <w:rPr>
                <w:rFonts w:hint="eastAsia"/>
                <w:color w:val="auto"/>
                <w:lang w:eastAsia="zh-CN"/>
              </w:rPr>
              <w:t>、</w:t>
            </w:r>
            <w:r>
              <w:rPr>
                <w:rFonts w:hint="eastAsia"/>
                <w:color w:val="auto"/>
                <w:lang w:val="en-US" w:eastAsia="zh-CN"/>
              </w:rPr>
              <w:t>石粉</w:t>
            </w:r>
            <w:r>
              <w:rPr>
                <w:rFonts w:hint="eastAsia"/>
                <w:color w:val="auto"/>
              </w:rPr>
              <w:t>采用</w:t>
            </w:r>
            <w:r>
              <w:rPr>
                <w:rFonts w:hint="eastAsia"/>
                <w:color w:val="auto"/>
                <w:lang w:val="en-US" w:eastAsia="zh-CN"/>
              </w:rPr>
              <w:t>封闭式</w:t>
            </w:r>
            <w:r>
              <w:rPr>
                <w:color w:val="auto"/>
              </w:rPr>
              <w:t>皮带输送机</w:t>
            </w:r>
            <w:r>
              <w:rPr>
                <w:rFonts w:hint="eastAsia"/>
                <w:color w:val="auto"/>
              </w:rPr>
              <w:t>进行物料输送</w:t>
            </w:r>
            <w:r>
              <w:rPr>
                <w:rFonts w:hint="eastAsia"/>
                <w:color w:val="auto"/>
                <w:lang w:eastAsia="zh-CN"/>
              </w:rPr>
              <w:t>、</w:t>
            </w:r>
            <w:r>
              <w:rPr>
                <w:rFonts w:hint="eastAsia"/>
                <w:color w:val="auto"/>
                <w:lang w:val="en-US" w:eastAsia="zh-CN"/>
              </w:rPr>
              <w:t>投料</w:t>
            </w:r>
            <w:r>
              <w:rPr>
                <w:rFonts w:hint="eastAsia"/>
                <w:color w:val="auto"/>
                <w:lang w:eastAsia="zh-CN"/>
              </w:rPr>
              <w:t>。</w:t>
            </w:r>
            <w:r>
              <w:rPr>
                <w:rFonts w:hint="eastAsia"/>
                <w:color w:val="auto"/>
                <w:lang w:val="en-US" w:eastAsia="zh-CN"/>
              </w:rPr>
              <w:t>由于</w:t>
            </w:r>
            <w:r>
              <w:rPr>
                <w:color w:val="auto"/>
              </w:rPr>
              <w:t>输送机</w:t>
            </w:r>
            <w:r>
              <w:rPr>
                <w:rFonts w:hint="eastAsia"/>
                <w:color w:val="auto"/>
                <w:lang w:val="en-US" w:eastAsia="zh-CN"/>
              </w:rPr>
              <w:t>为封闭状态，</w:t>
            </w:r>
            <w:r>
              <w:rPr>
                <w:rFonts w:hint="eastAsia"/>
                <w:color w:val="auto"/>
              </w:rPr>
              <w:t>搅拌设备全密闭</w:t>
            </w:r>
            <w:r>
              <w:rPr>
                <w:rFonts w:hint="eastAsia"/>
                <w:color w:val="auto"/>
                <w:lang w:eastAsia="zh-CN"/>
              </w:rPr>
              <w:t>。</w:t>
            </w:r>
            <w:r>
              <w:rPr>
                <w:rFonts w:hint="eastAsia"/>
                <w:color w:val="auto"/>
                <w:lang w:val="en-US" w:eastAsia="zh-CN"/>
              </w:rPr>
              <w:t>因此，仅在投料口产生输送、投料粉尘</w:t>
            </w:r>
            <w:r>
              <w:rPr>
                <w:rFonts w:hint="eastAsia"/>
                <w:color w:val="auto"/>
                <w:lang w:eastAsia="zh-CN"/>
              </w:rPr>
              <w:t>，</w:t>
            </w:r>
            <w:r>
              <w:rPr>
                <w:rFonts w:hint="eastAsia"/>
                <w:color w:val="auto"/>
                <w:lang w:val="en-US" w:eastAsia="zh-CN"/>
              </w:rPr>
              <w:t>根据企业提供资料输送带最大输送能力为300t/h，输送、投料时间为1450h/a，风机风量为20000</w:t>
            </w:r>
            <w:r>
              <w:rPr>
                <w:bCs/>
                <w:color w:val="auto"/>
              </w:rPr>
              <w:t>m</w:t>
            </w:r>
            <w:r>
              <w:rPr>
                <w:bCs/>
                <w:color w:val="auto"/>
                <w:vertAlign w:val="superscript"/>
              </w:rPr>
              <w:t>3</w:t>
            </w:r>
            <w:r>
              <w:rPr>
                <w:bCs/>
                <w:color w:val="auto"/>
              </w:rPr>
              <w:t>/h</w:t>
            </w:r>
            <w:r>
              <w:rPr>
                <w:rFonts w:hint="eastAsia"/>
                <w:color w:val="auto"/>
              </w:rPr>
              <w:t>。</w:t>
            </w:r>
            <w:r>
              <w:rPr>
                <w:rFonts w:hint="eastAsia" w:cs="宋体"/>
                <w:color w:val="auto"/>
              </w:rPr>
              <w:t>。</w:t>
            </w:r>
          </w:p>
          <w:p w14:paraId="357715A1">
            <w:pPr>
              <w:ind w:firstLine="480"/>
              <w:rPr>
                <w:rFonts w:hint="default"/>
                <w:color w:val="auto"/>
                <w:vertAlign w:val="subscript"/>
                <w:lang w:val="en-US" w:eastAsia="zh-CN"/>
              </w:rPr>
            </w:pPr>
            <w:r>
              <w:rPr>
                <w:rFonts w:hint="eastAsia"/>
                <w:color w:val="auto"/>
                <w:lang w:val="en-US" w:eastAsia="zh-CN"/>
              </w:rPr>
              <w:t>水泥由专用输送管道直接输送至密闭的搅拌器内，</w:t>
            </w:r>
            <w:r>
              <w:rPr>
                <w:rFonts w:hint="eastAsia"/>
                <w:color w:val="auto"/>
              </w:rPr>
              <w:t>本项目</w:t>
            </w:r>
            <w:r>
              <w:rPr>
                <w:rFonts w:hint="eastAsia"/>
                <w:color w:val="auto"/>
                <w:lang w:val="en-US" w:eastAsia="zh-CN"/>
              </w:rPr>
              <w:t>输送、投料工序产生的粉尘仅考虑石子、石粉，原料</w:t>
            </w:r>
            <w:r>
              <w:rPr>
                <w:rFonts w:hint="eastAsia"/>
                <w:color w:val="auto"/>
              </w:rPr>
              <w:t>用量为</w:t>
            </w:r>
            <w:r>
              <w:rPr>
                <w:rFonts w:hint="eastAsia"/>
                <w:color w:val="auto"/>
                <w:lang w:val="en-US" w:eastAsia="zh-CN"/>
              </w:rPr>
              <w:t>435000t/</w:t>
            </w:r>
            <w:r>
              <w:rPr>
                <w:color w:val="auto"/>
              </w:rPr>
              <w:t>a</w:t>
            </w:r>
            <w:r>
              <w:rPr>
                <w:rFonts w:hint="eastAsia"/>
                <w:color w:val="auto"/>
              </w:rPr>
              <w:t>，</w:t>
            </w:r>
            <w:r>
              <w:rPr>
                <w:rFonts w:hint="eastAsia"/>
                <w:color w:val="auto"/>
                <w:lang w:val="en-US" w:eastAsia="zh-CN"/>
              </w:rPr>
              <w:t>产生量为52.2t/a，输送、投料粉尘</w:t>
            </w:r>
            <w:r>
              <w:rPr>
                <w:rFonts w:hint="eastAsia"/>
                <w:color w:val="auto"/>
                <w:highlight w:val="none"/>
              </w:rPr>
              <w:t>采取</w:t>
            </w:r>
            <w:r>
              <w:rPr>
                <w:rFonts w:hint="eastAsia"/>
                <w:color w:val="auto"/>
                <w:highlight w:val="none"/>
                <w:lang w:val="en-US" w:eastAsia="zh-CN"/>
              </w:rPr>
              <w:t>输送带封闭、安装喷淋装置（降尘50%），</w:t>
            </w:r>
            <w:r>
              <w:rPr>
                <w:rFonts w:hint="eastAsia"/>
                <w:color w:val="auto"/>
                <w:highlight w:val="none"/>
                <w:lang w:eastAsia="zh-CN"/>
              </w:rPr>
              <w:t>“</w:t>
            </w:r>
            <w:r>
              <w:rPr>
                <w:rFonts w:hint="eastAsia"/>
                <w:color w:val="auto"/>
                <w:highlight w:val="none"/>
                <w:lang w:val="en-US" w:eastAsia="zh-CN"/>
              </w:rPr>
              <w:t>集气罩收集（收集效率为90%）+布袋除尘器（处理效率99%）</w:t>
            </w:r>
            <w:r>
              <w:rPr>
                <w:rFonts w:hint="eastAsia"/>
                <w:color w:val="auto"/>
                <w:highlight w:val="none"/>
                <w:lang w:eastAsia="zh-CN"/>
              </w:rPr>
              <w:t>”</w:t>
            </w:r>
            <w:r>
              <w:rPr>
                <w:rFonts w:hint="eastAsia"/>
                <w:color w:val="auto"/>
                <w:highlight w:val="none"/>
                <w:lang w:val="en-US" w:eastAsia="zh-CN"/>
              </w:rPr>
              <w:t>处理后，经15m（DA004）排气筒排放</w:t>
            </w:r>
            <w:r>
              <w:rPr>
                <w:rFonts w:hint="eastAsia"/>
                <w:color w:val="auto"/>
              </w:rPr>
              <w:t>。</w:t>
            </w:r>
            <w:r>
              <w:rPr>
                <w:rFonts w:hint="eastAsia"/>
                <w:color w:val="auto"/>
                <w:lang w:val="en-US" w:eastAsia="zh-CN"/>
              </w:rPr>
              <w:t>因此，输送、投料粉尘排放量为0.235t/a、排放速率为0.162kg/h、排放浓度为8.10mg/m</w:t>
            </w:r>
            <w:r>
              <w:rPr>
                <w:rFonts w:hint="eastAsia"/>
                <w:color w:val="auto"/>
                <w:vertAlign w:val="superscript"/>
                <w:lang w:val="en-US" w:eastAsia="zh-CN"/>
              </w:rPr>
              <w:t>3</w:t>
            </w:r>
            <w:r>
              <w:rPr>
                <w:rFonts w:hint="eastAsia"/>
                <w:color w:val="auto"/>
                <w:vertAlign w:val="baseline"/>
                <w:lang w:val="en-US" w:eastAsia="zh-CN"/>
              </w:rPr>
              <w:t>。</w:t>
            </w:r>
          </w:p>
          <w:p w14:paraId="64D8C0A7">
            <w:pPr>
              <w:ind w:firstLine="482"/>
              <w:rPr>
                <w:rFonts w:hint="eastAsia" w:eastAsia="宋体"/>
                <w:b/>
                <w:bCs/>
                <w:color w:val="auto"/>
                <w:lang w:val="en-US" w:eastAsia="zh-CN"/>
              </w:rPr>
            </w:pPr>
            <w:r>
              <w:rPr>
                <w:rFonts w:hint="eastAsia"/>
                <w:b/>
                <w:bCs/>
                <w:color w:val="auto"/>
              </w:rPr>
              <w:t>（</w:t>
            </w:r>
            <w:r>
              <w:rPr>
                <w:rFonts w:hint="eastAsia"/>
                <w:b/>
                <w:bCs/>
                <w:color w:val="auto"/>
                <w:lang w:val="en-US" w:eastAsia="zh-CN"/>
              </w:rPr>
              <w:t>5</w:t>
            </w:r>
            <w:r>
              <w:rPr>
                <w:rFonts w:hint="eastAsia"/>
                <w:b/>
                <w:bCs/>
                <w:color w:val="auto"/>
              </w:rPr>
              <w:t>）食堂油烟</w:t>
            </w:r>
            <w:r>
              <w:rPr>
                <w:rFonts w:hint="eastAsia"/>
                <w:b/>
                <w:bCs/>
                <w:color w:val="auto"/>
                <w:lang w:val="en-US" w:eastAsia="zh-CN"/>
              </w:rPr>
              <w:t xml:space="preserve"> </w:t>
            </w:r>
          </w:p>
          <w:p w14:paraId="6D64F346">
            <w:pPr>
              <w:ind w:firstLine="480"/>
              <w:rPr>
                <w:bCs/>
                <w:color w:val="auto"/>
              </w:rPr>
            </w:pPr>
            <w:r>
              <w:rPr>
                <w:rFonts w:hint="eastAsia"/>
                <w:bCs/>
                <w:color w:val="auto"/>
              </w:rPr>
              <w:t>厂区新增</w:t>
            </w:r>
            <w:r>
              <w:rPr>
                <w:bCs/>
                <w:color w:val="auto"/>
              </w:rPr>
              <w:t>员工</w:t>
            </w:r>
            <w:r>
              <w:rPr>
                <w:rFonts w:hint="eastAsia"/>
                <w:bCs/>
                <w:color w:val="auto"/>
                <w:lang w:val="en-US" w:eastAsia="zh-CN"/>
              </w:rPr>
              <w:t>12</w:t>
            </w:r>
            <w:r>
              <w:rPr>
                <w:bCs/>
                <w:color w:val="auto"/>
              </w:rPr>
              <w:t>人</w:t>
            </w:r>
            <w:r>
              <w:rPr>
                <w:rFonts w:hint="eastAsia"/>
                <w:color w:val="auto"/>
              </w:rPr>
              <w:t>。</w:t>
            </w:r>
            <w:r>
              <w:rPr>
                <w:color w:val="auto"/>
              </w:rPr>
              <w:t>根据类比调查，职工</w:t>
            </w:r>
            <w:r>
              <w:rPr>
                <w:bCs/>
                <w:color w:val="auto"/>
              </w:rPr>
              <w:t>每人每日耗食油约20~40g，取</w:t>
            </w:r>
            <w:r>
              <w:rPr>
                <w:rFonts w:hint="eastAsia"/>
                <w:bCs/>
                <w:color w:val="auto"/>
              </w:rPr>
              <w:t>3</w:t>
            </w:r>
            <w:r>
              <w:rPr>
                <w:bCs/>
                <w:color w:val="auto"/>
              </w:rPr>
              <w:t>0g/d·人，耗油</w:t>
            </w:r>
            <w:r>
              <w:rPr>
                <w:rFonts w:hint="eastAsia"/>
                <w:bCs/>
                <w:color w:val="auto"/>
              </w:rPr>
              <w:t>量</w:t>
            </w:r>
            <w:r>
              <w:rPr>
                <w:rFonts w:hint="eastAsia"/>
                <w:bCs/>
                <w:color w:val="auto"/>
                <w:lang w:val="en-US" w:eastAsia="zh-CN"/>
              </w:rPr>
              <w:t>0.108</w:t>
            </w:r>
            <w:r>
              <w:rPr>
                <w:rFonts w:hint="eastAsia"/>
                <w:bCs/>
                <w:color w:val="auto"/>
              </w:rPr>
              <w:t>t</w:t>
            </w:r>
            <w:r>
              <w:rPr>
                <w:bCs/>
                <w:color w:val="auto"/>
              </w:rPr>
              <w:t>/</w:t>
            </w:r>
            <w:r>
              <w:rPr>
                <w:rFonts w:hint="eastAsia"/>
                <w:bCs/>
                <w:color w:val="auto"/>
              </w:rPr>
              <w:t>a</w:t>
            </w:r>
            <w:bookmarkStart w:id="10" w:name="OLE_LINK43"/>
            <w:r>
              <w:rPr>
                <w:bCs/>
                <w:color w:val="auto"/>
              </w:rPr>
              <w:t>。</w:t>
            </w:r>
            <w:bookmarkEnd w:id="10"/>
            <w:r>
              <w:rPr>
                <w:bCs/>
                <w:color w:val="auto"/>
              </w:rPr>
              <w:t>油烟和油的挥发量3%，</w:t>
            </w:r>
            <w:bookmarkStart w:id="11" w:name="OLE_LINK101"/>
            <w:r>
              <w:rPr>
                <w:bCs/>
                <w:color w:val="auto"/>
              </w:rPr>
              <w:t>则油烟产生量约为</w:t>
            </w:r>
            <w:r>
              <w:rPr>
                <w:rFonts w:hint="eastAsia"/>
                <w:bCs/>
                <w:color w:val="auto"/>
                <w:lang w:val="en-US" w:eastAsia="zh-CN"/>
              </w:rPr>
              <w:t>0.003</w:t>
            </w:r>
            <w:r>
              <w:rPr>
                <w:rFonts w:hint="eastAsia"/>
                <w:bCs/>
                <w:color w:val="auto"/>
              </w:rPr>
              <w:t>t/a，产生浓度</w:t>
            </w:r>
            <w:r>
              <w:rPr>
                <w:rFonts w:hint="eastAsia"/>
                <w:bCs/>
                <w:color w:val="auto"/>
                <w:lang w:val="en-US" w:eastAsia="zh-CN"/>
              </w:rPr>
              <w:t>3.333</w:t>
            </w:r>
            <w:r>
              <w:rPr>
                <w:bCs/>
                <w:color w:val="auto"/>
              </w:rPr>
              <w:t>mg/m</w:t>
            </w:r>
            <w:r>
              <w:rPr>
                <w:bCs/>
                <w:color w:val="auto"/>
                <w:vertAlign w:val="superscript"/>
              </w:rPr>
              <w:t>3</w:t>
            </w:r>
            <w:r>
              <w:rPr>
                <w:rFonts w:hint="eastAsia"/>
                <w:bCs/>
                <w:color w:val="auto"/>
              </w:rPr>
              <w:t>，</w:t>
            </w:r>
            <w:r>
              <w:rPr>
                <w:rFonts w:hint="eastAsia"/>
                <w:bCs/>
                <w:color w:val="auto"/>
                <w:lang w:val="en-US" w:eastAsia="zh-CN"/>
              </w:rPr>
              <w:t>采用</w:t>
            </w:r>
            <w:r>
              <w:rPr>
                <w:rFonts w:hint="eastAsia"/>
                <w:bCs/>
                <w:color w:val="auto"/>
              </w:rPr>
              <w:t>油烟净化器（处理效率60%）</w:t>
            </w:r>
            <w:r>
              <w:rPr>
                <w:rFonts w:hint="eastAsia"/>
                <w:bCs/>
                <w:color w:val="auto"/>
                <w:lang w:eastAsia="zh-CN"/>
              </w:rPr>
              <w:t>，</w:t>
            </w:r>
            <w:r>
              <w:rPr>
                <w:bCs/>
                <w:color w:val="auto"/>
              </w:rPr>
              <w:t>灶头排风量</w:t>
            </w:r>
            <w:r>
              <w:rPr>
                <w:rFonts w:hint="eastAsia"/>
                <w:bCs/>
                <w:color w:val="auto"/>
                <w:lang w:val="en-US" w:eastAsia="zh-CN"/>
              </w:rPr>
              <w:t>1</w:t>
            </w:r>
            <w:r>
              <w:rPr>
                <w:rFonts w:hint="eastAsia"/>
                <w:bCs/>
                <w:color w:val="auto"/>
              </w:rPr>
              <w:t>5</w:t>
            </w:r>
            <w:r>
              <w:rPr>
                <w:bCs/>
                <w:color w:val="auto"/>
              </w:rPr>
              <w:t>00m</w:t>
            </w:r>
            <w:r>
              <w:rPr>
                <w:bCs/>
                <w:color w:val="auto"/>
                <w:vertAlign w:val="superscript"/>
              </w:rPr>
              <w:t>3</w:t>
            </w:r>
            <w:r>
              <w:rPr>
                <w:bCs/>
                <w:color w:val="auto"/>
              </w:rPr>
              <w:t>/h，日工作时</w:t>
            </w:r>
            <w:bookmarkEnd w:id="11"/>
            <w:r>
              <w:rPr>
                <w:bCs/>
                <w:color w:val="auto"/>
              </w:rPr>
              <w:t>间约</w:t>
            </w:r>
            <w:r>
              <w:rPr>
                <w:rFonts w:hint="eastAsia"/>
                <w:bCs/>
                <w:color w:val="auto"/>
                <w:lang w:val="en-US" w:eastAsia="zh-CN"/>
              </w:rPr>
              <w:t>1.5</w:t>
            </w:r>
            <w:r>
              <w:rPr>
                <w:bCs/>
                <w:color w:val="auto"/>
              </w:rPr>
              <w:t>h</w:t>
            </w:r>
            <w:r>
              <w:rPr>
                <w:rFonts w:hint="eastAsia"/>
                <w:bCs/>
                <w:color w:val="auto"/>
              </w:rPr>
              <w:t>，</w:t>
            </w:r>
            <w:r>
              <w:rPr>
                <w:bCs/>
                <w:color w:val="auto"/>
              </w:rPr>
              <w:t>油烟</w:t>
            </w:r>
            <w:r>
              <w:rPr>
                <w:rFonts w:hint="eastAsia"/>
                <w:bCs/>
                <w:color w:val="auto"/>
              </w:rPr>
              <w:t>排放浓度</w:t>
            </w:r>
            <w:r>
              <w:rPr>
                <w:rFonts w:hint="eastAsia"/>
                <w:bCs/>
                <w:color w:val="auto"/>
                <w:lang w:val="en-US" w:eastAsia="zh-CN"/>
              </w:rPr>
              <w:t>1.778</w:t>
            </w:r>
            <w:r>
              <w:rPr>
                <w:bCs/>
                <w:color w:val="auto"/>
              </w:rPr>
              <w:t>mg/m</w:t>
            </w:r>
            <w:r>
              <w:rPr>
                <w:bCs/>
                <w:color w:val="auto"/>
                <w:vertAlign w:val="superscript"/>
              </w:rPr>
              <w:t>3</w:t>
            </w:r>
            <w:r>
              <w:rPr>
                <w:rFonts w:hint="eastAsia"/>
                <w:bCs/>
                <w:color w:val="auto"/>
              </w:rPr>
              <w:t>，排放量为</w:t>
            </w:r>
            <w:r>
              <w:rPr>
                <w:rFonts w:hint="eastAsia"/>
                <w:bCs/>
                <w:color w:val="auto"/>
                <w:lang w:val="en-US" w:eastAsia="zh-CN"/>
              </w:rPr>
              <w:t>0.0012</w:t>
            </w:r>
            <w:r>
              <w:rPr>
                <w:rFonts w:hint="eastAsia"/>
                <w:bCs/>
                <w:color w:val="auto"/>
              </w:rPr>
              <w:t>t/a。</w:t>
            </w:r>
          </w:p>
          <w:p w14:paraId="0C34B5DC">
            <w:pPr>
              <w:ind w:firstLine="480"/>
              <w:rPr>
                <w:bCs/>
                <w:color w:val="auto"/>
              </w:rPr>
            </w:pPr>
            <w:r>
              <w:t>本项目</w:t>
            </w:r>
            <w:r>
              <w:rPr>
                <w:rFonts w:hint="eastAsia"/>
              </w:rPr>
              <w:t>全场</w:t>
            </w:r>
            <w:r>
              <w:t>劳动定员</w:t>
            </w:r>
            <w:r>
              <w:rPr>
                <w:rFonts w:hint="eastAsia"/>
                <w:lang w:val="en-US" w:eastAsia="zh-CN"/>
              </w:rPr>
              <w:t>22</w:t>
            </w:r>
            <w:r>
              <w:t>人</w:t>
            </w:r>
            <w:r>
              <w:rPr>
                <w:rFonts w:hint="eastAsia"/>
              </w:rPr>
              <w:t>，</w:t>
            </w:r>
            <w:r>
              <w:t>厂内提供</w:t>
            </w:r>
            <w:r>
              <w:rPr>
                <w:rFonts w:hint="eastAsia"/>
                <w:lang w:val="en-US" w:eastAsia="zh-CN"/>
              </w:rPr>
              <w:t>用餐</w:t>
            </w:r>
            <w:r>
              <w:t>。根据类比调查，职工每人每日耗食油约20~40g，取</w:t>
            </w:r>
            <w:r>
              <w:rPr>
                <w:rFonts w:hint="eastAsia"/>
              </w:rPr>
              <w:t>3</w:t>
            </w:r>
            <w:r>
              <w:t>0g/d·人，即本项目食堂耗油</w:t>
            </w:r>
            <w:r>
              <w:rPr>
                <w:rFonts w:hint="eastAsia"/>
                <w:lang w:val="en-US" w:eastAsia="zh-CN"/>
              </w:rPr>
              <w:t>0.198</w:t>
            </w:r>
            <w:r>
              <w:t>t/a。油烟和油的挥发量占总耗油量的2%~4%之间，取值</w:t>
            </w:r>
            <w:r>
              <w:rPr>
                <w:rFonts w:hint="eastAsia"/>
              </w:rPr>
              <w:t>3</w:t>
            </w:r>
            <w:r>
              <w:t>%，则油烟的产生量约为</w:t>
            </w:r>
            <w:r>
              <w:rPr>
                <w:rFonts w:hint="eastAsia"/>
                <w:lang w:val="en-US" w:eastAsia="zh-CN"/>
              </w:rPr>
              <w:t>0.006</w:t>
            </w:r>
            <w:r>
              <w:t>t/a</w:t>
            </w:r>
            <w:r>
              <w:rPr>
                <w:rFonts w:hint="eastAsia"/>
                <w:bCs/>
                <w:color w:val="auto"/>
              </w:rPr>
              <w:t>。</w:t>
            </w:r>
            <w:r>
              <w:rPr>
                <w:bCs/>
                <w:color w:val="auto"/>
              </w:rPr>
              <w:t>灶头排风量</w:t>
            </w:r>
            <w:r>
              <w:rPr>
                <w:rFonts w:hint="eastAsia"/>
                <w:bCs/>
                <w:color w:val="auto"/>
                <w:lang w:val="en-US" w:eastAsia="zh-CN"/>
              </w:rPr>
              <w:t>1</w:t>
            </w:r>
            <w:r>
              <w:rPr>
                <w:rFonts w:hint="eastAsia"/>
                <w:bCs/>
                <w:color w:val="auto"/>
              </w:rPr>
              <w:t>5</w:t>
            </w:r>
            <w:r>
              <w:rPr>
                <w:bCs/>
                <w:color w:val="auto"/>
              </w:rPr>
              <w:t>00m</w:t>
            </w:r>
            <w:r>
              <w:rPr>
                <w:bCs/>
                <w:color w:val="auto"/>
                <w:vertAlign w:val="superscript"/>
              </w:rPr>
              <w:t>3</w:t>
            </w:r>
            <w:r>
              <w:rPr>
                <w:bCs/>
                <w:color w:val="auto"/>
              </w:rPr>
              <w:t>/h，日工作时间约</w:t>
            </w:r>
            <w:r>
              <w:rPr>
                <w:rFonts w:hint="eastAsia"/>
                <w:bCs/>
                <w:color w:val="auto"/>
                <w:lang w:val="en-US" w:eastAsia="zh-CN"/>
              </w:rPr>
              <w:t>3.5</w:t>
            </w:r>
            <w:r>
              <w:rPr>
                <w:bCs/>
                <w:color w:val="auto"/>
              </w:rPr>
              <w:t>h</w:t>
            </w:r>
            <w:r>
              <w:rPr>
                <w:rFonts w:hint="eastAsia"/>
                <w:bCs/>
                <w:color w:val="auto"/>
              </w:rPr>
              <w:t>，</w:t>
            </w:r>
            <w:r>
              <w:rPr>
                <w:bCs/>
                <w:color w:val="auto"/>
              </w:rPr>
              <w:t>油烟</w:t>
            </w:r>
            <w:r>
              <w:rPr>
                <w:rFonts w:hint="eastAsia"/>
                <w:bCs/>
                <w:color w:val="auto"/>
              </w:rPr>
              <w:t>排放浓度</w:t>
            </w:r>
            <w:r>
              <w:rPr>
                <w:rFonts w:hint="eastAsia"/>
                <w:bCs/>
                <w:color w:val="auto"/>
                <w:lang w:val="en-US" w:eastAsia="zh-CN"/>
              </w:rPr>
              <w:t>1.270</w:t>
            </w:r>
            <w:r>
              <w:rPr>
                <w:bCs/>
                <w:color w:val="auto"/>
              </w:rPr>
              <w:t>mg/m</w:t>
            </w:r>
            <w:r>
              <w:rPr>
                <w:bCs/>
                <w:color w:val="auto"/>
                <w:vertAlign w:val="superscript"/>
              </w:rPr>
              <w:t>3</w:t>
            </w:r>
            <w:r>
              <w:rPr>
                <w:rFonts w:hint="eastAsia"/>
                <w:bCs/>
                <w:color w:val="auto"/>
              </w:rPr>
              <w:t>，排放量为</w:t>
            </w:r>
            <w:r>
              <w:rPr>
                <w:rFonts w:hint="eastAsia"/>
                <w:bCs/>
                <w:color w:val="auto"/>
                <w:lang w:val="en-US" w:eastAsia="zh-CN"/>
              </w:rPr>
              <w:t>0.002</w:t>
            </w:r>
            <w:r>
              <w:rPr>
                <w:rFonts w:hint="eastAsia"/>
                <w:bCs/>
                <w:color w:val="auto"/>
              </w:rPr>
              <w:t>t/a。</w:t>
            </w:r>
          </w:p>
          <w:p w14:paraId="0136B879">
            <w:pPr>
              <w:ind w:firstLine="480"/>
              <w:rPr>
                <w:rFonts w:hint="eastAsia"/>
                <w:b/>
                <w:bCs/>
              </w:rPr>
            </w:pPr>
            <w:r>
              <w:rPr>
                <w:rFonts w:hint="eastAsia"/>
                <w:bCs/>
                <w:color w:val="000000"/>
              </w:rPr>
              <w:t>食堂油烟</w:t>
            </w:r>
            <w:r>
              <w:rPr>
                <w:bCs/>
                <w:color w:val="000000"/>
              </w:rPr>
              <w:t>满足</w:t>
            </w:r>
            <w:r>
              <w:rPr>
                <w:color w:val="000000"/>
              </w:rPr>
              <w:t>《饮食业油烟排放标准》（GB18483-2001）中的相关标准（2.0</w:t>
            </w:r>
            <w:r>
              <w:rPr>
                <w:bCs/>
                <w:color w:val="000000"/>
              </w:rPr>
              <w:t>mg/m</w:t>
            </w:r>
            <w:r>
              <w:rPr>
                <w:bCs/>
                <w:color w:val="000000"/>
                <w:vertAlign w:val="superscript"/>
              </w:rPr>
              <w:t>3</w:t>
            </w:r>
            <w:r>
              <w:rPr>
                <w:color w:val="000000"/>
              </w:rPr>
              <w:t>），经过专用烟道进行</w:t>
            </w:r>
            <w:r>
              <w:rPr>
                <w:rFonts w:hint="eastAsia"/>
                <w:color w:val="000000"/>
              </w:rPr>
              <w:t>屋顶</w:t>
            </w:r>
            <w:r>
              <w:rPr>
                <w:color w:val="000000"/>
              </w:rPr>
              <w:t>排放，对周边环境影响很小。</w:t>
            </w:r>
          </w:p>
          <w:p w14:paraId="474B7642">
            <w:pPr>
              <w:widowControl w:val="0"/>
              <w:wordWrap/>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kern w:val="2"/>
                <w:sz w:val="24"/>
                <w:szCs w:val="24"/>
                <w:lang w:val="en-US" w:eastAsia="zh-CN"/>
              </w:rPr>
            </w:pPr>
            <w:r>
              <w:rPr>
                <w:rFonts w:hint="eastAsia" w:cs="Times New Roman"/>
                <w:b/>
                <w:bCs/>
                <w:color w:val="auto"/>
                <w:kern w:val="2"/>
                <w:sz w:val="24"/>
                <w:szCs w:val="24"/>
                <w:lang w:val="en-US" w:eastAsia="zh-CN"/>
              </w:rPr>
              <w:t>1</w:t>
            </w:r>
            <w:r>
              <w:rPr>
                <w:rFonts w:hint="default" w:ascii="Times New Roman" w:hAnsi="Times New Roman" w:eastAsia="宋体" w:cs="Times New Roman"/>
                <w:b/>
                <w:bCs/>
                <w:color w:val="auto"/>
                <w:kern w:val="2"/>
                <w:sz w:val="24"/>
                <w:szCs w:val="24"/>
                <w:lang w:val="en-US" w:eastAsia="zh-CN"/>
              </w:rPr>
              <w:t>.2 非正常工况下废气排放分析</w:t>
            </w:r>
          </w:p>
          <w:p w14:paraId="432340EB">
            <w:pPr>
              <w:spacing w:before="0" w:beforeAutospacing="0" w:after="0" w:afterAutospacing="0"/>
              <w:ind w:left="0" w:right="0" w:firstLine="3168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根据规定，非正常工况主要为开/停车、废气处理措施失效或发生故障；</w:t>
            </w:r>
          </w:p>
          <w:p w14:paraId="595448C9">
            <w:pPr>
              <w:spacing w:before="0" w:beforeAutospacing="0" w:after="0" w:afterAutospacing="0"/>
              <w:ind w:left="0" w:right="0" w:firstLine="3168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环评要求：企业在开始运行前，须先开启废气处理设施；生产线停运时，确保废气处理设施运行5~10分钟后再关闭。在此只分析废气处理措施发生故障时的污染物排放。</w:t>
            </w:r>
          </w:p>
          <w:p w14:paraId="3AE4992B">
            <w:pPr>
              <w:spacing w:before="0" w:beforeAutospacing="0" w:after="0" w:afterAutospacing="0"/>
              <w:ind w:left="0" w:right="0" w:firstLine="3168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由于多种原因，风机损坏须更换备件，一般在30min左右，此种情况一年最多发生1~2次。如果运行中</w:t>
            </w:r>
            <w:r>
              <w:rPr>
                <w:rFonts w:hint="eastAsia" w:cs="Times New Roman"/>
                <w:color w:val="auto"/>
                <w:kern w:val="2"/>
                <w:sz w:val="24"/>
                <w:szCs w:val="24"/>
                <w:lang w:val="en-US" w:eastAsia="zh-CN"/>
              </w:rPr>
              <w:t>布袋除尘器损坏</w:t>
            </w:r>
            <w:r>
              <w:rPr>
                <w:rFonts w:hint="default" w:ascii="Times New Roman" w:hAnsi="Times New Roman" w:eastAsia="宋体" w:cs="Times New Roman"/>
                <w:color w:val="auto"/>
                <w:kern w:val="2"/>
                <w:sz w:val="24"/>
                <w:szCs w:val="24"/>
              </w:rPr>
              <w:t>，运行时可立即发现。在此，非正常工况下的布袋除尘效率取值</w:t>
            </w:r>
            <w:r>
              <w:rPr>
                <w:rFonts w:hint="eastAsia" w:cs="Times New Roman"/>
                <w:color w:val="auto"/>
                <w:kern w:val="2"/>
                <w:sz w:val="24"/>
                <w:szCs w:val="24"/>
                <w:lang w:val="en-US" w:eastAsia="zh-CN"/>
              </w:rPr>
              <w:t>90</w:t>
            </w:r>
            <w:r>
              <w:rPr>
                <w:rFonts w:hint="default" w:ascii="Times New Roman" w:hAnsi="Times New Roman" w:eastAsia="宋体" w:cs="Times New Roman"/>
                <w:color w:val="auto"/>
                <w:kern w:val="2"/>
                <w:sz w:val="24"/>
                <w:szCs w:val="24"/>
              </w:rPr>
              <w:t>%。由于多种原因，</w:t>
            </w:r>
            <w:r>
              <w:rPr>
                <w:rFonts w:hint="eastAsia" w:cs="Times New Roman"/>
                <w:color w:val="auto"/>
                <w:kern w:val="2"/>
                <w:sz w:val="24"/>
                <w:szCs w:val="24"/>
                <w:lang w:val="en-US" w:eastAsia="zh-CN"/>
              </w:rPr>
              <w:t>布袋除尘器</w:t>
            </w:r>
            <w:r>
              <w:rPr>
                <w:rFonts w:hint="default" w:ascii="Times New Roman" w:hAnsi="Times New Roman" w:eastAsia="宋体" w:cs="Times New Roman"/>
                <w:color w:val="auto"/>
                <w:kern w:val="2"/>
                <w:sz w:val="24"/>
                <w:szCs w:val="24"/>
              </w:rPr>
              <w:t>损坏须更换备件，一般在30min左右，此种情况一年最多发生1~2次。如果运行中</w:t>
            </w:r>
            <w:r>
              <w:rPr>
                <w:rFonts w:hint="eastAsia" w:cs="Times New Roman"/>
                <w:color w:val="auto"/>
                <w:kern w:val="2"/>
                <w:sz w:val="24"/>
                <w:szCs w:val="24"/>
                <w:lang w:val="en-US" w:eastAsia="zh-CN"/>
              </w:rPr>
              <w:t>布袋除尘器损坏</w:t>
            </w:r>
            <w:r>
              <w:rPr>
                <w:rFonts w:hint="default" w:ascii="Times New Roman" w:hAnsi="Times New Roman" w:eastAsia="宋体" w:cs="Times New Roman"/>
                <w:color w:val="auto"/>
                <w:kern w:val="2"/>
                <w:sz w:val="24"/>
                <w:szCs w:val="24"/>
              </w:rPr>
              <w:t>失效或发生故障，运行时可立即发现。在此，非正常工况下的</w:t>
            </w:r>
            <w:r>
              <w:rPr>
                <w:rFonts w:hint="eastAsia" w:cs="Times New Roman"/>
                <w:color w:val="auto"/>
                <w:kern w:val="2"/>
                <w:sz w:val="24"/>
                <w:szCs w:val="24"/>
                <w:lang w:val="en-US" w:eastAsia="zh-CN"/>
              </w:rPr>
              <w:t>布袋除尘器</w:t>
            </w:r>
            <w:r>
              <w:rPr>
                <w:rFonts w:hint="default" w:ascii="Times New Roman" w:hAnsi="Times New Roman" w:eastAsia="宋体" w:cs="Times New Roman"/>
                <w:color w:val="auto"/>
                <w:kern w:val="2"/>
                <w:sz w:val="24"/>
                <w:szCs w:val="24"/>
              </w:rPr>
              <w:t>处理效率取值</w:t>
            </w:r>
            <w:r>
              <w:rPr>
                <w:rFonts w:hint="eastAsia" w:cs="Times New Roman"/>
                <w:color w:val="auto"/>
                <w:kern w:val="2"/>
                <w:sz w:val="24"/>
                <w:szCs w:val="24"/>
                <w:lang w:val="en-US" w:eastAsia="zh-CN"/>
              </w:rPr>
              <w:t>9</w:t>
            </w:r>
            <w:r>
              <w:rPr>
                <w:rFonts w:hint="default" w:ascii="Times New Roman" w:hAnsi="Times New Roman" w:eastAsia="宋体" w:cs="Times New Roman"/>
                <w:color w:val="auto"/>
                <w:kern w:val="2"/>
                <w:sz w:val="24"/>
                <w:szCs w:val="24"/>
              </w:rPr>
              <w:t>0%。</w:t>
            </w:r>
          </w:p>
          <w:p w14:paraId="3BF4A623">
            <w:pPr>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表4-</w:t>
            </w:r>
            <w:r>
              <w:rPr>
                <w:rFonts w:hint="default" w:ascii="Times New Roman" w:hAnsi="Times New Roman" w:eastAsia="宋体" w:cs="Times New Roman"/>
                <w:b/>
                <w:bCs/>
                <w:color w:val="auto"/>
                <w:kern w:val="2"/>
                <w:sz w:val="24"/>
                <w:szCs w:val="24"/>
                <w:lang w:val="en-US" w:eastAsia="zh-CN"/>
              </w:rPr>
              <w:t>1</w:t>
            </w:r>
            <w:r>
              <w:rPr>
                <w:rFonts w:hint="eastAsia" w:cs="Times New Roman"/>
                <w:b/>
                <w:bCs/>
                <w:color w:val="auto"/>
                <w:kern w:val="2"/>
                <w:sz w:val="24"/>
                <w:szCs w:val="24"/>
                <w:lang w:val="en-US" w:eastAsia="zh-CN"/>
              </w:rPr>
              <w:t>2</w:t>
            </w:r>
            <w:r>
              <w:rPr>
                <w:rFonts w:hint="default" w:ascii="Times New Roman" w:hAnsi="Times New Roman" w:eastAsia="宋体" w:cs="Times New Roman"/>
                <w:b/>
                <w:bCs/>
                <w:color w:val="auto"/>
                <w:kern w:val="2"/>
                <w:sz w:val="24"/>
                <w:szCs w:val="24"/>
              </w:rPr>
              <w:t xml:space="preserve">  </w:t>
            </w:r>
            <w:r>
              <w:rPr>
                <w:rFonts w:hint="default" w:ascii="Times New Roman" w:hAnsi="Times New Roman" w:eastAsia="宋体" w:cs="Times New Roman"/>
                <w:b/>
                <w:bCs/>
                <w:color w:val="auto"/>
                <w:kern w:val="2"/>
                <w:sz w:val="24"/>
                <w:szCs w:val="24"/>
                <w:lang w:val="en-US" w:eastAsia="zh-CN"/>
              </w:rPr>
              <w:t>非正常工况废气</w:t>
            </w:r>
            <w:r>
              <w:rPr>
                <w:rFonts w:hint="default" w:ascii="Times New Roman" w:hAnsi="Times New Roman" w:eastAsia="宋体" w:cs="Times New Roman"/>
                <w:b/>
                <w:bCs/>
                <w:color w:val="auto"/>
                <w:kern w:val="2"/>
                <w:sz w:val="24"/>
                <w:szCs w:val="24"/>
              </w:rPr>
              <w:t>产生及排放情况一览表</w:t>
            </w:r>
          </w:p>
          <w:tbl>
            <w:tblPr>
              <w:tblStyle w:val="2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01"/>
              <w:gridCol w:w="801"/>
              <w:gridCol w:w="740"/>
              <w:gridCol w:w="740"/>
              <w:gridCol w:w="741"/>
              <w:gridCol w:w="741"/>
              <w:gridCol w:w="741"/>
              <w:gridCol w:w="741"/>
              <w:gridCol w:w="741"/>
              <w:gridCol w:w="741"/>
            </w:tblGrid>
            <w:tr w14:paraId="6C09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0DB89D0A">
                  <w:pPr>
                    <w:pStyle w:val="3"/>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名称</w:t>
                  </w:r>
                </w:p>
              </w:tc>
              <w:tc>
                <w:tcPr>
                  <w:tcW w:w="801" w:type="dxa"/>
                  <w:tcBorders>
                    <w:top w:val="single" w:color="auto" w:sz="4" w:space="0"/>
                    <w:left w:val="single" w:color="auto" w:sz="4" w:space="0"/>
                    <w:bottom w:val="single" w:color="auto" w:sz="4" w:space="0"/>
                    <w:right w:val="single" w:color="auto" w:sz="4" w:space="0"/>
                  </w:tcBorders>
                  <w:vAlign w:val="center"/>
                </w:tcPr>
                <w:p w14:paraId="41524D74">
                  <w:pPr>
                    <w:pStyle w:val="3"/>
                    <w:spacing w:before="0" w:beforeAutospacing="0" w:after="0" w:afterAutospacing="0"/>
                    <w:ind w:left="0" w:right="0"/>
                    <w:jc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污染物名称</w:t>
                  </w:r>
                </w:p>
              </w:tc>
              <w:tc>
                <w:tcPr>
                  <w:tcW w:w="801" w:type="dxa"/>
                  <w:tcBorders>
                    <w:top w:val="single" w:color="auto" w:sz="4" w:space="0"/>
                    <w:left w:val="single" w:color="auto" w:sz="4" w:space="0"/>
                    <w:bottom w:val="single" w:color="auto" w:sz="4" w:space="0"/>
                    <w:right w:val="single" w:color="auto" w:sz="4" w:space="0"/>
                  </w:tcBorders>
                  <w:vAlign w:val="center"/>
                </w:tcPr>
                <w:p w14:paraId="43A8C781">
                  <w:pPr>
                    <w:pStyle w:val="3"/>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rPr>
                    <w:t>收集</w:t>
                  </w:r>
                  <w:r>
                    <w:rPr>
                      <w:rFonts w:hint="default" w:ascii="Times New Roman" w:hAnsi="Times New Roman" w:eastAsia="宋体" w:cs="Times New Roman"/>
                      <w:b/>
                      <w:bCs/>
                      <w:color w:val="auto"/>
                      <w:kern w:val="2"/>
                      <w:sz w:val="21"/>
                      <w:szCs w:val="21"/>
                    </w:rPr>
                    <w:t>量（t/a）</w:t>
                  </w:r>
                </w:p>
              </w:tc>
              <w:tc>
                <w:tcPr>
                  <w:tcW w:w="740" w:type="dxa"/>
                  <w:tcBorders>
                    <w:top w:val="single" w:color="auto" w:sz="4" w:space="0"/>
                    <w:left w:val="single" w:color="auto" w:sz="4" w:space="0"/>
                    <w:bottom w:val="single" w:color="auto" w:sz="4" w:space="0"/>
                    <w:right w:val="single" w:color="auto" w:sz="4" w:space="0"/>
                  </w:tcBorders>
                  <w:vAlign w:val="center"/>
                </w:tcPr>
                <w:p w14:paraId="663C8AB0">
                  <w:pPr>
                    <w:pStyle w:val="3"/>
                    <w:spacing w:before="0" w:beforeAutospacing="0" w:after="0" w:afterAutospacing="0"/>
                    <w:ind w:left="0" w:right="0"/>
                    <w:jc w:val="center"/>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生产时间</w:t>
                  </w:r>
                </w:p>
              </w:tc>
              <w:tc>
                <w:tcPr>
                  <w:tcW w:w="740" w:type="dxa"/>
                  <w:tcBorders>
                    <w:top w:val="single" w:color="auto" w:sz="4" w:space="0"/>
                    <w:left w:val="single" w:color="auto" w:sz="4" w:space="0"/>
                    <w:bottom w:val="single" w:color="auto" w:sz="4" w:space="0"/>
                    <w:right w:val="single" w:color="auto" w:sz="4" w:space="0"/>
                  </w:tcBorders>
                  <w:vAlign w:val="center"/>
                </w:tcPr>
                <w:p w14:paraId="0453B31A">
                  <w:pPr>
                    <w:pStyle w:val="3"/>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rPr>
                    <w:t>收集</w:t>
                  </w:r>
                  <w:r>
                    <w:rPr>
                      <w:rFonts w:hint="default" w:ascii="Times New Roman" w:hAnsi="Times New Roman" w:eastAsia="宋体" w:cs="Times New Roman"/>
                      <w:b/>
                      <w:bCs/>
                      <w:color w:val="auto"/>
                      <w:kern w:val="2"/>
                      <w:sz w:val="21"/>
                      <w:szCs w:val="21"/>
                    </w:rPr>
                    <w:t>速率（kg/h）</w:t>
                  </w:r>
                </w:p>
              </w:tc>
              <w:tc>
                <w:tcPr>
                  <w:tcW w:w="741" w:type="dxa"/>
                  <w:tcBorders>
                    <w:top w:val="single" w:color="auto" w:sz="4" w:space="0"/>
                    <w:left w:val="single" w:color="auto" w:sz="4" w:space="0"/>
                    <w:bottom w:val="single" w:color="auto" w:sz="4" w:space="0"/>
                    <w:right w:val="single" w:color="auto" w:sz="4" w:space="0"/>
                  </w:tcBorders>
                  <w:vAlign w:val="center"/>
                </w:tcPr>
                <w:p w14:paraId="24103566">
                  <w:pPr>
                    <w:pStyle w:val="3"/>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rPr>
                    <w:t>收集</w:t>
                  </w:r>
                  <w:r>
                    <w:rPr>
                      <w:rFonts w:hint="default" w:ascii="Times New Roman" w:hAnsi="Times New Roman" w:eastAsia="宋体" w:cs="Times New Roman"/>
                      <w:b/>
                      <w:bCs/>
                      <w:color w:val="auto"/>
                      <w:kern w:val="2"/>
                      <w:sz w:val="21"/>
                      <w:szCs w:val="21"/>
                    </w:rPr>
                    <w:t>浓度（mg/m</w:t>
                  </w:r>
                  <w:r>
                    <w:rPr>
                      <w:rFonts w:hint="default" w:ascii="Times New Roman" w:hAnsi="Times New Roman" w:eastAsia="宋体" w:cs="Times New Roman"/>
                      <w:b/>
                      <w:bCs/>
                      <w:color w:val="auto"/>
                      <w:kern w:val="2"/>
                      <w:sz w:val="21"/>
                      <w:szCs w:val="21"/>
                      <w:vertAlign w:val="superscript"/>
                    </w:rPr>
                    <w:t>3</w:t>
                  </w:r>
                  <w:r>
                    <w:rPr>
                      <w:rFonts w:hint="default" w:ascii="Times New Roman" w:hAnsi="Times New Roman" w:eastAsia="宋体" w:cs="Times New Roman"/>
                      <w:b/>
                      <w:bCs/>
                      <w:color w:val="auto"/>
                      <w:kern w:val="2"/>
                      <w:sz w:val="21"/>
                      <w:szCs w:val="21"/>
                    </w:rPr>
                    <w:t>）</w:t>
                  </w:r>
                </w:p>
              </w:tc>
              <w:tc>
                <w:tcPr>
                  <w:tcW w:w="741" w:type="dxa"/>
                  <w:tcBorders>
                    <w:top w:val="single" w:color="auto" w:sz="4" w:space="0"/>
                    <w:left w:val="single" w:color="auto" w:sz="4" w:space="0"/>
                    <w:bottom w:val="single" w:color="auto" w:sz="4" w:space="0"/>
                    <w:right w:val="single" w:color="auto" w:sz="4" w:space="0"/>
                  </w:tcBorders>
                  <w:vAlign w:val="center"/>
                </w:tcPr>
                <w:p w14:paraId="35D0A433">
                  <w:pPr>
                    <w:pStyle w:val="3"/>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风量（m</w:t>
                  </w:r>
                  <w:r>
                    <w:rPr>
                      <w:rFonts w:hint="default" w:ascii="Times New Roman" w:hAnsi="Times New Roman" w:eastAsia="宋体" w:cs="Times New Roman"/>
                      <w:b/>
                      <w:bCs/>
                      <w:color w:val="auto"/>
                      <w:kern w:val="2"/>
                      <w:sz w:val="21"/>
                      <w:szCs w:val="21"/>
                      <w:vertAlign w:val="superscript"/>
                    </w:rPr>
                    <w:t>3</w:t>
                  </w:r>
                  <w:r>
                    <w:rPr>
                      <w:rFonts w:hint="default" w:ascii="Times New Roman" w:hAnsi="Times New Roman" w:eastAsia="宋体" w:cs="Times New Roman"/>
                      <w:b/>
                      <w:bCs/>
                      <w:color w:val="auto"/>
                      <w:kern w:val="2"/>
                      <w:sz w:val="21"/>
                      <w:szCs w:val="21"/>
                    </w:rPr>
                    <w:t>/h）</w:t>
                  </w:r>
                </w:p>
              </w:tc>
              <w:tc>
                <w:tcPr>
                  <w:tcW w:w="741" w:type="dxa"/>
                  <w:tcBorders>
                    <w:top w:val="single" w:color="auto" w:sz="4" w:space="0"/>
                    <w:left w:val="single" w:color="auto" w:sz="4" w:space="0"/>
                    <w:bottom w:val="single" w:color="auto" w:sz="4" w:space="0"/>
                    <w:right w:val="single" w:color="auto" w:sz="4" w:space="0"/>
                  </w:tcBorders>
                  <w:vAlign w:val="center"/>
                </w:tcPr>
                <w:p w14:paraId="0B4C58DD">
                  <w:pPr>
                    <w:pStyle w:val="3"/>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rPr>
                    <w:t>环保设备</w:t>
                  </w:r>
                  <w:r>
                    <w:rPr>
                      <w:rFonts w:hint="default" w:ascii="Times New Roman" w:hAnsi="Times New Roman" w:eastAsia="宋体" w:cs="Times New Roman"/>
                      <w:b/>
                      <w:bCs/>
                      <w:color w:val="auto"/>
                      <w:kern w:val="2"/>
                      <w:sz w:val="21"/>
                      <w:szCs w:val="21"/>
                    </w:rPr>
                    <w:t>效率</w:t>
                  </w:r>
                </w:p>
              </w:tc>
              <w:tc>
                <w:tcPr>
                  <w:tcW w:w="741" w:type="dxa"/>
                  <w:tcBorders>
                    <w:top w:val="single" w:color="auto" w:sz="4" w:space="0"/>
                    <w:left w:val="single" w:color="auto" w:sz="4" w:space="0"/>
                    <w:bottom w:val="single" w:color="auto" w:sz="4" w:space="0"/>
                    <w:right w:val="single" w:color="auto" w:sz="4" w:space="0"/>
                  </w:tcBorders>
                  <w:vAlign w:val="center"/>
                </w:tcPr>
                <w:p w14:paraId="7DD9A267">
                  <w:pPr>
                    <w:pStyle w:val="3"/>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排放量（t/a）</w:t>
                  </w:r>
                </w:p>
              </w:tc>
              <w:tc>
                <w:tcPr>
                  <w:tcW w:w="741" w:type="dxa"/>
                  <w:tcBorders>
                    <w:top w:val="single" w:color="auto" w:sz="4" w:space="0"/>
                    <w:left w:val="single" w:color="auto" w:sz="4" w:space="0"/>
                    <w:bottom w:val="single" w:color="auto" w:sz="4" w:space="0"/>
                    <w:right w:val="single" w:color="auto" w:sz="4" w:space="0"/>
                  </w:tcBorders>
                  <w:vAlign w:val="center"/>
                </w:tcPr>
                <w:p w14:paraId="68F06EA3">
                  <w:pPr>
                    <w:pStyle w:val="3"/>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排放速率（kg/h）</w:t>
                  </w:r>
                </w:p>
              </w:tc>
              <w:tc>
                <w:tcPr>
                  <w:tcW w:w="741" w:type="dxa"/>
                  <w:tcBorders>
                    <w:top w:val="single" w:color="auto" w:sz="4" w:space="0"/>
                    <w:left w:val="single" w:color="auto" w:sz="4" w:space="0"/>
                    <w:bottom w:val="single" w:color="auto" w:sz="4" w:space="0"/>
                    <w:right w:val="single" w:color="auto" w:sz="4" w:space="0"/>
                  </w:tcBorders>
                  <w:vAlign w:val="center"/>
                </w:tcPr>
                <w:p w14:paraId="2EBC4B4F">
                  <w:pPr>
                    <w:pStyle w:val="3"/>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排放浓度（mg/m</w:t>
                  </w:r>
                  <w:r>
                    <w:rPr>
                      <w:rFonts w:hint="default" w:ascii="Times New Roman" w:hAnsi="Times New Roman" w:eastAsia="宋体" w:cs="Times New Roman"/>
                      <w:b/>
                      <w:bCs/>
                      <w:color w:val="auto"/>
                      <w:kern w:val="2"/>
                      <w:sz w:val="21"/>
                      <w:szCs w:val="21"/>
                      <w:vertAlign w:val="superscript"/>
                    </w:rPr>
                    <w:t>3</w:t>
                  </w:r>
                  <w:r>
                    <w:rPr>
                      <w:rFonts w:hint="default" w:ascii="Times New Roman" w:hAnsi="Times New Roman" w:eastAsia="宋体" w:cs="Times New Roman"/>
                      <w:b/>
                      <w:bCs/>
                      <w:color w:val="auto"/>
                      <w:kern w:val="2"/>
                      <w:sz w:val="21"/>
                      <w:szCs w:val="21"/>
                    </w:rPr>
                    <w:t>）</w:t>
                  </w:r>
                </w:p>
              </w:tc>
            </w:tr>
            <w:tr w14:paraId="0E9F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tcBorders>
                    <w:top w:val="single" w:color="auto" w:sz="4" w:space="0"/>
                    <w:left w:val="single" w:color="auto" w:sz="4" w:space="0"/>
                    <w:right w:val="single" w:color="auto" w:sz="4" w:space="0"/>
                  </w:tcBorders>
                  <w:vAlign w:val="center"/>
                </w:tcPr>
                <w:p w14:paraId="5B531D7C">
                  <w:pPr>
                    <w:pStyle w:val="3"/>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输送、投料粉尘</w:t>
                  </w:r>
                </w:p>
              </w:tc>
              <w:tc>
                <w:tcPr>
                  <w:tcW w:w="801" w:type="dxa"/>
                  <w:tcBorders>
                    <w:top w:val="single" w:color="auto" w:sz="4" w:space="0"/>
                    <w:left w:val="single" w:color="auto" w:sz="4" w:space="0"/>
                    <w:bottom w:val="single" w:color="auto" w:sz="4" w:space="0"/>
                    <w:right w:val="single" w:color="auto" w:sz="4" w:space="0"/>
                  </w:tcBorders>
                  <w:vAlign w:val="center"/>
                </w:tcPr>
                <w:p w14:paraId="3D33AD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eastAsia" w:cs="Times New Roman"/>
                      <w:i w:val="0"/>
                      <w:color w:val="auto"/>
                      <w:kern w:val="0"/>
                      <w:sz w:val="21"/>
                      <w:szCs w:val="21"/>
                      <w:u w:val="none"/>
                      <w:lang w:val="en-US" w:eastAsia="zh-CN" w:bidi="ar"/>
                    </w:rPr>
                    <w:t>颗粒物</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4AEFFF4F">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23.49</w:t>
                  </w:r>
                </w:p>
              </w:tc>
              <w:tc>
                <w:tcPr>
                  <w:tcW w:w="740" w:type="dxa"/>
                  <w:tcBorders>
                    <w:top w:val="single" w:color="auto" w:sz="4" w:space="0"/>
                    <w:left w:val="single" w:color="auto" w:sz="4" w:space="0"/>
                    <w:right w:val="single" w:color="auto" w:sz="4" w:space="0"/>
                  </w:tcBorders>
                  <w:vAlign w:val="center"/>
                </w:tcPr>
                <w:p w14:paraId="0EFED72A">
                  <w:pPr>
                    <w:pStyle w:val="3"/>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1450</w:t>
                  </w:r>
                </w:p>
              </w:tc>
              <w:tc>
                <w:tcPr>
                  <w:tcW w:w="740" w:type="dxa"/>
                  <w:tcBorders>
                    <w:top w:val="single" w:color="auto" w:sz="4" w:space="0"/>
                    <w:left w:val="single" w:color="auto" w:sz="4" w:space="0"/>
                    <w:bottom w:val="single" w:color="auto" w:sz="4" w:space="0"/>
                    <w:right w:val="single" w:color="auto" w:sz="4" w:space="0"/>
                  </w:tcBorders>
                  <w:vAlign w:val="center"/>
                </w:tcPr>
                <w:p w14:paraId="344483EE">
                  <w:pPr>
                    <w:pStyle w:val="3"/>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16.2</w:t>
                  </w:r>
                </w:p>
              </w:tc>
              <w:tc>
                <w:tcPr>
                  <w:tcW w:w="741" w:type="dxa"/>
                  <w:tcBorders>
                    <w:top w:val="single" w:color="auto" w:sz="4" w:space="0"/>
                    <w:left w:val="single" w:color="auto" w:sz="4" w:space="0"/>
                    <w:bottom w:val="single" w:color="auto" w:sz="4" w:space="0"/>
                    <w:right w:val="single" w:color="auto" w:sz="4" w:space="0"/>
                  </w:tcBorders>
                  <w:vAlign w:val="center"/>
                </w:tcPr>
                <w:p w14:paraId="24CC8211">
                  <w:pPr>
                    <w:pStyle w:val="3"/>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810</w:t>
                  </w:r>
                </w:p>
              </w:tc>
              <w:tc>
                <w:tcPr>
                  <w:tcW w:w="741" w:type="dxa"/>
                  <w:tcBorders>
                    <w:top w:val="single" w:color="auto" w:sz="4" w:space="0"/>
                    <w:left w:val="single" w:color="auto" w:sz="4" w:space="0"/>
                    <w:right w:val="single" w:color="auto" w:sz="4" w:space="0"/>
                  </w:tcBorders>
                  <w:vAlign w:val="center"/>
                </w:tcPr>
                <w:p w14:paraId="64BDA885">
                  <w:pPr>
                    <w:pStyle w:val="3"/>
                    <w:spacing w:before="0" w:beforeAutospacing="0" w:after="0" w:afterAutospacing="0"/>
                    <w:ind w:left="0" w:leftChars="0" w:right="0" w:firstLine="0" w:firstLineChars="0"/>
                    <w:jc w:val="center"/>
                    <w:rPr>
                      <w:rFonts w:hint="default" w:ascii="Times New Roman" w:hAnsi="Times New Roman" w:eastAsia="宋体" w:cs="Times New Roman"/>
                      <w:color w:val="auto"/>
                      <w:kern w:val="2"/>
                      <w:sz w:val="21"/>
                      <w:szCs w:val="21"/>
                      <w:lang w:val="en-US"/>
                    </w:rPr>
                  </w:pPr>
                  <w:r>
                    <w:rPr>
                      <w:rFonts w:hint="eastAsia" w:cs="Times New Roman"/>
                      <w:color w:val="auto"/>
                      <w:kern w:val="2"/>
                      <w:sz w:val="21"/>
                      <w:szCs w:val="21"/>
                      <w:lang w:val="en-US" w:eastAsia="zh-CN"/>
                    </w:rPr>
                    <w:t>20000</w:t>
                  </w:r>
                </w:p>
              </w:tc>
              <w:tc>
                <w:tcPr>
                  <w:tcW w:w="741" w:type="dxa"/>
                  <w:tcBorders>
                    <w:top w:val="single" w:color="auto" w:sz="4" w:space="0"/>
                    <w:left w:val="single" w:color="auto" w:sz="4" w:space="0"/>
                    <w:right w:val="single" w:color="auto" w:sz="4" w:space="0"/>
                  </w:tcBorders>
                  <w:vAlign w:val="center"/>
                </w:tcPr>
                <w:p w14:paraId="4C05E98B">
                  <w:pPr>
                    <w:pStyle w:val="3"/>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cs="Times New Roman"/>
                      <w:color w:val="auto"/>
                      <w:kern w:val="2"/>
                      <w:sz w:val="21"/>
                      <w:szCs w:val="21"/>
                      <w:lang w:val="en-US" w:eastAsia="zh-CN"/>
                    </w:rPr>
                    <w:t>90</w:t>
                  </w:r>
                  <w:r>
                    <w:rPr>
                      <w:rFonts w:hint="default" w:ascii="Times New Roman" w:hAnsi="Times New Roman" w:eastAsia="宋体" w:cs="Times New Roman"/>
                      <w:color w:val="auto"/>
                      <w:kern w:val="2"/>
                      <w:sz w:val="21"/>
                      <w:szCs w:val="21"/>
                      <w:lang w:val="en-US" w:eastAsia="zh-CN"/>
                    </w:rPr>
                    <w:t>%</w:t>
                  </w:r>
                </w:p>
              </w:tc>
              <w:tc>
                <w:tcPr>
                  <w:tcW w:w="741" w:type="dxa"/>
                  <w:tcBorders>
                    <w:top w:val="single" w:color="auto" w:sz="4" w:space="0"/>
                    <w:left w:val="single" w:color="auto" w:sz="4" w:space="0"/>
                    <w:bottom w:val="single" w:color="auto" w:sz="4" w:space="0"/>
                    <w:right w:val="single" w:color="auto" w:sz="4" w:space="0"/>
                  </w:tcBorders>
                  <w:vAlign w:val="center"/>
                </w:tcPr>
                <w:p w14:paraId="61E23591">
                  <w:pPr>
                    <w:pStyle w:val="3"/>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2.349</w:t>
                  </w:r>
                </w:p>
              </w:tc>
              <w:tc>
                <w:tcPr>
                  <w:tcW w:w="741" w:type="dxa"/>
                  <w:tcBorders>
                    <w:top w:val="single" w:color="auto" w:sz="4" w:space="0"/>
                    <w:left w:val="single" w:color="auto" w:sz="4" w:space="0"/>
                    <w:bottom w:val="single" w:color="auto" w:sz="4" w:space="0"/>
                    <w:right w:val="single" w:color="auto" w:sz="4" w:space="0"/>
                  </w:tcBorders>
                  <w:vAlign w:val="center"/>
                </w:tcPr>
                <w:p w14:paraId="66D9F7DF">
                  <w:pPr>
                    <w:pStyle w:val="3"/>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1.62</w:t>
                  </w:r>
                </w:p>
              </w:tc>
              <w:tc>
                <w:tcPr>
                  <w:tcW w:w="741" w:type="dxa"/>
                  <w:tcBorders>
                    <w:top w:val="single" w:color="auto" w:sz="4" w:space="0"/>
                    <w:left w:val="single" w:color="auto" w:sz="4" w:space="0"/>
                    <w:bottom w:val="single" w:color="auto" w:sz="4" w:space="0"/>
                    <w:right w:val="single" w:color="auto" w:sz="4" w:space="0"/>
                  </w:tcBorders>
                  <w:vAlign w:val="center"/>
                </w:tcPr>
                <w:p w14:paraId="1D9BE05A">
                  <w:pPr>
                    <w:pStyle w:val="3"/>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81</w:t>
                  </w:r>
                </w:p>
              </w:tc>
            </w:tr>
          </w:tbl>
          <w:p w14:paraId="0BBDA800">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default" w:ascii="Times New Roman" w:hAnsi="Times New Roman" w:eastAsia="宋体" w:cs="Times New Roman"/>
                <w:color w:val="auto"/>
                <w:kern w:val="2"/>
                <w:sz w:val="24"/>
                <w:szCs w:val="24"/>
              </w:rPr>
              <w:t>综上，当出现非常工况，即</w:t>
            </w:r>
            <w:r>
              <w:rPr>
                <w:rFonts w:hint="eastAsia" w:cs="Times New Roman"/>
                <w:color w:val="auto"/>
                <w:kern w:val="2"/>
                <w:sz w:val="24"/>
                <w:szCs w:val="24"/>
                <w:lang w:val="en-US" w:eastAsia="zh-CN"/>
              </w:rPr>
              <w:t>活性炭吸附装置</w:t>
            </w:r>
            <w:r>
              <w:rPr>
                <w:rFonts w:hint="default" w:ascii="Times New Roman" w:hAnsi="Times New Roman" w:eastAsia="宋体" w:cs="Times New Roman"/>
                <w:color w:val="auto"/>
                <w:kern w:val="2"/>
                <w:sz w:val="24"/>
                <w:szCs w:val="24"/>
              </w:rPr>
              <w:t>故障时，此种情况一年最多发生1~2次。外环境影响程度比正常工况显著增加，对外环境影响只是暂时的。因此，应对环保设施加强管理和维护，避免非正常排放的发生。</w:t>
            </w:r>
          </w:p>
          <w:p w14:paraId="0322D6F5">
            <w:pPr>
              <w:ind w:firstLine="0" w:firstLineChars="0"/>
              <w:rPr>
                <w:color w:val="auto"/>
              </w:rPr>
            </w:pPr>
          </w:p>
          <w:p w14:paraId="7015A1B9">
            <w:pPr>
              <w:ind w:firstLine="0" w:firstLineChars="0"/>
              <w:rPr>
                <w:color w:val="auto"/>
              </w:rPr>
            </w:pPr>
          </w:p>
          <w:p w14:paraId="514B04E2">
            <w:pPr>
              <w:ind w:firstLine="0" w:firstLineChars="0"/>
              <w:rPr>
                <w:color w:val="auto"/>
              </w:rPr>
            </w:pPr>
          </w:p>
          <w:p w14:paraId="28DE73EC">
            <w:pPr>
              <w:ind w:firstLine="0" w:firstLineChars="0"/>
              <w:rPr>
                <w:color w:val="auto"/>
              </w:rPr>
            </w:pPr>
          </w:p>
          <w:p w14:paraId="1A73FBCD">
            <w:pPr>
              <w:ind w:firstLine="0" w:firstLineChars="0"/>
              <w:rPr>
                <w:rFonts w:hint="eastAsia" w:eastAsia="宋体"/>
                <w:color w:val="auto"/>
                <w:lang w:val="en-US" w:eastAsia="zh-CN"/>
              </w:rPr>
            </w:pPr>
          </w:p>
        </w:tc>
      </w:tr>
    </w:tbl>
    <w:p w14:paraId="426234B1">
      <w:pPr>
        <w:adjustRightInd w:val="0"/>
        <w:snapToGrid w:val="0"/>
        <w:ind w:firstLine="562"/>
        <w:rPr>
          <w:rFonts w:ascii="宋体" w:cs="宋体"/>
          <w:b/>
          <w:color w:val="auto"/>
          <w:kern w:val="0"/>
          <w:sz w:val="28"/>
          <w:szCs w:val="28"/>
        </w:rPr>
        <w:sectPr>
          <w:pgSz w:w="11907" w:h="16840"/>
          <w:pgMar w:top="1701" w:right="1531" w:bottom="2127" w:left="1531" w:header="851" w:footer="851" w:gutter="0"/>
          <w:pgNumType w:fmt="decimal"/>
          <w:cols w:space="720" w:num="1"/>
          <w:docGrid w:linePitch="312" w:charSpace="0"/>
        </w:sectPr>
      </w:pPr>
    </w:p>
    <w:tbl>
      <w:tblPr>
        <w:tblStyle w:val="26"/>
        <w:tblW w:w="131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4"/>
        <w:gridCol w:w="12935"/>
      </w:tblGrid>
      <w:tr w14:paraId="01778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dxa"/>
            <w:vAlign w:val="center"/>
          </w:tcPr>
          <w:p w14:paraId="650E3B23">
            <w:pPr>
              <w:spacing w:line="460" w:lineRule="exact"/>
              <w:ind w:firstLine="0" w:firstLineChars="0"/>
              <w:jc w:val="center"/>
              <w:rPr>
                <w:rFonts w:ascii="宋体" w:hAnsi="宋体" w:cs="宋体"/>
                <w:color w:val="auto"/>
                <w:kern w:val="0"/>
                <w:szCs w:val="21"/>
              </w:rPr>
            </w:pPr>
          </w:p>
        </w:tc>
        <w:tc>
          <w:tcPr>
            <w:tcW w:w="12935" w:type="dxa"/>
            <w:vAlign w:val="center"/>
          </w:tcPr>
          <w:p w14:paraId="46DCD44F">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表4-</w:t>
            </w:r>
            <w:r>
              <w:rPr>
                <w:rFonts w:hint="eastAsia" w:cs="Times New Roman"/>
                <w:b/>
                <w:bCs/>
                <w:color w:val="auto"/>
                <w:lang w:val="en-US" w:eastAsia="zh-CN"/>
              </w:rPr>
              <w:t>2</w:t>
            </w:r>
            <w:r>
              <w:rPr>
                <w:rFonts w:hint="eastAsia" w:ascii="Times New Roman" w:hAnsi="Times New Roman" w:eastAsia="宋体" w:cs="Times New Roman"/>
                <w:b/>
                <w:bCs/>
                <w:color w:val="auto"/>
                <w:lang w:val="en-US" w:eastAsia="zh-CN"/>
              </w:rPr>
              <w:t xml:space="preserve">  </w:t>
            </w:r>
            <w:r>
              <w:rPr>
                <w:rFonts w:hint="eastAsia" w:eastAsia="宋体" w:cs="Times New Roman"/>
                <w:b/>
                <w:bCs/>
                <w:color w:val="auto"/>
                <w:lang w:val="en-US" w:eastAsia="zh-CN"/>
              </w:rPr>
              <w:t>本项目</w:t>
            </w:r>
            <w:r>
              <w:rPr>
                <w:rFonts w:hint="eastAsia" w:ascii="Times New Roman" w:hAnsi="Times New Roman" w:eastAsia="宋体" w:cs="Times New Roman"/>
                <w:b/>
                <w:bCs/>
                <w:color w:val="auto"/>
                <w:lang w:val="en-US" w:eastAsia="zh-CN"/>
              </w:rPr>
              <w:t>有组织排放口信息表</w:t>
            </w:r>
          </w:p>
          <w:tbl>
            <w:tblPr>
              <w:tblStyle w:val="27"/>
              <w:tblW w:w="12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81"/>
              <w:gridCol w:w="549"/>
              <w:gridCol w:w="504"/>
              <w:gridCol w:w="870"/>
              <w:gridCol w:w="717"/>
              <w:gridCol w:w="665"/>
              <w:gridCol w:w="590"/>
              <w:gridCol w:w="579"/>
              <w:gridCol w:w="650"/>
              <w:gridCol w:w="644"/>
              <w:gridCol w:w="1206"/>
              <w:gridCol w:w="1015"/>
              <w:gridCol w:w="785"/>
              <w:gridCol w:w="762"/>
              <w:gridCol w:w="1115"/>
              <w:gridCol w:w="840"/>
            </w:tblGrid>
            <w:tr w14:paraId="5AFB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32" w:type="dxa"/>
                  <w:vMerge w:val="restart"/>
                  <w:vAlign w:val="center"/>
                </w:tcPr>
                <w:p w14:paraId="1F2F1552">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eastAsia" w:ascii="Times New Roman" w:hAnsi="Times New Roman" w:eastAsia="宋体" w:cs="Times New Roman"/>
                      <w:b/>
                      <w:bCs/>
                      <w:color w:val="auto"/>
                      <w:kern w:val="0"/>
                      <w:sz w:val="21"/>
                      <w:szCs w:val="21"/>
                      <w:lang w:eastAsia="zh-CN"/>
                    </w:rPr>
                  </w:pPr>
                  <w:r>
                    <w:rPr>
                      <w:rFonts w:hint="eastAsia" w:cs="Times New Roman"/>
                      <w:b/>
                      <w:bCs/>
                      <w:color w:val="auto"/>
                      <w:kern w:val="0"/>
                      <w:sz w:val="21"/>
                      <w:szCs w:val="21"/>
                      <w:lang w:val="en-US" w:eastAsia="zh-CN"/>
                    </w:rPr>
                    <w:t>名称</w:t>
                  </w:r>
                </w:p>
              </w:tc>
              <w:tc>
                <w:tcPr>
                  <w:tcW w:w="681" w:type="dxa"/>
                  <w:vMerge w:val="restart"/>
                  <w:vAlign w:val="center"/>
                </w:tcPr>
                <w:p w14:paraId="307BB0EC">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名称</w:t>
                  </w:r>
                </w:p>
              </w:tc>
              <w:tc>
                <w:tcPr>
                  <w:tcW w:w="1053" w:type="dxa"/>
                  <w:gridSpan w:val="2"/>
                  <w:vAlign w:val="center"/>
                </w:tcPr>
                <w:p w14:paraId="43A9BA11">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lang w:val="en-US"/>
                    </w:rPr>
                  </w:pPr>
                  <w:r>
                    <w:rPr>
                      <w:rFonts w:hint="eastAsia" w:cs="Times New Roman"/>
                      <w:b/>
                      <w:bCs/>
                      <w:color w:val="auto"/>
                      <w:kern w:val="0"/>
                      <w:sz w:val="21"/>
                      <w:szCs w:val="21"/>
                      <w:lang w:val="en-US" w:eastAsia="zh-CN"/>
                    </w:rPr>
                    <w:t>排放口地理坐标/m</w:t>
                  </w:r>
                </w:p>
              </w:tc>
              <w:tc>
                <w:tcPr>
                  <w:tcW w:w="870" w:type="dxa"/>
                  <w:vMerge w:val="restart"/>
                  <w:vAlign w:val="center"/>
                </w:tcPr>
                <w:p w14:paraId="6AD28E98">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排气筒底部海拔高度/m</w:t>
                  </w:r>
                </w:p>
              </w:tc>
              <w:tc>
                <w:tcPr>
                  <w:tcW w:w="717" w:type="dxa"/>
                  <w:vMerge w:val="restart"/>
                  <w:vAlign w:val="center"/>
                </w:tcPr>
                <w:p w14:paraId="711C0F1E">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排气筒高度/m</w:t>
                  </w:r>
                </w:p>
              </w:tc>
              <w:tc>
                <w:tcPr>
                  <w:tcW w:w="665" w:type="dxa"/>
                  <w:vMerge w:val="restart"/>
                  <w:vAlign w:val="center"/>
                </w:tcPr>
                <w:p w14:paraId="0BB72A62">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排气筒出口内径/m</w:t>
                  </w:r>
                </w:p>
              </w:tc>
              <w:tc>
                <w:tcPr>
                  <w:tcW w:w="590" w:type="dxa"/>
                  <w:vMerge w:val="restart"/>
                  <w:vAlign w:val="center"/>
                </w:tcPr>
                <w:p w14:paraId="0C1DD57C">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烟气流速（m/s）</w:t>
                  </w:r>
                </w:p>
              </w:tc>
              <w:tc>
                <w:tcPr>
                  <w:tcW w:w="579" w:type="dxa"/>
                  <w:vMerge w:val="restart"/>
                  <w:vAlign w:val="center"/>
                </w:tcPr>
                <w:p w14:paraId="71C97B37">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烟气温度/</w:t>
                  </w:r>
                  <w:r>
                    <w:rPr>
                      <w:rFonts w:hint="eastAsia"/>
                      <w:b/>
                      <w:bCs/>
                      <w:color w:val="auto"/>
                      <w:vertAlign w:val="superscript"/>
                      <w:lang w:val="en-US" w:eastAsia="zh-CN"/>
                    </w:rPr>
                    <w:t>o</w:t>
                  </w:r>
                  <w:r>
                    <w:rPr>
                      <w:rFonts w:hint="eastAsia"/>
                      <w:b/>
                      <w:bCs/>
                      <w:color w:val="auto"/>
                      <w:lang w:val="en-US" w:eastAsia="zh-CN"/>
                    </w:rPr>
                    <w:t>C</w:t>
                  </w:r>
                </w:p>
              </w:tc>
              <w:tc>
                <w:tcPr>
                  <w:tcW w:w="650" w:type="dxa"/>
                  <w:vMerge w:val="restart"/>
                  <w:vAlign w:val="center"/>
                </w:tcPr>
                <w:p w14:paraId="0DE3907F">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年排放小时数/h</w:t>
                  </w:r>
                </w:p>
              </w:tc>
              <w:tc>
                <w:tcPr>
                  <w:tcW w:w="644" w:type="dxa"/>
                  <w:vMerge w:val="restart"/>
                  <w:vAlign w:val="center"/>
                </w:tcPr>
                <w:p w14:paraId="679BF146">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排放工况</w:t>
                  </w:r>
                </w:p>
              </w:tc>
              <w:tc>
                <w:tcPr>
                  <w:tcW w:w="3768" w:type="dxa"/>
                  <w:gridSpan w:val="4"/>
                  <w:vAlign w:val="center"/>
                </w:tcPr>
                <w:p w14:paraId="63205938">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评价因子</w:t>
                  </w:r>
                </w:p>
              </w:tc>
              <w:tc>
                <w:tcPr>
                  <w:tcW w:w="1955" w:type="dxa"/>
                  <w:gridSpan w:val="2"/>
                  <w:vAlign w:val="center"/>
                </w:tcPr>
                <w:p w14:paraId="45968C30">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eastAsia"/>
                      <w:b/>
                      <w:bCs/>
                      <w:color w:val="auto"/>
                    </w:rPr>
                  </w:pPr>
                  <w:r>
                    <w:rPr>
                      <w:rFonts w:hint="eastAsia"/>
                      <w:b/>
                      <w:bCs/>
                      <w:color w:val="auto"/>
                    </w:rPr>
                    <w:t>排放标准</w:t>
                  </w:r>
                </w:p>
              </w:tc>
            </w:tr>
            <w:tr w14:paraId="3687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2" w:type="dxa"/>
                  <w:vMerge w:val="continue"/>
                  <w:vAlign w:val="center"/>
                </w:tcPr>
                <w:p w14:paraId="27A9795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681" w:type="dxa"/>
                  <w:vMerge w:val="continue"/>
                  <w:vAlign w:val="center"/>
                </w:tcPr>
                <w:p w14:paraId="1F94F1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549" w:type="dxa"/>
                  <w:vAlign w:val="center"/>
                </w:tcPr>
                <w:p w14:paraId="5FC84798">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bCs/>
                      <w:color w:val="auto"/>
                      <w:kern w:val="0"/>
                      <w:sz w:val="21"/>
                      <w:szCs w:val="21"/>
                      <w:lang w:eastAsia="zh-CN"/>
                    </w:rPr>
                  </w:pPr>
                  <w:r>
                    <w:rPr>
                      <w:rFonts w:hint="eastAsia" w:ascii="Times New Roman" w:hAnsi="Times New Roman" w:cs="Times New Roman"/>
                      <w:b/>
                      <w:bCs/>
                      <w:color w:val="auto"/>
                      <w:kern w:val="0"/>
                      <w:sz w:val="21"/>
                      <w:szCs w:val="21"/>
                      <w:lang w:val="en-US" w:eastAsia="zh-CN"/>
                    </w:rPr>
                    <w:t>X</w:t>
                  </w:r>
                </w:p>
              </w:tc>
              <w:tc>
                <w:tcPr>
                  <w:tcW w:w="504" w:type="dxa"/>
                  <w:vAlign w:val="center"/>
                </w:tcPr>
                <w:p w14:paraId="3829E144">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Y</w:t>
                  </w:r>
                </w:p>
              </w:tc>
              <w:tc>
                <w:tcPr>
                  <w:tcW w:w="870" w:type="dxa"/>
                  <w:vMerge w:val="continue"/>
                  <w:vAlign w:val="center"/>
                </w:tcPr>
                <w:p w14:paraId="60E83F5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717" w:type="dxa"/>
                  <w:vMerge w:val="continue"/>
                  <w:vAlign w:val="center"/>
                </w:tcPr>
                <w:p w14:paraId="69792B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665" w:type="dxa"/>
                  <w:vMerge w:val="continue"/>
                  <w:vAlign w:val="center"/>
                </w:tcPr>
                <w:p w14:paraId="3C59A3E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590" w:type="dxa"/>
                  <w:vMerge w:val="continue"/>
                  <w:vAlign w:val="center"/>
                </w:tcPr>
                <w:p w14:paraId="5FF1C9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579" w:type="dxa"/>
                  <w:vMerge w:val="continue"/>
                  <w:vAlign w:val="center"/>
                </w:tcPr>
                <w:p w14:paraId="00A2C22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650" w:type="dxa"/>
                  <w:vMerge w:val="continue"/>
                  <w:vAlign w:val="center"/>
                </w:tcPr>
                <w:p w14:paraId="47D5A4E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644" w:type="dxa"/>
                  <w:vMerge w:val="continue"/>
                  <w:vAlign w:val="center"/>
                </w:tcPr>
                <w:p w14:paraId="48B96E4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1206" w:type="dxa"/>
                  <w:vAlign w:val="center"/>
                </w:tcPr>
                <w:p w14:paraId="74C291BF">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名称</w:t>
                  </w:r>
                </w:p>
              </w:tc>
              <w:tc>
                <w:tcPr>
                  <w:tcW w:w="1015" w:type="dxa"/>
                  <w:vAlign w:val="center"/>
                </w:tcPr>
                <w:p w14:paraId="25248565">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排放量（t/a）</w:t>
                  </w:r>
                </w:p>
              </w:tc>
              <w:tc>
                <w:tcPr>
                  <w:tcW w:w="785" w:type="dxa"/>
                  <w:vAlign w:val="center"/>
                </w:tcPr>
                <w:p w14:paraId="42564BFD">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排放速率（kg/h）</w:t>
                  </w:r>
                </w:p>
              </w:tc>
              <w:tc>
                <w:tcPr>
                  <w:tcW w:w="762" w:type="dxa"/>
                  <w:vAlign w:val="center"/>
                </w:tcPr>
                <w:p w14:paraId="7E9D8CB6">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排放</w:t>
                  </w:r>
                  <w:r>
                    <w:rPr>
                      <w:b/>
                      <w:bCs/>
                      <w:color w:val="auto"/>
                    </w:rPr>
                    <w:t>浓度</w:t>
                  </w:r>
                  <w:r>
                    <w:rPr>
                      <w:rFonts w:hint="eastAsia"/>
                      <w:b/>
                      <w:bCs/>
                      <w:color w:val="auto"/>
                    </w:rPr>
                    <w:t>（</w:t>
                  </w:r>
                  <w:r>
                    <w:rPr>
                      <w:b/>
                      <w:bCs/>
                      <w:color w:val="auto"/>
                    </w:rPr>
                    <w:t>mg/m</w:t>
                  </w:r>
                  <w:r>
                    <w:rPr>
                      <w:b/>
                      <w:bCs/>
                      <w:color w:val="auto"/>
                      <w:vertAlign w:val="superscript"/>
                    </w:rPr>
                    <w:t>3</w:t>
                  </w:r>
                  <w:r>
                    <w:rPr>
                      <w:rFonts w:hint="eastAsia"/>
                      <w:b/>
                      <w:bCs/>
                      <w:color w:val="auto"/>
                    </w:rPr>
                    <w:t>）</w:t>
                  </w:r>
                </w:p>
              </w:tc>
              <w:tc>
                <w:tcPr>
                  <w:tcW w:w="1115" w:type="dxa"/>
                  <w:vAlign w:val="center"/>
                </w:tcPr>
                <w:p w14:paraId="5C5A7A56">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b/>
                      <w:bCs/>
                      <w:color w:val="auto"/>
                    </w:rPr>
                    <w:t>浓度</w:t>
                  </w:r>
                  <w:r>
                    <w:rPr>
                      <w:rFonts w:hint="eastAsia"/>
                      <w:b/>
                      <w:bCs/>
                      <w:color w:val="auto"/>
                    </w:rPr>
                    <w:t>（</w:t>
                  </w:r>
                  <w:r>
                    <w:rPr>
                      <w:b/>
                      <w:bCs/>
                      <w:color w:val="auto"/>
                    </w:rPr>
                    <w:t>mg/m</w:t>
                  </w:r>
                  <w:r>
                    <w:rPr>
                      <w:b/>
                      <w:bCs/>
                      <w:color w:val="auto"/>
                      <w:vertAlign w:val="superscript"/>
                    </w:rPr>
                    <w:t>3</w:t>
                  </w:r>
                  <w:r>
                    <w:rPr>
                      <w:rFonts w:hint="eastAsia"/>
                      <w:b/>
                      <w:bCs/>
                      <w:color w:val="auto"/>
                    </w:rPr>
                    <w:t>）</w:t>
                  </w:r>
                </w:p>
              </w:tc>
              <w:tc>
                <w:tcPr>
                  <w:tcW w:w="840" w:type="dxa"/>
                  <w:vAlign w:val="center"/>
                </w:tcPr>
                <w:p w14:paraId="418CAA87">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eastAsia" w:eastAsia="宋体"/>
                      <w:b/>
                      <w:bCs/>
                      <w:color w:val="auto"/>
                      <w:lang w:val="en-US" w:eastAsia="zh-CN"/>
                    </w:rPr>
                  </w:pPr>
                  <w:r>
                    <w:rPr>
                      <w:rFonts w:hint="eastAsia"/>
                      <w:b/>
                      <w:bCs/>
                      <w:color w:val="auto"/>
                      <w:lang w:val="en-US" w:eastAsia="zh-CN"/>
                    </w:rPr>
                    <w:t>速率</w:t>
                  </w:r>
                  <w:r>
                    <w:rPr>
                      <w:rFonts w:hint="default" w:ascii="Times New Roman" w:hAnsi="Times New Roman" w:cs="Times New Roman"/>
                      <w:b/>
                      <w:bCs/>
                      <w:color w:val="auto"/>
                      <w:kern w:val="0"/>
                      <w:sz w:val="21"/>
                      <w:szCs w:val="21"/>
                    </w:rPr>
                    <w:t>（kg/h）</w:t>
                  </w:r>
                </w:p>
              </w:tc>
            </w:tr>
            <w:tr w14:paraId="297C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2" w:type="dxa"/>
                  <w:vAlign w:val="center"/>
                </w:tcPr>
                <w:p w14:paraId="2C1F87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DA004</w:t>
                  </w:r>
                </w:p>
              </w:tc>
              <w:tc>
                <w:tcPr>
                  <w:tcW w:w="681" w:type="dxa"/>
                  <w:vAlign w:val="center"/>
                </w:tcPr>
                <w:p w14:paraId="5097F8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投料粉尘</w:t>
                  </w:r>
                </w:p>
              </w:tc>
              <w:tc>
                <w:tcPr>
                  <w:tcW w:w="549" w:type="dxa"/>
                  <w:vAlign w:val="center"/>
                </w:tcPr>
                <w:p w14:paraId="2F1B05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116.706092</w:t>
                  </w:r>
                </w:p>
              </w:tc>
              <w:tc>
                <w:tcPr>
                  <w:tcW w:w="504" w:type="dxa"/>
                  <w:vAlign w:val="center"/>
                </w:tcPr>
                <w:p w14:paraId="7EF10D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33.975755</w:t>
                  </w:r>
                </w:p>
              </w:tc>
              <w:tc>
                <w:tcPr>
                  <w:tcW w:w="870" w:type="dxa"/>
                  <w:vAlign w:val="center"/>
                </w:tcPr>
                <w:p w14:paraId="19463A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eastAsia="宋体" w:cs="Times New Roman"/>
                      <w:b w:val="0"/>
                      <w:bCs w:val="0"/>
                      <w:color w:val="auto"/>
                      <w:sz w:val="21"/>
                      <w:szCs w:val="21"/>
                      <w:lang w:val="en-US" w:eastAsia="zh-CN"/>
                    </w:rPr>
                    <w:t>31.882</w:t>
                  </w:r>
                </w:p>
              </w:tc>
              <w:tc>
                <w:tcPr>
                  <w:tcW w:w="717" w:type="dxa"/>
                  <w:vAlign w:val="center"/>
                </w:tcPr>
                <w:p w14:paraId="1175E8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15</w:t>
                  </w:r>
                </w:p>
              </w:tc>
              <w:tc>
                <w:tcPr>
                  <w:tcW w:w="665" w:type="dxa"/>
                  <w:vAlign w:val="center"/>
                </w:tcPr>
                <w:p w14:paraId="0250C2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1.1</w:t>
                  </w:r>
                </w:p>
              </w:tc>
              <w:tc>
                <w:tcPr>
                  <w:tcW w:w="590" w:type="dxa"/>
                  <w:vAlign w:val="center"/>
                </w:tcPr>
                <w:p w14:paraId="2E1228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14.52</w:t>
                  </w:r>
                </w:p>
              </w:tc>
              <w:tc>
                <w:tcPr>
                  <w:tcW w:w="579" w:type="dxa"/>
                  <w:vAlign w:val="center"/>
                </w:tcPr>
                <w:p w14:paraId="2AC0AC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25</w:t>
                  </w:r>
                </w:p>
              </w:tc>
              <w:tc>
                <w:tcPr>
                  <w:tcW w:w="650" w:type="dxa"/>
                  <w:vAlign w:val="center"/>
                </w:tcPr>
                <w:p w14:paraId="1EC1AD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1450</w:t>
                  </w:r>
                </w:p>
              </w:tc>
              <w:tc>
                <w:tcPr>
                  <w:tcW w:w="644" w:type="dxa"/>
                  <w:vAlign w:val="center"/>
                </w:tcPr>
                <w:p w14:paraId="36B479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正常工况</w:t>
                  </w:r>
                </w:p>
              </w:tc>
              <w:tc>
                <w:tcPr>
                  <w:tcW w:w="1206" w:type="dxa"/>
                  <w:vAlign w:val="center"/>
                </w:tcPr>
                <w:p w14:paraId="456F43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颗粒物</w:t>
                  </w:r>
                </w:p>
              </w:tc>
              <w:tc>
                <w:tcPr>
                  <w:tcW w:w="1015" w:type="dxa"/>
                  <w:vAlign w:val="center"/>
                </w:tcPr>
                <w:p w14:paraId="00CFD941">
                  <w:pPr>
                    <w:pStyle w:val="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olor w:val="auto"/>
                      <w:lang w:val="en-US" w:eastAsia="zh-CN"/>
                    </w:rPr>
                    <w:t>0.235</w:t>
                  </w:r>
                </w:p>
              </w:tc>
              <w:tc>
                <w:tcPr>
                  <w:tcW w:w="785" w:type="dxa"/>
                  <w:vAlign w:val="center"/>
                </w:tcPr>
                <w:p w14:paraId="352AB572">
                  <w:pPr>
                    <w:pStyle w:val="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0.162</w:t>
                  </w:r>
                </w:p>
              </w:tc>
              <w:tc>
                <w:tcPr>
                  <w:tcW w:w="762" w:type="dxa"/>
                  <w:vAlign w:val="center"/>
                </w:tcPr>
                <w:p w14:paraId="5AEB20CA">
                  <w:pPr>
                    <w:pStyle w:val="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8.10</w:t>
                  </w:r>
                </w:p>
              </w:tc>
              <w:tc>
                <w:tcPr>
                  <w:tcW w:w="1115" w:type="dxa"/>
                  <w:vAlign w:val="center"/>
                </w:tcPr>
                <w:p w14:paraId="1BDDDC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840" w:type="dxa"/>
                  <w:vAlign w:val="center"/>
                </w:tcPr>
                <w:p w14:paraId="78D9BD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r>
            <w:tr w14:paraId="0D2C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4" w:type="dxa"/>
                  <w:gridSpan w:val="17"/>
                  <w:vAlign w:val="center"/>
                </w:tcPr>
                <w:p w14:paraId="5B5F17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备注：*以生产车间西南角厂界为坐标原点（经度：116.704905 纬度：33.975366），下同</w:t>
                  </w:r>
                </w:p>
              </w:tc>
            </w:tr>
          </w:tbl>
          <w:p w14:paraId="68B31B25">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表4-</w:t>
            </w:r>
            <w:r>
              <w:rPr>
                <w:rFonts w:hint="eastAsia" w:cs="Times New Roman"/>
                <w:b/>
                <w:bCs/>
                <w:color w:val="auto"/>
                <w:lang w:val="en-US" w:eastAsia="zh-CN"/>
              </w:rPr>
              <w:t>3</w:t>
            </w:r>
            <w:r>
              <w:rPr>
                <w:rFonts w:hint="eastAsia" w:ascii="Times New Roman" w:hAnsi="Times New Roman" w:eastAsia="宋体" w:cs="Times New Roman"/>
                <w:b/>
                <w:bCs/>
                <w:color w:val="auto"/>
                <w:lang w:val="en-US" w:eastAsia="zh-CN"/>
              </w:rPr>
              <w:t xml:space="preserve"> </w:t>
            </w:r>
            <w:r>
              <w:rPr>
                <w:rFonts w:hint="eastAsia" w:cs="Times New Roman"/>
                <w:b/>
                <w:bCs/>
                <w:color w:val="auto"/>
                <w:lang w:val="en-US" w:eastAsia="zh-CN"/>
              </w:rPr>
              <w:t xml:space="preserve"> </w:t>
            </w:r>
            <w:r>
              <w:rPr>
                <w:rFonts w:hint="eastAsia" w:eastAsia="宋体" w:cs="Times New Roman"/>
                <w:b/>
                <w:bCs/>
                <w:color w:val="auto"/>
                <w:lang w:val="en-US" w:eastAsia="zh-CN"/>
              </w:rPr>
              <w:t>本项目</w:t>
            </w:r>
            <w:r>
              <w:rPr>
                <w:rFonts w:hint="eastAsia" w:ascii="Times New Roman" w:hAnsi="Times New Roman" w:eastAsia="宋体" w:cs="Times New Roman"/>
                <w:b/>
                <w:bCs/>
                <w:color w:val="auto"/>
                <w:lang w:val="en-US" w:eastAsia="zh-CN"/>
              </w:rPr>
              <w:t>有组织废气产排情况表</w:t>
            </w:r>
          </w:p>
          <w:tbl>
            <w:tblPr>
              <w:tblStyle w:val="26"/>
              <w:tblW w:w="12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489"/>
              <w:gridCol w:w="645"/>
              <w:gridCol w:w="579"/>
              <w:gridCol w:w="562"/>
              <w:gridCol w:w="621"/>
              <w:gridCol w:w="548"/>
              <w:gridCol w:w="733"/>
              <w:gridCol w:w="738"/>
              <w:gridCol w:w="689"/>
              <w:gridCol w:w="692"/>
              <w:gridCol w:w="2393"/>
              <w:gridCol w:w="673"/>
              <w:gridCol w:w="610"/>
              <w:gridCol w:w="741"/>
              <w:gridCol w:w="658"/>
              <w:gridCol w:w="830"/>
            </w:tblGrid>
            <w:tr w14:paraId="0A36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6" w:type="dxa"/>
                  <w:vMerge w:val="restart"/>
                  <w:vAlign w:val="center"/>
                </w:tcPr>
                <w:p w14:paraId="2AE9634A">
                  <w:pPr>
                    <w:pStyle w:val="3"/>
                    <w:bidi w:val="0"/>
                    <w:jc w:val="center"/>
                    <w:rPr>
                      <w:rFonts w:hint="eastAsia" w:eastAsia="宋体"/>
                      <w:b/>
                      <w:bCs w:val="0"/>
                      <w:lang w:eastAsia="zh-CN"/>
                    </w:rPr>
                  </w:pPr>
                  <w:r>
                    <w:rPr>
                      <w:rFonts w:hint="eastAsia"/>
                      <w:b/>
                      <w:bCs w:val="0"/>
                      <w:lang w:val="en-US" w:eastAsia="zh-CN"/>
                    </w:rPr>
                    <w:t>名称</w:t>
                  </w:r>
                </w:p>
              </w:tc>
              <w:tc>
                <w:tcPr>
                  <w:tcW w:w="489" w:type="dxa"/>
                  <w:vMerge w:val="restart"/>
                  <w:vAlign w:val="center"/>
                </w:tcPr>
                <w:p w14:paraId="0ABB8E22">
                  <w:pPr>
                    <w:pStyle w:val="3"/>
                    <w:bidi w:val="0"/>
                    <w:jc w:val="center"/>
                    <w:rPr>
                      <w:rFonts w:hint="default"/>
                      <w:b/>
                      <w:bCs w:val="0"/>
                    </w:rPr>
                  </w:pPr>
                  <w:r>
                    <w:rPr>
                      <w:rFonts w:hint="default"/>
                      <w:b/>
                      <w:bCs w:val="0"/>
                    </w:rPr>
                    <w:t>排气筒高度（m）</w:t>
                  </w:r>
                </w:p>
              </w:tc>
              <w:tc>
                <w:tcPr>
                  <w:tcW w:w="645" w:type="dxa"/>
                  <w:vMerge w:val="restart"/>
                  <w:vAlign w:val="center"/>
                </w:tcPr>
                <w:p w14:paraId="05CEA9A4">
                  <w:pPr>
                    <w:pStyle w:val="3"/>
                    <w:bidi w:val="0"/>
                    <w:jc w:val="center"/>
                    <w:rPr>
                      <w:rFonts w:hint="default"/>
                      <w:b/>
                      <w:bCs w:val="0"/>
                    </w:rPr>
                  </w:pPr>
                  <w:r>
                    <w:rPr>
                      <w:rFonts w:hint="default"/>
                      <w:b/>
                      <w:bCs w:val="0"/>
                    </w:rPr>
                    <w:t>排气筒内径（m）</w:t>
                  </w:r>
                </w:p>
              </w:tc>
              <w:tc>
                <w:tcPr>
                  <w:tcW w:w="579" w:type="dxa"/>
                  <w:vMerge w:val="restart"/>
                  <w:vAlign w:val="center"/>
                </w:tcPr>
                <w:p w14:paraId="475EE8E9">
                  <w:pPr>
                    <w:pStyle w:val="3"/>
                    <w:bidi w:val="0"/>
                    <w:jc w:val="center"/>
                    <w:rPr>
                      <w:rFonts w:hint="default"/>
                      <w:b/>
                      <w:bCs w:val="0"/>
                    </w:rPr>
                  </w:pPr>
                  <w:r>
                    <w:rPr>
                      <w:rFonts w:hint="default"/>
                      <w:b/>
                      <w:bCs w:val="0"/>
                    </w:rPr>
                    <w:t>排气筒温度（</w:t>
                  </w:r>
                  <w:r>
                    <w:rPr>
                      <w:rFonts w:hint="default"/>
                      <w:b/>
                      <w:bCs w:val="0"/>
                      <w:vertAlign w:val="superscript"/>
                    </w:rPr>
                    <w:t>o</w:t>
                  </w:r>
                  <w:r>
                    <w:rPr>
                      <w:rFonts w:hint="default"/>
                      <w:b/>
                      <w:bCs w:val="0"/>
                    </w:rPr>
                    <w:t>C）</w:t>
                  </w:r>
                </w:p>
              </w:tc>
              <w:tc>
                <w:tcPr>
                  <w:tcW w:w="1183" w:type="dxa"/>
                  <w:gridSpan w:val="2"/>
                  <w:vAlign w:val="center"/>
                </w:tcPr>
                <w:p w14:paraId="46BBD6A0">
                  <w:pPr>
                    <w:pStyle w:val="3"/>
                    <w:bidi w:val="0"/>
                    <w:jc w:val="center"/>
                    <w:rPr>
                      <w:rFonts w:hint="default"/>
                      <w:b/>
                      <w:bCs w:val="0"/>
                    </w:rPr>
                  </w:pPr>
                  <w:r>
                    <w:rPr>
                      <w:rFonts w:hint="default"/>
                      <w:b/>
                      <w:bCs w:val="0"/>
                    </w:rPr>
                    <w:t>经纬度</w:t>
                  </w:r>
                </w:p>
              </w:tc>
              <w:tc>
                <w:tcPr>
                  <w:tcW w:w="548" w:type="dxa"/>
                  <w:vMerge w:val="restart"/>
                  <w:vAlign w:val="center"/>
                </w:tcPr>
                <w:p w14:paraId="01966E4C">
                  <w:pPr>
                    <w:pStyle w:val="3"/>
                    <w:bidi w:val="0"/>
                    <w:jc w:val="center"/>
                    <w:rPr>
                      <w:rFonts w:hint="default"/>
                      <w:b/>
                      <w:bCs w:val="0"/>
                    </w:rPr>
                  </w:pPr>
                  <w:r>
                    <w:rPr>
                      <w:rFonts w:hint="default"/>
                      <w:b/>
                      <w:bCs w:val="0"/>
                    </w:rPr>
                    <w:t>排放源</w:t>
                  </w:r>
                </w:p>
              </w:tc>
              <w:tc>
                <w:tcPr>
                  <w:tcW w:w="733" w:type="dxa"/>
                  <w:vMerge w:val="restart"/>
                  <w:vAlign w:val="center"/>
                </w:tcPr>
                <w:p w14:paraId="5023F679">
                  <w:pPr>
                    <w:pStyle w:val="3"/>
                    <w:bidi w:val="0"/>
                    <w:jc w:val="center"/>
                    <w:rPr>
                      <w:rFonts w:hint="default"/>
                      <w:b/>
                      <w:bCs w:val="0"/>
                    </w:rPr>
                  </w:pPr>
                  <w:r>
                    <w:rPr>
                      <w:rFonts w:hint="default"/>
                      <w:b/>
                      <w:bCs w:val="0"/>
                    </w:rPr>
                    <w:t>污染物</w:t>
                  </w:r>
                </w:p>
              </w:tc>
              <w:tc>
                <w:tcPr>
                  <w:tcW w:w="738" w:type="dxa"/>
                  <w:vMerge w:val="restart"/>
                  <w:vAlign w:val="center"/>
                </w:tcPr>
                <w:p w14:paraId="291AB10E">
                  <w:pPr>
                    <w:pStyle w:val="3"/>
                    <w:bidi w:val="0"/>
                    <w:jc w:val="center"/>
                    <w:rPr>
                      <w:rFonts w:hint="default"/>
                      <w:b/>
                      <w:bCs w:val="0"/>
                    </w:rPr>
                  </w:pPr>
                  <w:r>
                    <w:rPr>
                      <w:rFonts w:hint="default"/>
                      <w:b/>
                      <w:bCs w:val="0"/>
                    </w:rPr>
                    <w:t>工作时间（h）</w:t>
                  </w:r>
                </w:p>
              </w:tc>
              <w:tc>
                <w:tcPr>
                  <w:tcW w:w="689" w:type="dxa"/>
                  <w:vMerge w:val="restart"/>
                  <w:vAlign w:val="center"/>
                </w:tcPr>
                <w:p w14:paraId="3996D58B">
                  <w:pPr>
                    <w:pStyle w:val="3"/>
                    <w:bidi w:val="0"/>
                    <w:jc w:val="center"/>
                    <w:rPr>
                      <w:rFonts w:hint="default"/>
                      <w:b/>
                      <w:bCs w:val="0"/>
                    </w:rPr>
                  </w:pPr>
                  <w:r>
                    <w:rPr>
                      <w:rFonts w:hint="default"/>
                      <w:b/>
                      <w:bCs w:val="0"/>
                    </w:rPr>
                    <w:t>风量（m</w:t>
                  </w:r>
                  <w:r>
                    <w:rPr>
                      <w:rFonts w:hint="default"/>
                      <w:b/>
                      <w:bCs w:val="0"/>
                      <w:vertAlign w:val="superscript"/>
                    </w:rPr>
                    <w:t>3</w:t>
                  </w:r>
                  <w:r>
                    <w:rPr>
                      <w:rFonts w:hint="default"/>
                      <w:b/>
                      <w:bCs w:val="0"/>
                    </w:rPr>
                    <w:t>/h）</w:t>
                  </w:r>
                </w:p>
              </w:tc>
              <w:tc>
                <w:tcPr>
                  <w:tcW w:w="692" w:type="dxa"/>
                  <w:vMerge w:val="restart"/>
                  <w:vAlign w:val="center"/>
                </w:tcPr>
                <w:p w14:paraId="70CFCEF0">
                  <w:pPr>
                    <w:pStyle w:val="3"/>
                    <w:bidi w:val="0"/>
                    <w:jc w:val="center"/>
                    <w:rPr>
                      <w:rFonts w:hint="default"/>
                      <w:b/>
                      <w:bCs w:val="0"/>
                      <w:lang w:val="en-US" w:eastAsia="zh-CN"/>
                    </w:rPr>
                  </w:pPr>
                  <w:r>
                    <w:rPr>
                      <w:rFonts w:hint="eastAsia"/>
                      <w:b/>
                      <w:bCs w:val="0"/>
                      <w:lang w:val="en-US" w:eastAsia="zh-CN"/>
                    </w:rPr>
                    <w:t>产生量</w:t>
                  </w:r>
                </w:p>
              </w:tc>
              <w:tc>
                <w:tcPr>
                  <w:tcW w:w="2393" w:type="dxa"/>
                  <w:vMerge w:val="restart"/>
                  <w:vAlign w:val="center"/>
                </w:tcPr>
                <w:p w14:paraId="5E9DE3FA">
                  <w:pPr>
                    <w:pStyle w:val="3"/>
                    <w:bidi w:val="0"/>
                    <w:jc w:val="center"/>
                    <w:rPr>
                      <w:rFonts w:hint="default"/>
                      <w:b/>
                      <w:bCs w:val="0"/>
                    </w:rPr>
                  </w:pPr>
                  <w:r>
                    <w:rPr>
                      <w:rFonts w:hint="default"/>
                      <w:b/>
                      <w:bCs w:val="0"/>
                    </w:rPr>
                    <w:t>治理措施</w:t>
                  </w:r>
                </w:p>
              </w:tc>
              <w:tc>
                <w:tcPr>
                  <w:tcW w:w="2024" w:type="dxa"/>
                  <w:gridSpan w:val="3"/>
                  <w:vAlign w:val="center"/>
                </w:tcPr>
                <w:p w14:paraId="2E495A6D">
                  <w:pPr>
                    <w:pStyle w:val="3"/>
                    <w:bidi w:val="0"/>
                    <w:jc w:val="center"/>
                    <w:rPr>
                      <w:rFonts w:hint="default"/>
                      <w:b/>
                      <w:bCs w:val="0"/>
                    </w:rPr>
                  </w:pPr>
                  <w:r>
                    <w:rPr>
                      <w:rFonts w:hint="default"/>
                      <w:b/>
                      <w:bCs w:val="0"/>
                    </w:rPr>
                    <w:t>排放情况</w:t>
                  </w:r>
                </w:p>
              </w:tc>
              <w:tc>
                <w:tcPr>
                  <w:tcW w:w="1488" w:type="dxa"/>
                  <w:gridSpan w:val="2"/>
                  <w:vAlign w:val="center"/>
                </w:tcPr>
                <w:p w14:paraId="51F65EC3">
                  <w:pPr>
                    <w:pStyle w:val="3"/>
                    <w:bidi w:val="0"/>
                    <w:jc w:val="center"/>
                    <w:rPr>
                      <w:rFonts w:hint="default"/>
                      <w:b/>
                      <w:bCs w:val="0"/>
                    </w:rPr>
                  </w:pPr>
                  <w:r>
                    <w:rPr>
                      <w:rFonts w:hint="default"/>
                      <w:b/>
                      <w:bCs w:val="0"/>
                    </w:rPr>
                    <w:t>执行标准</w:t>
                  </w:r>
                </w:p>
              </w:tc>
            </w:tr>
            <w:tr w14:paraId="405A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6" w:type="dxa"/>
                  <w:vMerge w:val="continue"/>
                  <w:vAlign w:val="center"/>
                </w:tcPr>
                <w:p w14:paraId="5FAD61C1">
                  <w:pPr>
                    <w:pStyle w:val="3"/>
                    <w:bidi w:val="0"/>
                    <w:jc w:val="center"/>
                    <w:rPr>
                      <w:rFonts w:hint="default"/>
                      <w:b/>
                      <w:bCs w:val="0"/>
                    </w:rPr>
                  </w:pPr>
                </w:p>
              </w:tc>
              <w:tc>
                <w:tcPr>
                  <w:tcW w:w="489" w:type="dxa"/>
                  <w:vMerge w:val="continue"/>
                  <w:vAlign w:val="center"/>
                </w:tcPr>
                <w:p w14:paraId="717A1B03">
                  <w:pPr>
                    <w:pStyle w:val="3"/>
                    <w:bidi w:val="0"/>
                    <w:jc w:val="center"/>
                    <w:rPr>
                      <w:rFonts w:hint="default"/>
                      <w:b/>
                      <w:bCs w:val="0"/>
                    </w:rPr>
                  </w:pPr>
                </w:p>
              </w:tc>
              <w:tc>
                <w:tcPr>
                  <w:tcW w:w="645" w:type="dxa"/>
                  <w:vMerge w:val="continue"/>
                  <w:vAlign w:val="center"/>
                </w:tcPr>
                <w:p w14:paraId="58548B7B">
                  <w:pPr>
                    <w:pStyle w:val="3"/>
                    <w:bidi w:val="0"/>
                    <w:jc w:val="center"/>
                    <w:rPr>
                      <w:rFonts w:hint="default"/>
                      <w:b/>
                      <w:bCs w:val="0"/>
                    </w:rPr>
                  </w:pPr>
                </w:p>
              </w:tc>
              <w:tc>
                <w:tcPr>
                  <w:tcW w:w="579" w:type="dxa"/>
                  <w:vMerge w:val="continue"/>
                  <w:vAlign w:val="center"/>
                </w:tcPr>
                <w:p w14:paraId="68B19077">
                  <w:pPr>
                    <w:pStyle w:val="3"/>
                    <w:bidi w:val="0"/>
                    <w:jc w:val="center"/>
                    <w:rPr>
                      <w:rFonts w:hint="default"/>
                      <w:b/>
                      <w:bCs w:val="0"/>
                    </w:rPr>
                  </w:pPr>
                </w:p>
              </w:tc>
              <w:tc>
                <w:tcPr>
                  <w:tcW w:w="562" w:type="dxa"/>
                  <w:vAlign w:val="center"/>
                </w:tcPr>
                <w:p w14:paraId="56A1D11E">
                  <w:pPr>
                    <w:pStyle w:val="3"/>
                    <w:bidi w:val="0"/>
                    <w:jc w:val="center"/>
                    <w:rPr>
                      <w:rFonts w:hint="default"/>
                      <w:b/>
                      <w:bCs w:val="0"/>
                    </w:rPr>
                  </w:pPr>
                  <w:r>
                    <w:rPr>
                      <w:rFonts w:hint="default"/>
                      <w:b/>
                      <w:bCs w:val="0"/>
                    </w:rPr>
                    <w:t>经度</w:t>
                  </w:r>
                </w:p>
              </w:tc>
              <w:tc>
                <w:tcPr>
                  <w:tcW w:w="621" w:type="dxa"/>
                  <w:vAlign w:val="center"/>
                </w:tcPr>
                <w:p w14:paraId="24C31CC4">
                  <w:pPr>
                    <w:pStyle w:val="3"/>
                    <w:bidi w:val="0"/>
                    <w:jc w:val="center"/>
                    <w:rPr>
                      <w:rFonts w:hint="default"/>
                      <w:b/>
                      <w:bCs w:val="0"/>
                    </w:rPr>
                  </w:pPr>
                  <w:r>
                    <w:rPr>
                      <w:rFonts w:hint="default"/>
                      <w:b/>
                      <w:bCs w:val="0"/>
                    </w:rPr>
                    <w:t>纬度</w:t>
                  </w:r>
                </w:p>
              </w:tc>
              <w:tc>
                <w:tcPr>
                  <w:tcW w:w="548" w:type="dxa"/>
                  <w:vMerge w:val="continue"/>
                  <w:vAlign w:val="center"/>
                </w:tcPr>
                <w:p w14:paraId="3E85CC04">
                  <w:pPr>
                    <w:pStyle w:val="3"/>
                    <w:bidi w:val="0"/>
                    <w:jc w:val="center"/>
                    <w:rPr>
                      <w:rFonts w:hint="default"/>
                      <w:b/>
                      <w:bCs w:val="0"/>
                    </w:rPr>
                  </w:pPr>
                </w:p>
              </w:tc>
              <w:tc>
                <w:tcPr>
                  <w:tcW w:w="733" w:type="dxa"/>
                  <w:vMerge w:val="continue"/>
                  <w:vAlign w:val="center"/>
                </w:tcPr>
                <w:p w14:paraId="25CBDDD7">
                  <w:pPr>
                    <w:pStyle w:val="3"/>
                    <w:bidi w:val="0"/>
                    <w:jc w:val="center"/>
                    <w:rPr>
                      <w:rFonts w:hint="default"/>
                      <w:b/>
                      <w:bCs w:val="0"/>
                    </w:rPr>
                  </w:pPr>
                </w:p>
              </w:tc>
              <w:tc>
                <w:tcPr>
                  <w:tcW w:w="738" w:type="dxa"/>
                  <w:vMerge w:val="continue"/>
                  <w:vAlign w:val="center"/>
                </w:tcPr>
                <w:p w14:paraId="4407C253">
                  <w:pPr>
                    <w:pStyle w:val="3"/>
                    <w:bidi w:val="0"/>
                    <w:jc w:val="center"/>
                    <w:rPr>
                      <w:rFonts w:hint="default"/>
                      <w:b/>
                      <w:bCs w:val="0"/>
                    </w:rPr>
                  </w:pPr>
                </w:p>
              </w:tc>
              <w:tc>
                <w:tcPr>
                  <w:tcW w:w="689" w:type="dxa"/>
                  <w:vMerge w:val="continue"/>
                  <w:vAlign w:val="center"/>
                </w:tcPr>
                <w:p w14:paraId="4CCE11A6">
                  <w:pPr>
                    <w:pStyle w:val="3"/>
                    <w:bidi w:val="0"/>
                    <w:jc w:val="center"/>
                    <w:rPr>
                      <w:rFonts w:hint="default"/>
                      <w:b/>
                      <w:bCs w:val="0"/>
                    </w:rPr>
                  </w:pPr>
                </w:p>
              </w:tc>
              <w:tc>
                <w:tcPr>
                  <w:tcW w:w="692" w:type="dxa"/>
                  <w:vMerge w:val="continue"/>
                  <w:vAlign w:val="center"/>
                </w:tcPr>
                <w:p w14:paraId="2E3E95F4">
                  <w:pPr>
                    <w:pStyle w:val="3"/>
                    <w:bidi w:val="0"/>
                    <w:jc w:val="center"/>
                    <w:rPr>
                      <w:rFonts w:hint="default"/>
                      <w:b/>
                      <w:bCs w:val="0"/>
                    </w:rPr>
                  </w:pPr>
                </w:p>
              </w:tc>
              <w:tc>
                <w:tcPr>
                  <w:tcW w:w="2393" w:type="dxa"/>
                  <w:vMerge w:val="continue"/>
                  <w:vAlign w:val="center"/>
                </w:tcPr>
                <w:p w14:paraId="0C4AE005">
                  <w:pPr>
                    <w:pStyle w:val="3"/>
                    <w:bidi w:val="0"/>
                    <w:jc w:val="center"/>
                    <w:rPr>
                      <w:rFonts w:hint="default"/>
                      <w:b/>
                      <w:bCs w:val="0"/>
                    </w:rPr>
                  </w:pPr>
                </w:p>
              </w:tc>
              <w:tc>
                <w:tcPr>
                  <w:tcW w:w="673" w:type="dxa"/>
                  <w:vAlign w:val="center"/>
                </w:tcPr>
                <w:p w14:paraId="48E21EC4">
                  <w:pPr>
                    <w:pStyle w:val="3"/>
                    <w:bidi w:val="0"/>
                    <w:jc w:val="center"/>
                    <w:rPr>
                      <w:rFonts w:hint="default"/>
                      <w:b/>
                      <w:bCs w:val="0"/>
                    </w:rPr>
                  </w:pPr>
                  <w:r>
                    <w:rPr>
                      <w:rFonts w:hint="default"/>
                      <w:b/>
                      <w:bCs w:val="0"/>
                    </w:rPr>
                    <w:t>排放量（t/a）</w:t>
                  </w:r>
                </w:p>
              </w:tc>
              <w:tc>
                <w:tcPr>
                  <w:tcW w:w="610" w:type="dxa"/>
                  <w:vAlign w:val="center"/>
                </w:tcPr>
                <w:p w14:paraId="249092A2">
                  <w:pPr>
                    <w:pStyle w:val="3"/>
                    <w:bidi w:val="0"/>
                    <w:jc w:val="center"/>
                    <w:rPr>
                      <w:rFonts w:hint="default"/>
                      <w:b/>
                      <w:bCs w:val="0"/>
                    </w:rPr>
                  </w:pPr>
                  <w:r>
                    <w:rPr>
                      <w:rFonts w:hint="default"/>
                      <w:b/>
                      <w:bCs w:val="0"/>
                    </w:rPr>
                    <w:t>速率（kg/h）</w:t>
                  </w:r>
                </w:p>
              </w:tc>
              <w:tc>
                <w:tcPr>
                  <w:tcW w:w="741" w:type="dxa"/>
                  <w:vAlign w:val="center"/>
                </w:tcPr>
                <w:p w14:paraId="68B41CF5">
                  <w:pPr>
                    <w:pStyle w:val="3"/>
                    <w:bidi w:val="0"/>
                    <w:jc w:val="center"/>
                    <w:rPr>
                      <w:rFonts w:hint="default"/>
                      <w:b/>
                      <w:bCs w:val="0"/>
                    </w:rPr>
                  </w:pPr>
                  <w:r>
                    <w:rPr>
                      <w:rFonts w:hint="default"/>
                      <w:b/>
                      <w:bCs w:val="0"/>
                    </w:rPr>
                    <w:t>浓度（mg/m</w:t>
                  </w:r>
                  <w:r>
                    <w:rPr>
                      <w:rFonts w:hint="default"/>
                      <w:b/>
                      <w:bCs w:val="0"/>
                      <w:vertAlign w:val="superscript"/>
                    </w:rPr>
                    <w:t>3</w:t>
                  </w:r>
                  <w:r>
                    <w:rPr>
                      <w:rFonts w:hint="default"/>
                      <w:b/>
                      <w:bCs w:val="0"/>
                    </w:rPr>
                    <w:t>）</w:t>
                  </w:r>
                </w:p>
              </w:tc>
              <w:tc>
                <w:tcPr>
                  <w:tcW w:w="658" w:type="dxa"/>
                  <w:vAlign w:val="center"/>
                </w:tcPr>
                <w:p w14:paraId="7FB687A0">
                  <w:pPr>
                    <w:pStyle w:val="3"/>
                    <w:bidi w:val="0"/>
                    <w:jc w:val="center"/>
                    <w:rPr>
                      <w:rFonts w:hint="default"/>
                      <w:b/>
                      <w:bCs w:val="0"/>
                    </w:rPr>
                  </w:pPr>
                  <w:r>
                    <w:rPr>
                      <w:rFonts w:hint="default"/>
                      <w:b/>
                      <w:bCs w:val="0"/>
                    </w:rPr>
                    <w:t>速率（kg/h）</w:t>
                  </w:r>
                </w:p>
              </w:tc>
              <w:tc>
                <w:tcPr>
                  <w:tcW w:w="830" w:type="dxa"/>
                  <w:vAlign w:val="center"/>
                </w:tcPr>
                <w:p w14:paraId="1745D6ED">
                  <w:pPr>
                    <w:pStyle w:val="3"/>
                    <w:bidi w:val="0"/>
                    <w:jc w:val="center"/>
                    <w:rPr>
                      <w:rFonts w:hint="default"/>
                      <w:b/>
                      <w:bCs w:val="0"/>
                    </w:rPr>
                  </w:pPr>
                  <w:r>
                    <w:rPr>
                      <w:rFonts w:hint="default"/>
                      <w:b/>
                      <w:bCs w:val="0"/>
                    </w:rPr>
                    <w:t>浓度（mg/m</w:t>
                  </w:r>
                  <w:r>
                    <w:rPr>
                      <w:rFonts w:hint="default"/>
                      <w:b/>
                      <w:bCs w:val="0"/>
                      <w:vertAlign w:val="superscript"/>
                    </w:rPr>
                    <w:t>3</w:t>
                  </w:r>
                  <w:r>
                    <w:rPr>
                      <w:rFonts w:hint="default"/>
                      <w:b/>
                      <w:bCs w:val="0"/>
                    </w:rPr>
                    <w:t>）</w:t>
                  </w:r>
                </w:p>
              </w:tc>
            </w:tr>
            <w:tr w14:paraId="317C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06" w:type="dxa"/>
                  <w:vAlign w:val="center"/>
                </w:tcPr>
                <w:p w14:paraId="06F49D5E">
                  <w:pPr>
                    <w:pStyle w:val="3"/>
                    <w:bidi w:val="0"/>
                    <w:jc w:val="center"/>
                    <w:rPr>
                      <w:rFonts w:hint="eastAsia"/>
                      <w:lang w:val="en-US" w:eastAsia="zh-CN"/>
                    </w:rPr>
                  </w:pPr>
                  <w:r>
                    <w:rPr>
                      <w:rFonts w:hint="eastAsia" w:cs="Times New Roman"/>
                      <w:b w:val="0"/>
                      <w:bCs w:val="0"/>
                      <w:color w:val="auto"/>
                      <w:sz w:val="21"/>
                      <w:szCs w:val="21"/>
                      <w:lang w:val="en-US" w:eastAsia="zh-CN"/>
                    </w:rPr>
                    <w:t>DA004</w:t>
                  </w:r>
                </w:p>
              </w:tc>
              <w:tc>
                <w:tcPr>
                  <w:tcW w:w="489" w:type="dxa"/>
                  <w:vAlign w:val="center"/>
                </w:tcPr>
                <w:p w14:paraId="7595116A">
                  <w:pPr>
                    <w:pStyle w:val="3"/>
                    <w:bidi w:val="0"/>
                    <w:jc w:val="center"/>
                    <w:rPr>
                      <w:rFonts w:hint="default"/>
                      <w:lang w:val="en-US" w:eastAsia="zh-CN"/>
                    </w:rPr>
                  </w:pPr>
                  <w:r>
                    <w:rPr>
                      <w:rFonts w:hint="eastAsia"/>
                      <w:lang w:val="en-US" w:eastAsia="zh-CN"/>
                    </w:rPr>
                    <w:t>15</w:t>
                  </w:r>
                </w:p>
              </w:tc>
              <w:tc>
                <w:tcPr>
                  <w:tcW w:w="645" w:type="dxa"/>
                  <w:vAlign w:val="center"/>
                </w:tcPr>
                <w:p w14:paraId="4FE3986D">
                  <w:pPr>
                    <w:pStyle w:val="3"/>
                    <w:bidi w:val="0"/>
                    <w:jc w:val="center"/>
                    <w:rPr>
                      <w:rFonts w:hint="eastAsia"/>
                      <w:lang w:val="en-US" w:eastAsia="zh-CN"/>
                    </w:rPr>
                  </w:pPr>
                  <w:r>
                    <w:rPr>
                      <w:rFonts w:hint="eastAsia"/>
                      <w:lang w:val="en-US" w:eastAsia="zh-CN"/>
                    </w:rPr>
                    <w:t>0.45</w:t>
                  </w:r>
                </w:p>
              </w:tc>
              <w:tc>
                <w:tcPr>
                  <w:tcW w:w="579" w:type="dxa"/>
                  <w:vAlign w:val="center"/>
                </w:tcPr>
                <w:p w14:paraId="334D7BE5">
                  <w:pPr>
                    <w:pStyle w:val="3"/>
                    <w:bidi w:val="0"/>
                    <w:jc w:val="center"/>
                    <w:rPr>
                      <w:rFonts w:hint="default"/>
                      <w:lang w:val="en-US" w:eastAsia="zh-CN"/>
                    </w:rPr>
                  </w:pPr>
                  <w:r>
                    <w:rPr>
                      <w:rFonts w:hint="eastAsia"/>
                      <w:lang w:val="en-US" w:eastAsia="zh-CN"/>
                    </w:rPr>
                    <w:t>25</w:t>
                  </w:r>
                </w:p>
              </w:tc>
              <w:tc>
                <w:tcPr>
                  <w:tcW w:w="562" w:type="dxa"/>
                  <w:vAlign w:val="center"/>
                </w:tcPr>
                <w:p w14:paraId="38CE57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lang w:val="en-US" w:eastAsia="zh-CN"/>
                    </w:rPr>
                  </w:pPr>
                  <w:r>
                    <w:rPr>
                      <w:rFonts w:hint="default" w:ascii="Times New Roman" w:hAnsi="Times New Roman" w:eastAsia="宋体" w:cs="Times New Roman"/>
                      <w:b w:val="0"/>
                      <w:bCs w:val="0"/>
                      <w:color w:val="auto"/>
                      <w:sz w:val="21"/>
                      <w:szCs w:val="21"/>
                      <w:lang w:val="en-US" w:eastAsia="zh-CN"/>
                    </w:rPr>
                    <w:t>116.706092</w:t>
                  </w:r>
                </w:p>
              </w:tc>
              <w:tc>
                <w:tcPr>
                  <w:tcW w:w="621" w:type="dxa"/>
                  <w:vAlign w:val="center"/>
                </w:tcPr>
                <w:p w14:paraId="78250E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lang w:val="en-US" w:eastAsia="zh-CN"/>
                    </w:rPr>
                  </w:pPr>
                  <w:r>
                    <w:rPr>
                      <w:rFonts w:hint="default" w:ascii="Times New Roman" w:hAnsi="Times New Roman" w:eastAsia="宋体" w:cs="Times New Roman"/>
                      <w:b w:val="0"/>
                      <w:bCs w:val="0"/>
                      <w:color w:val="auto"/>
                      <w:sz w:val="21"/>
                      <w:szCs w:val="21"/>
                      <w:lang w:val="en-US" w:eastAsia="zh-CN"/>
                    </w:rPr>
                    <w:t>33.975755</w:t>
                  </w:r>
                </w:p>
              </w:tc>
              <w:tc>
                <w:tcPr>
                  <w:tcW w:w="548" w:type="dxa"/>
                  <w:vAlign w:val="center"/>
                </w:tcPr>
                <w:p w14:paraId="5A2DC6C7">
                  <w:pPr>
                    <w:pStyle w:val="3"/>
                    <w:bidi w:val="0"/>
                    <w:jc w:val="center"/>
                    <w:rPr>
                      <w:rFonts w:hint="default"/>
                      <w:lang w:val="en-US" w:eastAsia="zh-CN"/>
                    </w:rPr>
                  </w:pPr>
                  <w:r>
                    <w:rPr>
                      <w:rFonts w:hint="eastAsia"/>
                      <w:lang w:val="en-US" w:eastAsia="zh-CN"/>
                    </w:rPr>
                    <w:t>输送、投料粉尘</w:t>
                  </w:r>
                </w:p>
              </w:tc>
              <w:tc>
                <w:tcPr>
                  <w:tcW w:w="733" w:type="dxa"/>
                  <w:vAlign w:val="center"/>
                </w:tcPr>
                <w:p w14:paraId="481CF638">
                  <w:pPr>
                    <w:pStyle w:val="3"/>
                    <w:bidi w:val="0"/>
                    <w:jc w:val="center"/>
                    <w:rPr>
                      <w:rFonts w:hint="default"/>
                      <w:lang w:val="en-US" w:eastAsia="zh-CN"/>
                    </w:rPr>
                  </w:pPr>
                  <w:r>
                    <w:rPr>
                      <w:rFonts w:hint="eastAsia" w:ascii="Times New Roman" w:hAnsi="Times New Roman" w:eastAsia="宋体" w:cs="Times New Roman"/>
                      <w:b w:val="0"/>
                      <w:bCs w:val="0"/>
                      <w:color w:val="auto"/>
                      <w:sz w:val="21"/>
                      <w:szCs w:val="21"/>
                      <w:lang w:val="en-US" w:eastAsia="zh-CN"/>
                    </w:rPr>
                    <w:t>颗粒物</w:t>
                  </w:r>
                </w:p>
              </w:tc>
              <w:tc>
                <w:tcPr>
                  <w:tcW w:w="738" w:type="dxa"/>
                  <w:vAlign w:val="center"/>
                </w:tcPr>
                <w:p w14:paraId="36D8BF69">
                  <w:pPr>
                    <w:pStyle w:val="3"/>
                    <w:bidi w:val="0"/>
                    <w:jc w:val="center"/>
                    <w:rPr>
                      <w:rFonts w:hint="default"/>
                      <w:lang w:val="en-US" w:eastAsia="zh-CN"/>
                    </w:rPr>
                  </w:pPr>
                  <w:r>
                    <w:rPr>
                      <w:rFonts w:hint="default" w:ascii="Times New Roman" w:hAnsi="Times New Roman" w:eastAsia="宋体" w:cs="Times New Roman"/>
                      <w:b w:val="0"/>
                      <w:bCs w:val="0"/>
                      <w:color w:val="auto"/>
                      <w:sz w:val="21"/>
                      <w:szCs w:val="21"/>
                      <w:lang w:val="en-US" w:eastAsia="zh-CN"/>
                    </w:rPr>
                    <w:t>1450</w:t>
                  </w:r>
                </w:p>
              </w:tc>
              <w:tc>
                <w:tcPr>
                  <w:tcW w:w="689" w:type="dxa"/>
                  <w:vAlign w:val="center"/>
                </w:tcPr>
                <w:p w14:paraId="10DF7F80">
                  <w:pPr>
                    <w:pStyle w:val="3"/>
                    <w:bidi w:val="0"/>
                    <w:jc w:val="center"/>
                    <w:rPr>
                      <w:rFonts w:hint="default"/>
                      <w:lang w:val="en-US" w:eastAsia="zh-CN"/>
                    </w:rPr>
                  </w:pPr>
                  <w:r>
                    <w:rPr>
                      <w:rFonts w:hint="eastAsia"/>
                      <w:lang w:val="en-US" w:eastAsia="zh-CN"/>
                    </w:rPr>
                    <w:t>20000</w:t>
                  </w:r>
                </w:p>
              </w:tc>
              <w:tc>
                <w:tcPr>
                  <w:tcW w:w="692" w:type="dxa"/>
                  <w:vAlign w:val="center"/>
                </w:tcPr>
                <w:p w14:paraId="3B32E79A">
                  <w:pPr>
                    <w:pStyle w:val="3"/>
                    <w:bidi w:val="0"/>
                    <w:jc w:val="center"/>
                    <w:rPr>
                      <w:rFonts w:hint="default"/>
                      <w:lang w:val="en-US" w:eastAsia="zh-CN"/>
                    </w:rPr>
                  </w:pPr>
                  <w:r>
                    <w:rPr>
                      <w:rFonts w:hint="default"/>
                      <w:lang w:val="en-US" w:eastAsia="zh-CN"/>
                    </w:rPr>
                    <w:t>52.2</w:t>
                  </w:r>
                </w:p>
              </w:tc>
              <w:tc>
                <w:tcPr>
                  <w:tcW w:w="2393" w:type="dxa"/>
                  <w:vAlign w:val="center"/>
                </w:tcPr>
                <w:p w14:paraId="6D614BD7">
                  <w:pPr>
                    <w:pStyle w:val="3"/>
                    <w:bidi w:val="0"/>
                    <w:jc w:val="center"/>
                    <w:rPr>
                      <w:rFonts w:hint="default"/>
                      <w:lang w:val="en-US" w:eastAsia="zh-CN"/>
                    </w:rPr>
                  </w:pPr>
                  <w:r>
                    <w:rPr>
                      <w:rFonts w:hint="eastAsia"/>
                      <w:color w:val="auto"/>
                      <w:highlight w:val="none"/>
                    </w:rPr>
                    <w:t>采取</w:t>
                  </w:r>
                  <w:r>
                    <w:rPr>
                      <w:rFonts w:hint="eastAsia"/>
                      <w:color w:val="auto"/>
                      <w:highlight w:val="none"/>
                      <w:lang w:val="en-US" w:eastAsia="zh-CN"/>
                    </w:rPr>
                    <w:t>输送带封闭、安装喷淋装置（降尘50%），</w:t>
                  </w:r>
                  <w:r>
                    <w:rPr>
                      <w:rFonts w:hint="eastAsia"/>
                      <w:color w:val="auto"/>
                      <w:highlight w:val="none"/>
                      <w:lang w:eastAsia="zh-CN"/>
                    </w:rPr>
                    <w:t>“</w:t>
                  </w:r>
                  <w:r>
                    <w:rPr>
                      <w:rFonts w:hint="eastAsia"/>
                      <w:color w:val="auto"/>
                      <w:highlight w:val="none"/>
                      <w:lang w:val="en-US" w:eastAsia="zh-CN"/>
                    </w:rPr>
                    <w:t>集气罩收集（收集效率为90%）+布袋除尘器（处理效率99%）</w:t>
                  </w:r>
                  <w:r>
                    <w:rPr>
                      <w:rFonts w:hint="eastAsia"/>
                      <w:color w:val="auto"/>
                      <w:highlight w:val="none"/>
                      <w:lang w:eastAsia="zh-CN"/>
                    </w:rPr>
                    <w:t>”</w:t>
                  </w:r>
                  <w:r>
                    <w:rPr>
                      <w:rFonts w:hint="eastAsia"/>
                      <w:color w:val="auto"/>
                      <w:highlight w:val="none"/>
                      <w:lang w:val="en-US" w:eastAsia="zh-CN"/>
                    </w:rPr>
                    <w:t>处理后，经15m（DA004）排气筒排放</w:t>
                  </w:r>
                </w:p>
              </w:tc>
              <w:tc>
                <w:tcPr>
                  <w:tcW w:w="673" w:type="dxa"/>
                  <w:vAlign w:val="center"/>
                </w:tcPr>
                <w:p w14:paraId="2F6F62EC">
                  <w:pPr>
                    <w:pStyle w:val="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lang w:val="en-US" w:eastAsia="zh-CN"/>
                    </w:rPr>
                  </w:pPr>
                  <w:r>
                    <w:rPr>
                      <w:rFonts w:hint="eastAsia"/>
                      <w:color w:val="auto"/>
                      <w:lang w:val="en-US" w:eastAsia="zh-CN"/>
                    </w:rPr>
                    <w:t>0.235</w:t>
                  </w:r>
                </w:p>
              </w:tc>
              <w:tc>
                <w:tcPr>
                  <w:tcW w:w="610" w:type="dxa"/>
                  <w:vAlign w:val="center"/>
                </w:tcPr>
                <w:p w14:paraId="155AD5E5">
                  <w:pPr>
                    <w:pStyle w:val="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lang w:val="en-US" w:eastAsia="zh-CN"/>
                    </w:rPr>
                  </w:pPr>
                  <w:r>
                    <w:rPr>
                      <w:rFonts w:hint="default" w:ascii="Times New Roman" w:hAnsi="Times New Roman" w:eastAsia="宋体" w:cs="Times New Roman"/>
                      <w:b w:val="0"/>
                      <w:bCs w:val="0"/>
                      <w:color w:val="auto"/>
                      <w:sz w:val="21"/>
                      <w:szCs w:val="21"/>
                      <w:lang w:val="en-US" w:eastAsia="zh-CN"/>
                    </w:rPr>
                    <w:t>0.162</w:t>
                  </w:r>
                </w:p>
              </w:tc>
              <w:tc>
                <w:tcPr>
                  <w:tcW w:w="741" w:type="dxa"/>
                  <w:vAlign w:val="center"/>
                </w:tcPr>
                <w:p w14:paraId="1E589743">
                  <w:pPr>
                    <w:pStyle w:val="3"/>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lang w:val="en-US" w:eastAsia="zh-CN"/>
                    </w:rPr>
                  </w:pPr>
                  <w:r>
                    <w:rPr>
                      <w:rFonts w:hint="eastAsia" w:cs="Times New Roman"/>
                      <w:b w:val="0"/>
                      <w:bCs w:val="0"/>
                      <w:color w:val="auto"/>
                      <w:sz w:val="21"/>
                      <w:szCs w:val="21"/>
                      <w:lang w:val="en-US" w:eastAsia="zh-CN"/>
                    </w:rPr>
                    <w:t>8.10</w:t>
                  </w:r>
                </w:p>
              </w:tc>
              <w:tc>
                <w:tcPr>
                  <w:tcW w:w="658" w:type="dxa"/>
                  <w:vAlign w:val="center"/>
                </w:tcPr>
                <w:p w14:paraId="0F57E338">
                  <w:pPr>
                    <w:pStyle w:val="3"/>
                    <w:bidi w:val="0"/>
                    <w:jc w:val="center"/>
                    <w:rPr>
                      <w:rFonts w:hint="default"/>
                      <w:lang w:val="en-US" w:eastAsia="zh-CN"/>
                    </w:rPr>
                  </w:pPr>
                  <w:r>
                    <w:rPr>
                      <w:rFonts w:hint="eastAsia" w:cs="Times New Roman"/>
                      <w:b w:val="0"/>
                      <w:bCs w:val="0"/>
                      <w:color w:val="auto"/>
                      <w:sz w:val="21"/>
                      <w:szCs w:val="21"/>
                      <w:lang w:val="en-US" w:eastAsia="zh-CN"/>
                    </w:rPr>
                    <w:t>/</w:t>
                  </w:r>
                </w:p>
              </w:tc>
              <w:tc>
                <w:tcPr>
                  <w:tcW w:w="830" w:type="dxa"/>
                  <w:vAlign w:val="center"/>
                </w:tcPr>
                <w:p w14:paraId="728C9EE6">
                  <w:pPr>
                    <w:pStyle w:val="3"/>
                    <w:bidi w:val="0"/>
                    <w:jc w:val="center"/>
                    <w:rPr>
                      <w:rFonts w:hint="default"/>
                      <w:lang w:val="en-US" w:eastAsia="zh-CN"/>
                    </w:rPr>
                  </w:pPr>
                  <w:r>
                    <w:rPr>
                      <w:rFonts w:hint="eastAsia" w:cs="Times New Roman"/>
                      <w:b w:val="0"/>
                      <w:bCs w:val="0"/>
                      <w:color w:val="auto"/>
                      <w:sz w:val="21"/>
                      <w:szCs w:val="21"/>
                      <w:lang w:val="en-US" w:eastAsia="zh-CN"/>
                    </w:rPr>
                    <w:t>10</w:t>
                  </w:r>
                </w:p>
              </w:tc>
            </w:tr>
          </w:tbl>
          <w:p w14:paraId="3EB697D3">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表4-</w:t>
            </w:r>
            <w:r>
              <w:rPr>
                <w:rFonts w:hint="eastAsia" w:cs="Times New Roman"/>
                <w:b/>
                <w:bCs/>
                <w:color w:val="auto"/>
                <w:lang w:val="en-US" w:eastAsia="zh-CN"/>
              </w:rPr>
              <w:t xml:space="preserve">4 </w:t>
            </w:r>
            <w:r>
              <w:rPr>
                <w:rFonts w:hint="eastAsia" w:ascii="Times New Roman" w:hAnsi="Times New Roman" w:eastAsia="宋体" w:cs="Times New Roman"/>
                <w:b/>
                <w:bCs/>
                <w:color w:val="auto"/>
                <w:lang w:val="en-US" w:eastAsia="zh-CN"/>
              </w:rPr>
              <w:t>项目无组织排放信息表</w:t>
            </w:r>
          </w:p>
          <w:tbl>
            <w:tblPr>
              <w:tblStyle w:val="27"/>
              <w:tblW w:w="12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97"/>
              <w:gridCol w:w="1095"/>
              <w:gridCol w:w="906"/>
              <w:gridCol w:w="894"/>
              <w:gridCol w:w="924"/>
              <w:gridCol w:w="924"/>
              <w:gridCol w:w="667"/>
              <w:gridCol w:w="990"/>
              <w:gridCol w:w="760"/>
              <w:gridCol w:w="631"/>
              <w:gridCol w:w="1055"/>
              <w:gridCol w:w="1320"/>
              <w:gridCol w:w="1177"/>
            </w:tblGrid>
            <w:tr w14:paraId="6C95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6" w:type="dxa"/>
                  <w:vMerge w:val="restart"/>
                  <w:vAlign w:val="center"/>
                </w:tcPr>
                <w:p w14:paraId="26FC591B">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cs="Times New Roman"/>
                      <w:b/>
                      <w:bCs/>
                      <w:color w:val="auto"/>
                      <w:kern w:val="0"/>
                      <w:sz w:val="21"/>
                      <w:szCs w:val="21"/>
                    </w:rPr>
                  </w:pPr>
                  <w:r>
                    <w:rPr>
                      <w:rFonts w:hint="eastAsia" w:ascii="Times New Roman" w:hAnsi="Times New Roman"/>
                      <w:b/>
                      <w:bCs/>
                      <w:color w:val="auto"/>
                      <w:kern w:val="0"/>
                      <w:sz w:val="21"/>
                      <w:szCs w:val="21"/>
                    </w:rPr>
                    <w:t>编号</w:t>
                  </w:r>
                </w:p>
              </w:tc>
              <w:tc>
                <w:tcPr>
                  <w:tcW w:w="897" w:type="dxa"/>
                  <w:vMerge w:val="restart"/>
                  <w:vAlign w:val="center"/>
                </w:tcPr>
                <w:p w14:paraId="2D8BA474">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r>
                    <w:rPr>
                      <w:rFonts w:hint="default" w:ascii="Times New Roman" w:hAnsi="Times New Roman"/>
                      <w:b/>
                      <w:bCs/>
                      <w:color w:val="auto"/>
                      <w:kern w:val="0"/>
                      <w:sz w:val="21"/>
                      <w:szCs w:val="21"/>
                    </w:rPr>
                    <w:t>名称</w:t>
                  </w:r>
                </w:p>
              </w:tc>
              <w:tc>
                <w:tcPr>
                  <w:tcW w:w="2001" w:type="dxa"/>
                  <w:gridSpan w:val="2"/>
                  <w:vAlign w:val="center"/>
                </w:tcPr>
                <w:p w14:paraId="2FBA3CB2">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r>
                    <w:rPr>
                      <w:rFonts w:hint="eastAsia" w:ascii="Times New Roman" w:hAnsi="Times New Roman"/>
                      <w:b/>
                      <w:bCs/>
                      <w:color w:val="auto"/>
                      <w:kern w:val="0"/>
                      <w:sz w:val="21"/>
                      <w:szCs w:val="21"/>
                    </w:rPr>
                    <w:t>面源</w:t>
                  </w:r>
                  <w:r>
                    <w:rPr>
                      <w:rFonts w:hint="eastAsia"/>
                      <w:b/>
                      <w:bCs/>
                      <w:color w:val="auto"/>
                      <w:kern w:val="0"/>
                      <w:sz w:val="21"/>
                      <w:szCs w:val="21"/>
                      <w:lang w:val="en-US" w:eastAsia="zh-CN"/>
                    </w:rPr>
                    <w:t>各顶点</w:t>
                  </w:r>
                  <w:r>
                    <w:rPr>
                      <w:rFonts w:hint="eastAsia" w:ascii="Times New Roman" w:hAnsi="Times New Roman"/>
                      <w:b/>
                      <w:bCs/>
                      <w:color w:val="auto"/>
                      <w:kern w:val="0"/>
                      <w:sz w:val="21"/>
                      <w:szCs w:val="21"/>
                    </w:rPr>
                    <w:t>坐标/m</w:t>
                  </w:r>
                </w:p>
              </w:tc>
              <w:tc>
                <w:tcPr>
                  <w:tcW w:w="894" w:type="dxa"/>
                  <w:vMerge w:val="restart"/>
                  <w:vAlign w:val="center"/>
                </w:tcPr>
                <w:p w14:paraId="3FF1DFEA">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r>
                    <w:rPr>
                      <w:rFonts w:hint="default" w:ascii="Times New Roman" w:hAnsi="Times New Roman"/>
                      <w:b/>
                      <w:bCs/>
                      <w:color w:val="auto"/>
                      <w:kern w:val="0"/>
                      <w:sz w:val="21"/>
                      <w:szCs w:val="21"/>
                    </w:rPr>
                    <w:t>面源海拔高度</w:t>
                  </w:r>
                  <w:r>
                    <w:rPr>
                      <w:rFonts w:hint="eastAsia" w:ascii="Times New Roman" w:hAnsi="Times New Roman"/>
                      <w:b/>
                      <w:bCs/>
                      <w:color w:val="auto"/>
                      <w:kern w:val="0"/>
                      <w:sz w:val="21"/>
                      <w:szCs w:val="21"/>
                    </w:rPr>
                    <w:t>/</w:t>
                  </w:r>
                  <w:r>
                    <w:rPr>
                      <w:rFonts w:hint="default" w:ascii="Times New Roman" w:hAnsi="Times New Roman"/>
                      <w:b/>
                      <w:bCs/>
                      <w:color w:val="auto"/>
                      <w:kern w:val="0"/>
                      <w:sz w:val="21"/>
                      <w:szCs w:val="21"/>
                    </w:rPr>
                    <w:t>m</w:t>
                  </w:r>
                </w:p>
              </w:tc>
              <w:tc>
                <w:tcPr>
                  <w:tcW w:w="924" w:type="dxa"/>
                  <w:vMerge w:val="restart"/>
                  <w:vAlign w:val="center"/>
                </w:tcPr>
                <w:p w14:paraId="6B36EFDD">
                  <w:pPr>
                    <w:pStyle w:val="3"/>
                    <w:bidi w:val="0"/>
                    <w:jc w:val="center"/>
                    <w:rPr>
                      <w:rFonts w:hint="default"/>
                      <w:b/>
                      <w:bCs w:val="0"/>
                      <w:lang w:val="en-US" w:eastAsia="zh-CN"/>
                    </w:rPr>
                  </w:pPr>
                  <w:r>
                    <w:rPr>
                      <w:rFonts w:hint="eastAsia"/>
                      <w:b/>
                      <w:bCs w:val="0"/>
                      <w:lang w:val="en-US" w:eastAsia="zh-CN"/>
                    </w:rPr>
                    <w:t>面源长度/m</w:t>
                  </w:r>
                </w:p>
              </w:tc>
              <w:tc>
                <w:tcPr>
                  <w:tcW w:w="924" w:type="dxa"/>
                  <w:vMerge w:val="restart"/>
                  <w:vAlign w:val="center"/>
                </w:tcPr>
                <w:p w14:paraId="6F09F401">
                  <w:pPr>
                    <w:pStyle w:val="3"/>
                    <w:bidi w:val="0"/>
                    <w:jc w:val="center"/>
                    <w:rPr>
                      <w:rFonts w:hint="default"/>
                      <w:b/>
                      <w:bCs w:val="0"/>
                      <w:lang w:val="en-US" w:eastAsia="zh-CN"/>
                    </w:rPr>
                  </w:pPr>
                  <w:r>
                    <w:rPr>
                      <w:rFonts w:hint="eastAsia"/>
                      <w:b/>
                      <w:bCs w:val="0"/>
                      <w:lang w:val="en-US" w:eastAsia="zh-CN"/>
                    </w:rPr>
                    <w:t>面源宽度</w:t>
                  </w:r>
                </w:p>
              </w:tc>
              <w:tc>
                <w:tcPr>
                  <w:tcW w:w="667" w:type="dxa"/>
                  <w:vMerge w:val="restart"/>
                  <w:vAlign w:val="center"/>
                </w:tcPr>
                <w:p w14:paraId="018E2DBC">
                  <w:pPr>
                    <w:pStyle w:val="3"/>
                    <w:bidi w:val="0"/>
                    <w:jc w:val="center"/>
                    <w:rPr>
                      <w:rFonts w:hint="default"/>
                      <w:b/>
                      <w:bCs w:val="0"/>
                      <w:lang w:val="en-US" w:eastAsia="zh-CN"/>
                    </w:rPr>
                  </w:pPr>
                  <w:r>
                    <w:rPr>
                      <w:rFonts w:hint="eastAsia"/>
                      <w:b/>
                      <w:bCs w:val="0"/>
                      <w:lang w:val="en-US" w:eastAsia="zh-CN"/>
                    </w:rPr>
                    <w:t>与正北向夹角/°</w:t>
                  </w:r>
                </w:p>
              </w:tc>
              <w:tc>
                <w:tcPr>
                  <w:tcW w:w="990" w:type="dxa"/>
                  <w:vMerge w:val="restart"/>
                  <w:vAlign w:val="center"/>
                </w:tcPr>
                <w:p w14:paraId="3DA78493">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r>
                    <w:rPr>
                      <w:rFonts w:hint="default" w:ascii="Times New Roman" w:hAnsi="Times New Roman"/>
                      <w:b/>
                      <w:bCs/>
                      <w:color w:val="auto"/>
                      <w:kern w:val="0"/>
                      <w:sz w:val="21"/>
                      <w:szCs w:val="21"/>
                    </w:rPr>
                    <w:t>面源有效排放高度</w:t>
                  </w:r>
                  <w:r>
                    <w:rPr>
                      <w:rFonts w:hint="eastAsia" w:ascii="Times New Roman" w:hAnsi="Times New Roman"/>
                      <w:b/>
                      <w:bCs/>
                      <w:color w:val="auto"/>
                      <w:kern w:val="0"/>
                      <w:sz w:val="21"/>
                      <w:szCs w:val="21"/>
                    </w:rPr>
                    <w:t>/</w:t>
                  </w:r>
                  <w:r>
                    <w:rPr>
                      <w:rFonts w:hint="default" w:ascii="Times New Roman" w:hAnsi="Times New Roman"/>
                      <w:b/>
                      <w:bCs/>
                      <w:color w:val="auto"/>
                      <w:kern w:val="0"/>
                      <w:sz w:val="21"/>
                      <w:szCs w:val="21"/>
                    </w:rPr>
                    <w:t>m</w:t>
                  </w:r>
                </w:p>
              </w:tc>
              <w:tc>
                <w:tcPr>
                  <w:tcW w:w="760" w:type="dxa"/>
                  <w:vMerge w:val="restart"/>
                  <w:vAlign w:val="center"/>
                </w:tcPr>
                <w:p w14:paraId="53F16393">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r>
                    <w:rPr>
                      <w:rFonts w:hint="default" w:ascii="Times New Roman" w:hAnsi="Times New Roman"/>
                      <w:b/>
                      <w:bCs/>
                      <w:color w:val="auto"/>
                      <w:kern w:val="0"/>
                      <w:sz w:val="21"/>
                      <w:szCs w:val="21"/>
                    </w:rPr>
                    <w:t>年排放小时数h</w:t>
                  </w:r>
                </w:p>
              </w:tc>
              <w:tc>
                <w:tcPr>
                  <w:tcW w:w="631" w:type="dxa"/>
                  <w:vMerge w:val="restart"/>
                  <w:vAlign w:val="center"/>
                </w:tcPr>
                <w:p w14:paraId="57872782">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b/>
                      <w:bCs/>
                      <w:color w:val="auto"/>
                      <w:kern w:val="0"/>
                      <w:sz w:val="21"/>
                      <w:szCs w:val="21"/>
                    </w:rPr>
                  </w:pPr>
                  <w:r>
                    <w:rPr>
                      <w:rFonts w:hint="eastAsia" w:ascii="Times New Roman" w:hAnsi="Times New Roman"/>
                      <w:b/>
                      <w:bCs/>
                      <w:color w:val="auto"/>
                      <w:kern w:val="0"/>
                      <w:sz w:val="21"/>
                      <w:szCs w:val="21"/>
                    </w:rPr>
                    <w:t>排放工况</w:t>
                  </w:r>
                </w:p>
              </w:tc>
              <w:tc>
                <w:tcPr>
                  <w:tcW w:w="2375" w:type="dxa"/>
                  <w:gridSpan w:val="2"/>
                  <w:vAlign w:val="center"/>
                </w:tcPr>
                <w:p w14:paraId="135C7665">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eastAsia"/>
                      <w:b/>
                      <w:bCs/>
                      <w:color w:val="auto"/>
                      <w:kern w:val="0"/>
                      <w:sz w:val="21"/>
                      <w:szCs w:val="21"/>
                      <w:lang w:val="en-US" w:eastAsia="zh-CN"/>
                    </w:rPr>
                  </w:pPr>
                  <w:r>
                    <w:rPr>
                      <w:rFonts w:hint="default" w:ascii="Times New Roman" w:hAnsi="Times New Roman" w:cs="Times New Roman"/>
                      <w:b/>
                      <w:bCs/>
                      <w:color w:val="auto"/>
                      <w:kern w:val="0"/>
                      <w:sz w:val="21"/>
                      <w:szCs w:val="21"/>
                    </w:rPr>
                    <w:t>评价因子</w:t>
                  </w:r>
                </w:p>
              </w:tc>
              <w:tc>
                <w:tcPr>
                  <w:tcW w:w="1177" w:type="dxa"/>
                  <w:vMerge w:val="restart"/>
                  <w:vAlign w:val="center"/>
                </w:tcPr>
                <w:p w14:paraId="6D802F84">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b/>
                      <w:bCs/>
                      <w:color w:val="auto"/>
                      <w:kern w:val="0"/>
                      <w:sz w:val="21"/>
                      <w:szCs w:val="21"/>
                      <w:lang w:val="en-US" w:eastAsia="zh-CN"/>
                    </w:rPr>
                  </w:pPr>
                  <w:r>
                    <w:rPr>
                      <w:rFonts w:hint="eastAsia"/>
                      <w:b/>
                      <w:bCs/>
                      <w:color w:val="auto"/>
                      <w:kern w:val="0"/>
                      <w:sz w:val="21"/>
                      <w:szCs w:val="21"/>
                      <w:lang w:val="en-US" w:eastAsia="zh-CN"/>
                    </w:rPr>
                    <w:t>排放标准（</w:t>
                  </w:r>
                  <w:r>
                    <w:rPr>
                      <w:b/>
                      <w:bCs/>
                      <w:color w:val="auto"/>
                      <w:kern w:val="0"/>
                      <w:sz w:val="21"/>
                      <w:szCs w:val="21"/>
                      <w:lang w:bidi="ar"/>
                    </w:rPr>
                    <w:t>浓度</w:t>
                  </w:r>
                  <w:r>
                    <w:rPr>
                      <w:rFonts w:hint="eastAsia"/>
                      <w:b/>
                      <w:bCs/>
                      <w:color w:val="auto"/>
                      <w:kern w:val="0"/>
                      <w:sz w:val="21"/>
                      <w:szCs w:val="21"/>
                      <w:lang w:bidi="ar"/>
                    </w:rPr>
                    <w:t>（</w:t>
                  </w:r>
                  <w:r>
                    <w:rPr>
                      <w:b/>
                      <w:bCs/>
                      <w:color w:val="auto"/>
                      <w:kern w:val="0"/>
                      <w:sz w:val="21"/>
                      <w:szCs w:val="21"/>
                      <w:lang w:bidi="ar"/>
                    </w:rPr>
                    <w:t>mg/m</w:t>
                  </w:r>
                  <w:r>
                    <w:rPr>
                      <w:b/>
                      <w:bCs/>
                      <w:color w:val="auto"/>
                      <w:kern w:val="0"/>
                      <w:sz w:val="21"/>
                      <w:szCs w:val="21"/>
                      <w:vertAlign w:val="superscript"/>
                      <w:lang w:bidi="ar"/>
                    </w:rPr>
                    <w:t>3</w:t>
                  </w:r>
                  <w:r>
                    <w:rPr>
                      <w:rFonts w:hint="eastAsia"/>
                      <w:b/>
                      <w:bCs/>
                      <w:color w:val="auto"/>
                      <w:kern w:val="0"/>
                      <w:sz w:val="21"/>
                      <w:szCs w:val="21"/>
                      <w:lang w:bidi="ar"/>
                    </w:rPr>
                    <w:t>）</w:t>
                  </w:r>
                </w:p>
              </w:tc>
            </w:tr>
            <w:tr w14:paraId="12ED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6" w:type="dxa"/>
                  <w:vMerge w:val="continue"/>
                  <w:vAlign w:val="center"/>
                </w:tcPr>
                <w:p w14:paraId="20ED8F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rPr>
                      <w:rFonts w:hint="default" w:ascii="Times New Roman" w:hAnsi="Times New Roman"/>
                      <w:b/>
                      <w:bCs/>
                      <w:color w:val="auto"/>
                      <w:kern w:val="0"/>
                      <w:sz w:val="21"/>
                      <w:szCs w:val="21"/>
                    </w:rPr>
                  </w:pPr>
                </w:p>
              </w:tc>
              <w:tc>
                <w:tcPr>
                  <w:tcW w:w="897" w:type="dxa"/>
                  <w:vMerge w:val="continue"/>
                  <w:vAlign w:val="center"/>
                </w:tcPr>
                <w:p w14:paraId="758368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rPr>
                      <w:rFonts w:hint="default" w:ascii="Times New Roman" w:hAnsi="Times New Roman"/>
                      <w:b/>
                      <w:bCs/>
                      <w:color w:val="auto"/>
                      <w:kern w:val="0"/>
                      <w:sz w:val="21"/>
                      <w:szCs w:val="21"/>
                    </w:rPr>
                  </w:pPr>
                </w:p>
              </w:tc>
              <w:tc>
                <w:tcPr>
                  <w:tcW w:w="1095" w:type="dxa"/>
                  <w:vAlign w:val="center"/>
                </w:tcPr>
                <w:p w14:paraId="71266BBE">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b/>
                      <w:bCs/>
                      <w:color w:val="auto"/>
                      <w:kern w:val="0"/>
                      <w:sz w:val="21"/>
                      <w:szCs w:val="21"/>
                    </w:rPr>
                  </w:pPr>
                  <w:r>
                    <w:rPr>
                      <w:rFonts w:hint="eastAsia"/>
                      <w:b/>
                      <w:bCs/>
                      <w:color w:val="auto"/>
                      <w:kern w:val="0"/>
                      <w:sz w:val="21"/>
                      <w:szCs w:val="21"/>
                      <w:lang w:val="en-US" w:eastAsia="zh-CN"/>
                    </w:rPr>
                    <w:t>X</w:t>
                  </w:r>
                </w:p>
              </w:tc>
              <w:tc>
                <w:tcPr>
                  <w:tcW w:w="906" w:type="dxa"/>
                  <w:vAlign w:val="center"/>
                </w:tcPr>
                <w:p w14:paraId="007299BC">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b/>
                      <w:bCs/>
                      <w:color w:val="auto"/>
                      <w:kern w:val="0"/>
                      <w:sz w:val="21"/>
                      <w:szCs w:val="21"/>
                    </w:rPr>
                  </w:pPr>
                  <w:r>
                    <w:rPr>
                      <w:rFonts w:hint="eastAsia"/>
                      <w:b/>
                      <w:bCs/>
                      <w:color w:val="auto"/>
                      <w:kern w:val="0"/>
                      <w:sz w:val="21"/>
                      <w:szCs w:val="21"/>
                      <w:lang w:val="en-US" w:eastAsia="zh-CN"/>
                    </w:rPr>
                    <w:t>Y</w:t>
                  </w:r>
                </w:p>
              </w:tc>
              <w:tc>
                <w:tcPr>
                  <w:tcW w:w="894" w:type="dxa"/>
                  <w:vMerge w:val="continue"/>
                  <w:vAlign w:val="center"/>
                </w:tcPr>
                <w:p w14:paraId="2A0840B5">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924" w:type="dxa"/>
                  <w:vMerge w:val="continue"/>
                  <w:vAlign w:val="center"/>
                </w:tcPr>
                <w:p w14:paraId="5EA39B46">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924" w:type="dxa"/>
                  <w:vMerge w:val="continue"/>
                  <w:vAlign w:val="center"/>
                </w:tcPr>
                <w:p w14:paraId="6EA7DAAA">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667" w:type="dxa"/>
                  <w:vMerge w:val="continue"/>
                  <w:vAlign w:val="center"/>
                </w:tcPr>
                <w:p w14:paraId="4ACCAFC0">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990" w:type="dxa"/>
                  <w:vMerge w:val="continue"/>
                  <w:vAlign w:val="center"/>
                </w:tcPr>
                <w:p w14:paraId="190E45D5">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760" w:type="dxa"/>
                  <w:vMerge w:val="continue"/>
                  <w:vAlign w:val="center"/>
                </w:tcPr>
                <w:p w14:paraId="6F66EE24">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631" w:type="dxa"/>
                  <w:vMerge w:val="continue"/>
                  <w:vAlign w:val="center"/>
                </w:tcPr>
                <w:p w14:paraId="0D87B9C7">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1055" w:type="dxa"/>
                  <w:vAlign w:val="center"/>
                </w:tcPr>
                <w:p w14:paraId="11DA6800">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cs="Times New Roman"/>
                      <w:b/>
                      <w:bCs/>
                      <w:color w:val="auto"/>
                      <w:sz w:val="21"/>
                      <w:szCs w:val="21"/>
                      <w:lang w:val="en-US" w:eastAsia="zh-CN"/>
                    </w:rPr>
                  </w:pPr>
                  <w:r>
                    <w:rPr>
                      <w:rFonts w:hint="eastAsia" w:cs="Times New Roman"/>
                      <w:b/>
                      <w:bCs/>
                      <w:color w:val="auto"/>
                      <w:sz w:val="21"/>
                      <w:szCs w:val="21"/>
                      <w:lang w:val="en-US" w:eastAsia="zh-CN"/>
                    </w:rPr>
                    <w:t>名称</w:t>
                  </w:r>
                </w:p>
              </w:tc>
              <w:tc>
                <w:tcPr>
                  <w:tcW w:w="1320" w:type="dxa"/>
                  <w:vAlign w:val="center"/>
                </w:tcPr>
                <w:p w14:paraId="40BDE276">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eastAsia"/>
                      <w:b/>
                      <w:bCs/>
                      <w:color w:val="auto"/>
                      <w:kern w:val="0"/>
                      <w:sz w:val="21"/>
                      <w:szCs w:val="21"/>
                      <w:lang w:val="en-US" w:eastAsia="zh-CN"/>
                    </w:rPr>
                  </w:pPr>
                  <w:r>
                    <w:rPr>
                      <w:rFonts w:hint="eastAsia"/>
                      <w:b/>
                      <w:bCs/>
                      <w:color w:val="auto"/>
                      <w:kern w:val="0"/>
                      <w:sz w:val="21"/>
                      <w:szCs w:val="21"/>
                      <w:lang w:val="en-US" w:eastAsia="zh-CN"/>
                    </w:rPr>
                    <w:t>污染物</w:t>
                  </w:r>
                  <w:r>
                    <w:rPr>
                      <w:rFonts w:hint="default" w:ascii="Times New Roman" w:hAnsi="Times New Roman"/>
                      <w:b/>
                      <w:bCs/>
                      <w:color w:val="auto"/>
                      <w:kern w:val="0"/>
                      <w:sz w:val="21"/>
                      <w:szCs w:val="21"/>
                    </w:rPr>
                    <w:t>排放速率kg/h</w:t>
                  </w:r>
                </w:p>
              </w:tc>
              <w:tc>
                <w:tcPr>
                  <w:tcW w:w="1177" w:type="dxa"/>
                  <w:vMerge w:val="continue"/>
                  <w:vAlign w:val="center"/>
                </w:tcPr>
                <w:p w14:paraId="32974704">
                  <w:pPr>
                    <w:pStyle w:val="5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eastAsia" w:cs="Times New Roman"/>
                      <w:b/>
                      <w:bCs/>
                      <w:color w:val="auto"/>
                      <w:sz w:val="21"/>
                      <w:szCs w:val="21"/>
                      <w:lang w:val="en-US" w:eastAsia="zh-CN"/>
                    </w:rPr>
                  </w:pPr>
                </w:p>
              </w:tc>
            </w:tr>
            <w:tr w14:paraId="256C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6" w:type="dxa"/>
                  <w:vMerge w:val="restart"/>
                  <w:vAlign w:val="center"/>
                </w:tcPr>
                <w:p w14:paraId="7F7BB0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w:t>
                  </w:r>
                </w:p>
              </w:tc>
              <w:tc>
                <w:tcPr>
                  <w:tcW w:w="897" w:type="dxa"/>
                  <w:vMerge w:val="restart"/>
                  <w:vAlign w:val="center"/>
                </w:tcPr>
                <w:p w14:paraId="4D5BCC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卸料粉尘</w:t>
                  </w:r>
                  <w:r>
                    <w:rPr>
                      <w:rFonts w:hint="eastAsia"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筒仓呼吸粉尘、输送、投料粉尘、食堂油烟</w:t>
                  </w:r>
                </w:p>
              </w:tc>
              <w:tc>
                <w:tcPr>
                  <w:tcW w:w="1095" w:type="dxa"/>
                  <w:vAlign w:val="center"/>
                </w:tcPr>
                <w:p w14:paraId="447EE254">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w:t>
                  </w:r>
                </w:p>
              </w:tc>
              <w:tc>
                <w:tcPr>
                  <w:tcW w:w="906" w:type="dxa"/>
                  <w:vAlign w:val="center"/>
                </w:tcPr>
                <w:p w14:paraId="2D7836F5">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w:t>
                  </w:r>
                </w:p>
              </w:tc>
              <w:tc>
                <w:tcPr>
                  <w:tcW w:w="894" w:type="dxa"/>
                  <w:vMerge w:val="restart"/>
                  <w:vAlign w:val="center"/>
                </w:tcPr>
                <w:p w14:paraId="0E133B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31.682</w:t>
                  </w:r>
                </w:p>
              </w:tc>
              <w:tc>
                <w:tcPr>
                  <w:tcW w:w="924" w:type="dxa"/>
                  <w:vMerge w:val="restart"/>
                  <w:vAlign w:val="center"/>
                </w:tcPr>
                <w:p w14:paraId="768B44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145</w:t>
                  </w:r>
                </w:p>
              </w:tc>
              <w:tc>
                <w:tcPr>
                  <w:tcW w:w="924" w:type="dxa"/>
                  <w:vMerge w:val="restart"/>
                  <w:vAlign w:val="center"/>
                </w:tcPr>
                <w:p w14:paraId="748142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48</w:t>
                  </w:r>
                </w:p>
              </w:tc>
              <w:tc>
                <w:tcPr>
                  <w:tcW w:w="667" w:type="dxa"/>
                  <w:vMerge w:val="restart"/>
                  <w:vAlign w:val="center"/>
                </w:tcPr>
                <w:p w14:paraId="228386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7</w:t>
                  </w:r>
                </w:p>
              </w:tc>
              <w:tc>
                <w:tcPr>
                  <w:tcW w:w="990" w:type="dxa"/>
                  <w:vMerge w:val="restart"/>
                  <w:vAlign w:val="center"/>
                </w:tcPr>
                <w:p w14:paraId="6B6CE8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9</w:t>
                  </w:r>
                </w:p>
              </w:tc>
              <w:tc>
                <w:tcPr>
                  <w:tcW w:w="760" w:type="dxa"/>
                  <w:vMerge w:val="restart"/>
                  <w:vAlign w:val="center"/>
                </w:tcPr>
                <w:p w14:paraId="52E430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1450</w:t>
                  </w:r>
                </w:p>
              </w:tc>
              <w:tc>
                <w:tcPr>
                  <w:tcW w:w="631" w:type="dxa"/>
                  <w:vMerge w:val="restart"/>
                  <w:vAlign w:val="center"/>
                </w:tcPr>
                <w:p w14:paraId="5E9EBA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正常工况</w:t>
                  </w:r>
                </w:p>
              </w:tc>
              <w:tc>
                <w:tcPr>
                  <w:tcW w:w="1055" w:type="dxa"/>
                  <w:vMerge w:val="restart"/>
                  <w:vAlign w:val="center"/>
                </w:tcPr>
                <w:p w14:paraId="3380B0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颗粒物</w:t>
                  </w:r>
                </w:p>
              </w:tc>
              <w:tc>
                <w:tcPr>
                  <w:tcW w:w="1320" w:type="dxa"/>
                  <w:vMerge w:val="restart"/>
                  <w:vAlign w:val="center"/>
                </w:tcPr>
                <w:p w14:paraId="483027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1.950</w:t>
                  </w:r>
                </w:p>
              </w:tc>
              <w:tc>
                <w:tcPr>
                  <w:tcW w:w="1177" w:type="dxa"/>
                  <w:vMerge w:val="restart"/>
                  <w:vAlign w:val="center"/>
                </w:tcPr>
                <w:p w14:paraId="7B919B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0.5</w:t>
                  </w:r>
                </w:p>
              </w:tc>
            </w:tr>
            <w:tr w14:paraId="20CA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6" w:type="dxa"/>
                  <w:vMerge w:val="continue"/>
                  <w:vAlign w:val="center"/>
                </w:tcPr>
                <w:p w14:paraId="7943BCF5">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pPr>
                </w:p>
              </w:tc>
              <w:tc>
                <w:tcPr>
                  <w:tcW w:w="897" w:type="dxa"/>
                  <w:vMerge w:val="continue"/>
                  <w:vAlign w:val="center"/>
                </w:tcPr>
                <w:p w14:paraId="452401F3">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pPr>
                </w:p>
              </w:tc>
              <w:tc>
                <w:tcPr>
                  <w:tcW w:w="1095" w:type="dxa"/>
                  <w:vAlign w:val="center"/>
                </w:tcPr>
                <w:p w14:paraId="2CC31951">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w:t>
                  </w:r>
                </w:p>
              </w:tc>
              <w:tc>
                <w:tcPr>
                  <w:tcW w:w="906" w:type="dxa"/>
                  <w:vAlign w:val="center"/>
                </w:tcPr>
                <w:p w14:paraId="3637054E">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48</w:t>
                  </w:r>
                </w:p>
              </w:tc>
              <w:tc>
                <w:tcPr>
                  <w:tcW w:w="894" w:type="dxa"/>
                  <w:vMerge w:val="continue"/>
                  <w:vAlign w:val="center"/>
                </w:tcPr>
                <w:p w14:paraId="37703CFC">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924" w:type="dxa"/>
                  <w:vMerge w:val="continue"/>
                  <w:vAlign w:val="center"/>
                </w:tcPr>
                <w:p w14:paraId="358C9BB9">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924" w:type="dxa"/>
                  <w:vMerge w:val="continue"/>
                  <w:vAlign w:val="center"/>
                </w:tcPr>
                <w:p w14:paraId="2E72B0A8">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667" w:type="dxa"/>
                  <w:vMerge w:val="continue"/>
                  <w:vAlign w:val="center"/>
                </w:tcPr>
                <w:p w14:paraId="438C2482">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990" w:type="dxa"/>
                  <w:vMerge w:val="continue"/>
                  <w:vAlign w:val="center"/>
                </w:tcPr>
                <w:p w14:paraId="584459CC">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760" w:type="dxa"/>
                  <w:vMerge w:val="continue"/>
                  <w:vAlign w:val="center"/>
                </w:tcPr>
                <w:p w14:paraId="2ECC13A2">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631" w:type="dxa"/>
                  <w:vMerge w:val="continue"/>
                  <w:vAlign w:val="center"/>
                </w:tcPr>
                <w:p w14:paraId="01EB1D1C">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1055" w:type="dxa"/>
                  <w:vMerge w:val="continue"/>
                  <w:vAlign w:val="center"/>
                </w:tcPr>
                <w:p w14:paraId="568AEEC1">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1320" w:type="dxa"/>
                  <w:vMerge w:val="continue"/>
                  <w:vAlign w:val="center"/>
                </w:tcPr>
                <w:p w14:paraId="37A6C493">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1177" w:type="dxa"/>
                  <w:vMerge w:val="continue"/>
                  <w:vAlign w:val="center"/>
                </w:tcPr>
                <w:p w14:paraId="5A88EECB">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r>
            <w:tr w14:paraId="57E7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6" w:type="dxa"/>
                  <w:vMerge w:val="continue"/>
                  <w:vAlign w:val="center"/>
                </w:tcPr>
                <w:p w14:paraId="4BCD7C62">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897" w:type="dxa"/>
                  <w:vMerge w:val="continue"/>
                  <w:vAlign w:val="center"/>
                </w:tcPr>
                <w:p w14:paraId="4276BB85">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1095" w:type="dxa"/>
                  <w:vAlign w:val="center"/>
                </w:tcPr>
                <w:p w14:paraId="39490882">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145</w:t>
                  </w:r>
                </w:p>
              </w:tc>
              <w:tc>
                <w:tcPr>
                  <w:tcW w:w="906" w:type="dxa"/>
                  <w:vAlign w:val="center"/>
                </w:tcPr>
                <w:p w14:paraId="0000B1B6">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w:t>
                  </w:r>
                </w:p>
              </w:tc>
              <w:tc>
                <w:tcPr>
                  <w:tcW w:w="894" w:type="dxa"/>
                  <w:vMerge w:val="continue"/>
                  <w:vAlign w:val="center"/>
                </w:tcPr>
                <w:p w14:paraId="3BADCBC9">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924" w:type="dxa"/>
                  <w:vMerge w:val="continue"/>
                  <w:vAlign w:val="center"/>
                </w:tcPr>
                <w:p w14:paraId="67B2D21A">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924" w:type="dxa"/>
                  <w:vMerge w:val="continue"/>
                  <w:vAlign w:val="center"/>
                </w:tcPr>
                <w:p w14:paraId="30902381">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667" w:type="dxa"/>
                  <w:vMerge w:val="continue"/>
                  <w:vAlign w:val="center"/>
                </w:tcPr>
                <w:p w14:paraId="702E9A63">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990" w:type="dxa"/>
                  <w:vMerge w:val="continue"/>
                  <w:vAlign w:val="center"/>
                </w:tcPr>
                <w:p w14:paraId="42386FF2">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760" w:type="dxa"/>
                  <w:vMerge w:val="continue"/>
                  <w:vAlign w:val="center"/>
                </w:tcPr>
                <w:p w14:paraId="734E12BD">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631" w:type="dxa"/>
                  <w:vMerge w:val="continue"/>
                  <w:vAlign w:val="center"/>
                </w:tcPr>
                <w:p w14:paraId="235418F1">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1055" w:type="dxa"/>
                  <w:vMerge w:val="restart"/>
                  <w:vAlign w:val="center"/>
                </w:tcPr>
                <w:p w14:paraId="7BABB1EF">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油烟</w:t>
                  </w:r>
                </w:p>
              </w:tc>
              <w:tc>
                <w:tcPr>
                  <w:tcW w:w="1320" w:type="dxa"/>
                  <w:vMerge w:val="restart"/>
                  <w:vAlign w:val="center"/>
                </w:tcPr>
                <w:p w14:paraId="52CB8FB8">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1.777</w:t>
                  </w:r>
                </w:p>
              </w:tc>
              <w:tc>
                <w:tcPr>
                  <w:tcW w:w="1177" w:type="dxa"/>
                  <w:vMerge w:val="restart"/>
                  <w:vAlign w:val="center"/>
                </w:tcPr>
                <w:p w14:paraId="107F513D">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w:t>
                  </w:r>
                </w:p>
              </w:tc>
            </w:tr>
            <w:tr w14:paraId="5233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6" w:type="dxa"/>
                  <w:vMerge w:val="continue"/>
                  <w:vAlign w:val="center"/>
                </w:tcPr>
                <w:p w14:paraId="40B33717">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897" w:type="dxa"/>
                  <w:vMerge w:val="continue"/>
                  <w:vAlign w:val="center"/>
                </w:tcPr>
                <w:p w14:paraId="436A58A2">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1095" w:type="dxa"/>
                  <w:vAlign w:val="center"/>
                </w:tcPr>
                <w:p w14:paraId="7B4FA60D">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145</w:t>
                  </w:r>
                </w:p>
              </w:tc>
              <w:tc>
                <w:tcPr>
                  <w:tcW w:w="906" w:type="dxa"/>
                  <w:vAlign w:val="center"/>
                </w:tcPr>
                <w:p w14:paraId="4C441CCD">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48</w:t>
                  </w:r>
                </w:p>
              </w:tc>
              <w:tc>
                <w:tcPr>
                  <w:tcW w:w="894" w:type="dxa"/>
                  <w:vMerge w:val="continue"/>
                  <w:vAlign w:val="center"/>
                </w:tcPr>
                <w:p w14:paraId="3E3522B8">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924" w:type="dxa"/>
                  <w:vMerge w:val="continue"/>
                  <w:vAlign w:val="center"/>
                </w:tcPr>
                <w:p w14:paraId="3C44E22A">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924" w:type="dxa"/>
                  <w:vMerge w:val="continue"/>
                  <w:vAlign w:val="center"/>
                </w:tcPr>
                <w:p w14:paraId="73F41A61">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667" w:type="dxa"/>
                  <w:vMerge w:val="continue"/>
                  <w:vAlign w:val="center"/>
                </w:tcPr>
                <w:p w14:paraId="51A4B8D5">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990" w:type="dxa"/>
                  <w:vMerge w:val="continue"/>
                  <w:vAlign w:val="center"/>
                </w:tcPr>
                <w:p w14:paraId="7116A385">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760" w:type="dxa"/>
                  <w:vMerge w:val="continue"/>
                  <w:vAlign w:val="center"/>
                </w:tcPr>
                <w:p w14:paraId="192520DE">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631" w:type="dxa"/>
                  <w:vMerge w:val="continue"/>
                  <w:vAlign w:val="center"/>
                </w:tcPr>
                <w:p w14:paraId="62926379">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1055" w:type="dxa"/>
                  <w:vMerge w:val="continue"/>
                  <w:vAlign w:val="center"/>
                </w:tcPr>
                <w:p w14:paraId="30C6A4CB">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1320" w:type="dxa"/>
                  <w:vMerge w:val="continue"/>
                  <w:vAlign w:val="center"/>
                </w:tcPr>
                <w:p w14:paraId="408D56C5">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1177" w:type="dxa"/>
                  <w:vMerge w:val="continue"/>
                  <w:vAlign w:val="center"/>
                </w:tcPr>
                <w:p w14:paraId="5E7566AB">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r>
          </w:tbl>
          <w:p w14:paraId="20C06A22">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表4-</w:t>
            </w:r>
            <w:r>
              <w:rPr>
                <w:rFonts w:hint="eastAsia" w:cs="Times New Roman"/>
                <w:b/>
                <w:bCs/>
                <w:color w:val="auto"/>
                <w:lang w:val="en-US" w:eastAsia="zh-CN"/>
              </w:rPr>
              <w:t>5</w:t>
            </w:r>
            <w:r>
              <w:rPr>
                <w:rFonts w:hint="eastAsia" w:ascii="Times New Roman" w:hAnsi="Times New Roman" w:eastAsia="宋体" w:cs="Times New Roman"/>
                <w:b/>
                <w:bCs/>
                <w:color w:val="auto"/>
                <w:lang w:val="en-US" w:eastAsia="zh-CN"/>
              </w:rPr>
              <w:t xml:space="preserve">  项目无组织废气产排情况表</w:t>
            </w:r>
          </w:p>
          <w:tbl>
            <w:tblPr>
              <w:tblStyle w:val="27"/>
              <w:tblW w:w="12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733"/>
              <w:gridCol w:w="794"/>
              <w:gridCol w:w="916"/>
              <w:gridCol w:w="916"/>
              <w:gridCol w:w="3218"/>
              <w:gridCol w:w="1265"/>
              <w:gridCol w:w="1274"/>
              <w:gridCol w:w="1105"/>
              <w:gridCol w:w="1307"/>
            </w:tblGrid>
            <w:tr w14:paraId="52A0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14:paraId="40D078E2">
                  <w:pPr>
                    <w:pStyle w:val="3"/>
                    <w:bidi w:val="0"/>
                    <w:jc w:val="center"/>
                    <w:rPr>
                      <w:rFonts w:hint="default"/>
                      <w:b/>
                      <w:bCs/>
                      <w:color w:val="auto"/>
                      <w:sz w:val="21"/>
                      <w:szCs w:val="21"/>
                      <w:lang w:val="en-US" w:eastAsia="zh-CN"/>
                    </w:rPr>
                  </w:pPr>
                  <w:r>
                    <w:rPr>
                      <w:rFonts w:hint="eastAsia"/>
                      <w:b/>
                      <w:bCs/>
                      <w:color w:val="auto"/>
                      <w:sz w:val="21"/>
                      <w:szCs w:val="21"/>
                      <w:lang w:val="en-US" w:eastAsia="zh-CN"/>
                    </w:rPr>
                    <w:t>排放源</w:t>
                  </w:r>
                </w:p>
              </w:tc>
              <w:tc>
                <w:tcPr>
                  <w:tcW w:w="733" w:type="dxa"/>
                  <w:vMerge w:val="restart"/>
                  <w:vAlign w:val="center"/>
                </w:tcPr>
                <w:p w14:paraId="5D0468A7">
                  <w:pPr>
                    <w:pStyle w:val="3"/>
                    <w:bidi w:val="0"/>
                    <w:jc w:val="center"/>
                    <w:rPr>
                      <w:rFonts w:hint="default"/>
                      <w:b/>
                      <w:bCs/>
                      <w:color w:val="auto"/>
                      <w:sz w:val="21"/>
                      <w:szCs w:val="21"/>
                      <w:lang w:val="en-US" w:eastAsia="zh-CN"/>
                    </w:rPr>
                  </w:pPr>
                  <w:r>
                    <w:rPr>
                      <w:rFonts w:hint="eastAsia"/>
                      <w:b/>
                      <w:bCs/>
                      <w:color w:val="auto"/>
                      <w:sz w:val="21"/>
                      <w:szCs w:val="21"/>
                      <w:lang w:val="en-US" w:eastAsia="zh-CN"/>
                    </w:rPr>
                    <w:t>污染物</w:t>
                  </w:r>
                </w:p>
              </w:tc>
              <w:tc>
                <w:tcPr>
                  <w:tcW w:w="794" w:type="dxa"/>
                  <w:vMerge w:val="restart"/>
                  <w:vAlign w:val="center"/>
                </w:tcPr>
                <w:p w14:paraId="7F1B2BF7">
                  <w:pPr>
                    <w:pStyle w:val="3"/>
                    <w:bidi w:val="0"/>
                    <w:ind w:left="0" w:leftChars="0" w:firstLine="0" w:firstLineChars="0"/>
                    <w:jc w:val="center"/>
                    <w:rPr>
                      <w:rFonts w:hint="default" w:ascii="Times New Roman" w:hAnsi="Times New Roman" w:eastAsia="宋体" w:cs="Times New Roman"/>
                      <w:b/>
                      <w:bCs/>
                      <w:color w:val="auto"/>
                      <w:kern w:val="44"/>
                      <w:sz w:val="21"/>
                      <w:szCs w:val="21"/>
                      <w:lang w:val="en-US" w:eastAsia="zh-CN" w:bidi="ar-SA"/>
                    </w:rPr>
                  </w:pPr>
                  <w:r>
                    <w:rPr>
                      <w:rFonts w:hint="default"/>
                      <w:b/>
                      <w:bCs/>
                      <w:color w:val="auto"/>
                      <w:sz w:val="21"/>
                      <w:szCs w:val="21"/>
                      <w:lang w:val="en-US" w:eastAsia="zh-CN"/>
                    </w:rPr>
                    <w:t>工作时间</w:t>
                  </w:r>
                  <w:r>
                    <w:rPr>
                      <w:rFonts w:hint="eastAsia"/>
                      <w:b/>
                      <w:bCs/>
                      <w:color w:val="auto"/>
                      <w:sz w:val="21"/>
                      <w:szCs w:val="21"/>
                      <w:lang w:val="en-US" w:eastAsia="zh-CN"/>
                    </w:rPr>
                    <w:t>（h）</w:t>
                  </w:r>
                </w:p>
              </w:tc>
              <w:tc>
                <w:tcPr>
                  <w:tcW w:w="916" w:type="dxa"/>
                  <w:vMerge w:val="restart"/>
                  <w:vAlign w:val="center"/>
                </w:tcPr>
                <w:p w14:paraId="00A362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color w:val="auto"/>
                      <w:kern w:val="0"/>
                      <w:sz w:val="21"/>
                      <w:szCs w:val="21"/>
                      <w:u w:val="none"/>
                      <w:lang w:val="en-US" w:eastAsia="zh-CN" w:bidi="ar"/>
                    </w:rPr>
                    <w:t>产生量</w:t>
                  </w:r>
                  <w:r>
                    <w:rPr>
                      <w:rFonts w:hint="eastAsia" w:ascii="Times New Roman" w:hAnsi="Times New Roman" w:eastAsia="宋体" w:cs="Times New Roman"/>
                      <w:b/>
                      <w:bCs/>
                      <w:i w:val="0"/>
                      <w:color w:val="auto"/>
                      <w:kern w:val="0"/>
                      <w:sz w:val="21"/>
                      <w:szCs w:val="21"/>
                      <w:u w:val="none"/>
                      <w:lang w:val="en-US" w:eastAsia="zh-CN" w:bidi="ar"/>
                    </w:rPr>
                    <w:t>（</w:t>
                  </w:r>
                  <w:r>
                    <w:rPr>
                      <w:rFonts w:hint="default" w:ascii="Times New Roman" w:hAnsi="Times New Roman" w:eastAsia="宋体" w:cs="Times New Roman"/>
                      <w:b/>
                      <w:bCs/>
                      <w:i w:val="0"/>
                      <w:color w:val="auto"/>
                      <w:kern w:val="0"/>
                      <w:sz w:val="21"/>
                      <w:szCs w:val="21"/>
                      <w:u w:val="none"/>
                      <w:lang w:val="en-US" w:eastAsia="zh-CN" w:bidi="ar"/>
                    </w:rPr>
                    <w:t>t/a</w:t>
                  </w:r>
                  <w:r>
                    <w:rPr>
                      <w:rFonts w:hint="eastAsia" w:ascii="Times New Roman" w:hAnsi="Times New Roman" w:eastAsia="宋体" w:cs="Times New Roman"/>
                      <w:b/>
                      <w:bCs/>
                      <w:i w:val="0"/>
                      <w:color w:val="auto"/>
                      <w:kern w:val="0"/>
                      <w:sz w:val="21"/>
                      <w:szCs w:val="21"/>
                      <w:u w:val="none"/>
                      <w:lang w:val="en-US" w:eastAsia="zh-CN" w:bidi="ar"/>
                    </w:rPr>
                    <w:t>）</w:t>
                  </w:r>
                </w:p>
              </w:tc>
              <w:tc>
                <w:tcPr>
                  <w:tcW w:w="916" w:type="dxa"/>
                  <w:vMerge w:val="restart"/>
                  <w:vAlign w:val="center"/>
                </w:tcPr>
                <w:p w14:paraId="584070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eastAsia" w:ascii="Times New Roman" w:hAnsi="Times New Roman" w:eastAsia="宋体" w:cs="Times New Roman"/>
                      <w:b/>
                      <w:bCs/>
                      <w:i w:val="0"/>
                      <w:color w:val="auto"/>
                      <w:kern w:val="0"/>
                      <w:sz w:val="21"/>
                      <w:szCs w:val="21"/>
                      <w:u w:val="none"/>
                      <w:lang w:val="en-US" w:eastAsia="zh-CN" w:bidi="ar"/>
                    </w:rPr>
                    <w:t>速率（kg/h）</w:t>
                  </w:r>
                </w:p>
              </w:tc>
              <w:tc>
                <w:tcPr>
                  <w:tcW w:w="3218" w:type="dxa"/>
                  <w:vMerge w:val="restart"/>
                  <w:vAlign w:val="center"/>
                </w:tcPr>
                <w:p w14:paraId="3F35AB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i w:val="0"/>
                      <w:color w:val="auto"/>
                      <w:kern w:val="0"/>
                      <w:sz w:val="21"/>
                      <w:szCs w:val="21"/>
                      <w:u w:val="none"/>
                      <w:lang w:val="en-US" w:eastAsia="zh-CN" w:bidi="ar"/>
                    </w:rPr>
                    <w:t>治理措施</w:t>
                  </w:r>
                </w:p>
              </w:tc>
              <w:tc>
                <w:tcPr>
                  <w:tcW w:w="1265" w:type="dxa"/>
                  <w:vMerge w:val="restart"/>
                  <w:vAlign w:val="center"/>
                </w:tcPr>
                <w:p w14:paraId="079C76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color w:val="auto"/>
                      <w:kern w:val="0"/>
                      <w:sz w:val="21"/>
                      <w:szCs w:val="21"/>
                      <w:u w:val="none"/>
                      <w:lang w:val="en-US" w:eastAsia="zh-CN" w:bidi="ar"/>
                    </w:rPr>
                    <w:t>排放量</w:t>
                  </w:r>
                  <w:r>
                    <w:rPr>
                      <w:rFonts w:hint="eastAsia" w:ascii="Times New Roman" w:hAnsi="Times New Roman" w:eastAsia="宋体" w:cs="Times New Roman"/>
                      <w:b/>
                      <w:bCs/>
                      <w:i w:val="0"/>
                      <w:color w:val="auto"/>
                      <w:kern w:val="0"/>
                      <w:sz w:val="21"/>
                      <w:szCs w:val="21"/>
                      <w:u w:val="none"/>
                      <w:lang w:val="en-US" w:eastAsia="zh-CN" w:bidi="ar"/>
                    </w:rPr>
                    <w:t>（</w:t>
                  </w:r>
                  <w:r>
                    <w:rPr>
                      <w:rFonts w:hint="default" w:ascii="Times New Roman" w:hAnsi="Times New Roman" w:eastAsia="宋体" w:cs="Times New Roman"/>
                      <w:b/>
                      <w:bCs/>
                      <w:i w:val="0"/>
                      <w:color w:val="auto"/>
                      <w:kern w:val="0"/>
                      <w:sz w:val="21"/>
                      <w:szCs w:val="21"/>
                      <w:u w:val="none"/>
                      <w:lang w:val="en-US" w:eastAsia="zh-CN" w:bidi="ar"/>
                    </w:rPr>
                    <w:t>t/a</w:t>
                  </w:r>
                  <w:r>
                    <w:rPr>
                      <w:rFonts w:hint="eastAsia" w:ascii="Times New Roman" w:hAnsi="Times New Roman" w:eastAsia="宋体" w:cs="Times New Roman"/>
                      <w:b/>
                      <w:bCs/>
                      <w:i w:val="0"/>
                      <w:color w:val="auto"/>
                      <w:kern w:val="0"/>
                      <w:sz w:val="21"/>
                      <w:szCs w:val="21"/>
                      <w:u w:val="none"/>
                      <w:lang w:val="en-US" w:eastAsia="zh-CN" w:bidi="ar"/>
                    </w:rPr>
                    <w:t>）</w:t>
                  </w:r>
                </w:p>
              </w:tc>
              <w:tc>
                <w:tcPr>
                  <w:tcW w:w="1274" w:type="dxa"/>
                  <w:vMerge w:val="restart"/>
                  <w:vAlign w:val="center"/>
                </w:tcPr>
                <w:p w14:paraId="1F3230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eastAsia" w:ascii="Times New Roman" w:hAnsi="Times New Roman" w:eastAsia="宋体" w:cs="Times New Roman"/>
                      <w:b/>
                      <w:bCs/>
                      <w:i w:val="0"/>
                      <w:color w:val="auto"/>
                      <w:kern w:val="0"/>
                      <w:sz w:val="21"/>
                      <w:szCs w:val="21"/>
                      <w:u w:val="none"/>
                      <w:lang w:val="en-US" w:eastAsia="zh-CN" w:bidi="ar"/>
                    </w:rPr>
                    <w:t>速率（kg/h）</w:t>
                  </w:r>
                </w:p>
              </w:tc>
              <w:tc>
                <w:tcPr>
                  <w:tcW w:w="2412" w:type="dxa"/>
                  <w:gridSpan w:val="2"/>
                  <w:vAlign w:val="center"/>
                </w:tcPr>
                <w:p w14:paraId="596BEC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bCs/>
                      <w:i w:val="0"/>
                      <w:color w:val="auto"/>
                      <w:kern w:val="0"/>
                      <w:sz w:val="21"/>
                      <w:szCs w:val="21"/>
                      <w:u w:val="none"/>
                      <w:lang w:val="en-US" w:eastAsia="zh-CN" w:bidi="ar"/>
                    </w:rPr>
                  </w:pPr>
                  <w:r>
                    <w:rPr>
                      <w:rFonts w:hint="eastAsia" w:cs="Times New Roman"/>
                      <w:b/>
                      <w:bCs/>
                      <w:i w:val="0"/>
                      <w:color w:val="auto"/>
                      <w:kern w:val="0"/>
                      <w:sz w:val="21"/>
                      <w:szCs w:val="21"/>
                      <w:u w:val="none"/>
                      <w:lang w:val="en-US" w:eastAsia="zh-CN" w:bidi="ar"/>
                    </w:rPr>
                    <w:t>排放标准</w:t>
                  </w:r>
                </w:p>
              </w:tc>
            </w:tr>
            <w:tr w14:paraId="4996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14:paraId="0CEB6F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733" w:type="dxa"/>
                  <w:vMerge w:val="continue"/>
                  <w:vAlign w:val="center"/>
                </w:tcPr>
                <w:p w14:paraId="4DA5E0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794" w:type="dxa"/>
                  <w:vMerge w:val="continue"/>
                  <w:vAlign w:val="center"/>
                </w:tcPr>
                <w:p w14:paraId="4AD3CC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916" w:type="dxa"/>
                  <w:vMerge w:val="continue"/>
                  <w:vAlign w:val="center"/>
                </w:tcPr>
                <w:p w14:paraId="760825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916" w:type="dxa"/>
                  <w:vMerge w:val="continue"/>
                  <w:vAlign w:val="center"/>
                </w:tcPr>
                <w:p w14:paraId="6A0522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3218" w:type="dxa"/>
                  <w:vMerge w:val="continue"/>
                  <w:vAlign w:val="center"/>
                </w:tcPr>
                <w:p w14:paraId="11EAC9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1265" w:type="dxa"/>
                  <w:vMerge w:val="continue"/>
                  <w:vAlign w:val="center"/>
                </w:tcPr>
                <w:p w14:paraId="0CF4B9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1274" w:type="dxa"/>
                  <w:vMerge w:val="continue"/>
                  <w:vAlign w:val="center"/>
                </w:tcPr>
                <w:p w14:paraId="314BDE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1105" w:type="dxa"/>
                  <w:vAlign w:val="center"/>
                </w:tcPr>
                <w:p w14:paraId="3946DB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i w:val="0"/>
                      <w:color w:val="auto"/>
                      <w:kern w:val="0"/>
                      <w:sz w:val="21"/>
                      <w:szCs w:val="21"/>
                      <w:u w:val="none"/>
                      <w:lang w:val="en-US" w:eastAsia="zh-CN" w:bidi="ar"/>
                    </w:rPr>
                    <w:t>速率（kg/h）</w:t>
                  </w:r>
                </w:p>
              </w:tc>
              <w:tc>
                <w:tcPr>
                  <w:tcW w:w="1307" w:type="dxa"/>
                  <w:vAlign w:val="center"/>
                </w:tcPr>
                <w:p w14:paraId="070911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bCs/>
                      <w:i w:val="0"/>
                      <w:color w:val="auto"/>
                      <w:kern w:val="0"/>
                      <w:sz w:val="21"/>
                      <w:szCs w:val="21"/>
                      <w:u w:val="none"/>
                      <w:lang w:val="en-US" w:eastAsia="zh-CN" w:bidi="ar"/>
                    </w:rPr>
                  </w:pPr>
                  <w:r>
                    <w:rPr>
                      <w:rFonts w:hint="default" w:ascii="Times New Roman" w:hAnsi="Times New Roman" w:eastAsia="宋体" w:cs="Times New Roman"/>
                      <w:b/>
                      <w:bCs/>
                      <w:i w:val="0"/>
                      <w:color w:val="auto"/>
                      <w:kern w:val="0"/>
                      <w:sz w:val="21"/>
                      <w:szCs w:val="21"/>
                      <w:u w:val="none"/>
                      <w:lang w:val="en-US" w:eastAsia="zh-CN" w:bidi="ar"/>
                    </w:rPr>
                    <w:t>浓度</w:t>
                  </w:r>
                  <w:r>
                    <w:rPr>
                      <w:rFonts w:hint="eastAsia" w:ascii="Times New Roman" w:hAnsi="Times New Roman" w:eastAsia="宋体" w:cs="Times New Roman"/>
                      <w:b/>
                      <w:bCs/>
                      <w:i w:val="0"/>
                      <w:color w:val="auto"/>
                      <w:kern w:val="0"/>
                      <w:sz w:val="21"/>
                      <w:szCs w:val="21"/>
                      <w:u w:val="none"/>
                      <w:lang w:val="en-US" w:eastAsia="zh-CN" w:bidi="ar"/>
                    </w:rPr>
                    <w:t>（</w:t>
                  </w:r>
                  <w:r>
                    <w:rPr>
                      <w:rFonts w:hint="default" w:ascii="Times New Roman" w:hAnsi="Times New Roman" w:eastAsia="宋体" w:cs="Times New Roman"/>
                      <w:b/>
                      <w:bCs/>
                      <w:i w:val="0"/>
                      <w:color w:val="auto"/>
                      <w:kern w:val="0"/>
                      <w:sz w:val="21"/>
                      <w:szCs w:val="21"/>
                      <w:u w:val="none"/>
                      <w:lang w:val="en-US" w:eastAsia="zh-CN" w:bidi="ar"/>
                    </w:rPr>
                    <w:t>mg/m</w:t>
                  </w:r>
                  <w:r>
                    <w:rPr>
                      <w:rFonts w:hint="default" w:ascii="Times New Roman" w:hAnsi="Times New Roman" w:eastAsia="宋体" w:cs="Times New Roman"/>
                      <w:b/>
                      <w:bCs/>
                      <w:i w:val="0"/>
                      <w:color w:val="auto"/>
                      <w:kern w:val="0"/>
                      <w:sz w:val="21"/>
                      <w:szCs w:val="21"/>
                      <w:u w:val="none"/>
                      <w:vertAlign w:val="superscript"/>
                      <w:lang w:val="en-US" w:eastAsia="zh-CN" w:bidi="ar"/>
                    </w:rPr>
                    <w:t>3</w:t>
                  </w:r>
                  <w:r>
                    <w:rPr>
                      <w:rFonts w:hint="eastAsia" w:ascii="Times New Roman" w:hAnsi="Times New Roman" w:eastAsia="宋体" w:cs="Times New Roman"/>
                      <w:b/>
                      <w:bCs/>
                      <w:i w:val="0"/>
                      <w:color w:val="auto"/>
                      <w:kern w:val="0"/>
                      <w:sz w:val="21"/>
                      <w:szCs w:val="21"/>
                      <w:u w:val="none"/>
                      <w:lang w:val="en-US" w:eastAsia="zh-CN" w:bidi="ar"/>
                    </w:rPr>
                    <w:t>）</w:t>
                  </w:r>
                </w:p>
              </w:tc>
            </w:tr>
            <w:tr w14:paraId="5178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vAlign w:val="center"/>
                </w:tcPr>
                <w:p w14:paraId="7DA17D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卸料粉尘</w:t>
                  </w:r>
                </w:p>
              </w:tc>
              <w:tc>
                <w:tcPr>
                  <w:tcW w:w="733" w:type="dxa"/>
                  <w:vMerge w:val="restart"/>
                  <w:vAlign w:val="center"/>
                </w:tcPr>
                <w:p w14:paraId="0D40C5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bCs/>
                      <w:color w:val="auto"/>
                      <w:kern w:val="44"/>
                      <w:sz w:val="21"/>
                      <w:szCs w:val="21"/>
                      <w:lang w:val="en-US" w:eastAsia="zh-CN" w:bidi="ar-SA"/>
                    </w:rPr>
                  </w:pPr>
                  <w:r>
                    <w:rPr>
                      <w:rFonts w:hint="eastAsia" w:cs="Times New Roman"/>
                      <w:bCs/>
                      <w:color w:val="auto"/>
                      <w:kern w:val="44"/>
                      <w:sz w:val="21"/>
                      <w:szCs w:val="21"/>
                      <w:lang w:val="en-US" w:eastAsia="zh-CN" w:bidi="ar-SA"/>
                    </w:rPr>
                    <w:t>颗粒物</w:t>
                  </w:r>
                </w:p>
              </w:tc>
              <w:tc>
                <w:tcPr>
                  <w:tcW w:w="794" w:type="dxa"/>
                  <w:vMerge w:val="restart"/>
                  <w:vAlign w:val="center"/>
                </w:tcPr>
                <w:p w14:paraId="7FCD2D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1450</w:t>
                  </w:r>
                </w:p>
              </w:tc>
              <w:tc>
                <w:tcPr>
                  <w:tcW w:w="916" w:type="dxa"/>
                  <w:shd w:val="clear" w:color="auto" w:fill="auto"/>
                  <w:vAlign w:val="center"/>
                </w:tcPr>
                <w:p w14:paraId="76FAE0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4.350</w:t>
                  </w:r>
                </w:p>
              </w:tc>
              <w:tc>
                <w:tcPr>
                  <w:tcW w:w="916" w:type="dxa"/>
                  <w:vAlign w:val="center"/>
                </w:tcPr>
                <w:p w14:paraId="2E7F30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3.222</w:t>
                  </w:r>
                </w:p>
              </w:tc>
              <w:tc>
                <w:tcPr>
                  <w:tcW w:w="3218" w:type="dxa"/>
                  <w:vAlign w:val="center"/>
                </w:tcPr>
                <w:p w14:paraId="53A0D14D">
                  <w:pPr>
                    <w:widowControl/>
                    <w:spacing w:line="240" w:lineRule="auto"/>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采取生产车间封闭（控尘效率90%）、安装喷淋装置（控尘效率50%）、减小卸料落差、地面硬化、定期清扫地面的措施</w:t>
                  </w:r>
                </w:p>
              </w:tc>
              <w:tc>
                <w:tcPr>
                  <w:tcW w:w="1265" w:type="dxa"/>
                  <w:vAlign w:val="center"/>
                </w:tcPr>
                <w:p w14:paraId="326DDF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0.218</w:t>
                  </w:r>
                </w:p>
              </w:tc>
              <w:tc>
                <w:tcPr>
                  <w:tcW w:w="1274" w:type="dxa"/>
                  <w:vAlign w:val="center"/>
                </w:tcPr>
                <w:p w14:paraId="77F1CB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0.063</w:t>
                  </w:r>
                </w:p>
              </w:tc>
              <w:tc>
                <w:tcPr>
                  <w:tcW w:w="1105" w:type="dxa"/>
                  <w:vAlign w:val="center"/>
                </w:tcPr>
                <w:p w14:paraId="7E3FAC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307" w:type="dxa"/>
                  <w:vAlign w:val="center"/>
                </w:tcPr>
                <w:p w14:paraId="57E12F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0.5</w:t>
                  </w:r>
                </w:p>
              </w:tc>
            </w:tr>
            <w:tr w14:paraId="32D4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vAlign w:val="center"/>
                </w:tcPr>
                <w:p w14:paraId="6D14D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kern w:val="2"/>
                      <w:sz w:val="21"/>
                      <w:szCs w:val="21"/>
                      <w:lang w:val="en-US" w:eastAsia="zh-CN" w:bidi="ar-SA"/>
                    </w:rPr>
                  </w:pPr>
                  <w:r>
                    <w:rPr>
                      <w:rFonts w:hint="eastAsia" w:cs="Times New Roman"/>
                      <w:b w:val="0"/>
                      <w:bCs w:val="0"/>
                      <w:color w:val="auto"/>
                      <w:sz w:val="21"/>
                      <w:szCs w:val="21"/>
                      <w:lang w:val="en-US" w:eastAsia="zh-CN"/>
                    </w:rPr>
                    <w:t>筒仓呼吸粉尘</w:t>
                  </w:r>
                </w:p>
              </w:tc>
              <w:tc>
                <w:tcPr>
                  <w:tcW w:w="733" w:type="dxa"/>
                  <w:vMerge w:val="continue"/>
                  <w:vAlign w:val="center"/>
                </w:tcPr>
                <w:p w14:paraId="63C44B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b w:val="0"/>
                      <w:bCs w:val="0"/>
                      <w:color w:val="auto"/>
                      <w:sz w:val="21"/>
                      <w:szCs w:val="21"/>
                      <w:lang w:val="en-US" w:eastAsia="zh-CN"/>
                    </w:rPr>
                  </w:pPr>
                </w:p>
              </w:tc>
              <w:tc>
                <w:tcPr>
                  <w:tcW w:w="794" w:type="dxa"/>
                  <w:vMerge w:val="continue"/>
                  <w:vAlign w:val="center"/>
                </w:tcPr>
                <w:p w14:paraId="15901A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916" w:type="dxa"/>
                  <w:vAlign w:val="center"/>
                </w:tcPr>
                <w:p w14:paraId="2F10FC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3.007</w:t>
                  </w:r>
                </w:p>
              </w:tc>
              <w:tc>
                <w:tcPr>
                  <w:tcW w:w="916" w:type="dxa"/>
                  <w:vAlign w:val="center"/>
                </w:tcPr>
                <w:p w14:paraId="216D5A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2.074</w:t>
                  </w:r>
                </w:p>
              </w:tc>
              <w:tc>
                <w:tcPr>
                  <w:tcW w:w="3218" w:type="dxa"/>
                  <w:vAlign w:val="center"/>
                </w:tcPr>
                <w:p w14:paraId="4ACB98A5">
                  <w:pPr>
                    <w:widowControl/>
                    <w:spacing w:line="240" w:lineRule="auto"/>
                    <w:ind w:firstLine="0" w:firstLineChars="0"/>
                    <w:jc w:val="center"/>
                    <w:textAlignment w:val="center"/>
                    <w:rPr>
                      <w:rFonts w:hint="eastAsia" w:cs="Times New Roman"/>
                      <w:kern w:val="2"/>
                      <w:sz w:val="21"/>
                      <w:szCs w:val="21"/>
                      <w:lang w:val="en-US" w:eastAsia="zh-CN" w:bidi="ar-SA"/>
                    </w:rPr>
                  </w:pPr>
                  <w:r>
                    <w:rPr>
                      <w:rFonts w:hint="eastAsia" w:cs="Times New Roman"/>
                      <w:kern w:val="2"/>
                      <w:sz w:val="21"/>
                      <w:szCs w:val="21"/>
                      <w:lang w:val="en-US" w:eastAsia="zh-CN" w:bidi="ar-SA"/>
                    </w:rPr>
                    <w:t>经仓顶设置的袋式除尘器（处理效率按99%）处理后，车间内无组织排放</w:t>
                  </w:r>
                </w:p>
              </w:tc>
              <w:tc>
                <w:tcPr>
                  <w:tcW w:w="1265" w:type="dxa"/>
                  <w:vAlign w:val="center"/>
                </w:tcPr>
                <w:p w14:paraId="2FC766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0.03</w:t>
                  </w:r>
                </w:p>
              </w:tc>
              <w:tc>
                <w:tcPr>
                  <w:tcW w:w="1274" w:type="dxa"/>
                  <w:vAlign w:val="center"/>
                </w:tcPr>
                <w:p w14:paraId="70DEB8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0.024</w:t>
                  </w:r>
                </w:p>
              </w:tc>
              <w:tc>
                <w:tcPr>
                  <w:tcW w:w="1105" w:type="dxa"/>
                  <w:vAlign w:val="center"/>
                </w:tcPr>
                <w:p w14:paraId="7335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307" w:type="dxa"/>
                  <w:vAlign w:val="center"/>
                </w:tcPr>
                <w:p w14:paraId="206B77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0.5</w:t>
                  </w:r>
                </w:p>
              </w:tc>
            </w:tr>
            <w:tr w14:paraId="4F4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vAlign w:val="center"/>
                </w:tcPr>
                <w:p w14:paraId="1E6377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输送、投料粉尘</w:t>
                  </w:r>
                </w:p>
              </w:tc>
              <w:tc>
                <w:tcPr>
                  <w:tcW w:w="733" w:type="dxa"/>
                  <w:vMerge w:val="continue"/>
                  <w:vAlign w:val="center"/>
                </w:tcPr>
                <w:p w14:paraId="1DAD55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b w:val="0"/>
                      <w:bCs w:val="0"/>
                      <w:color w:val="auto"/>
                      <w:sz w:val="21"/>
                      <w:szCs w:val="21"/>
                      <w:lang w:val="en-US" w:eastAsia="zh-CN"/>
                    </w:rPr>
                  </w:pPr>
                </w:p>
              </w:tc>
              <w:tc>
                <w:tcPr>
                  <w:tcW w:w="794" w:type="dxa"/>
                  <w:vMerge w:val="continue"/>
                  <w:vAlign w:val="center"/>
                </w:tcPr>
                <w:p w14:paraId="75DFFD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916" w:type="dxa"/>
                  <w:vAlign w:val="center"/>
                </w:tcPr>
                <w:p w14:paraId="0AF3BA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2.61</w:t>
                  </w:r>
                </w:p>
              </w:tc>
              <w:tc>
                <w:tcPr>
                  <w:tcW w:w="916" w:type="dxa"/>
                  <w:vAlign w:val="center"/>
                </w:tcPr>
                <w:p w14:paraId="714C77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1.80</w:t>
                  </w:r>
                </w:p>
              </w:tc>
              <w:tc>
                <w:tcPr>
                  <w:tcW w:w="3218" w:type="dxa"/>
                  <w:vAlign w:val="center"/>
                </w:tcPr>
                <w:p w14:paraId="28A5042C">
                  <w:pPr>
                    <w:widowControl/>
                    <w:spacing w:line="240" w:lineRule="auto"/>
                    <w:ind w:firstLine="0" w:firstLineChars="0"/>
                    <w:jc w:val="center"/>
                    <w:textAlignment w:val="center"/>
                    <w:rPr>
                      <w:rFonts w:hint="eastAsia"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采取车间封闭</w:t>
                  </w:r>
                  <w:r>
                    <w:rPr>
                      <w:rFonts w:hint="eastAsia" w:cs="Times New Roman"/>
                      <w:kern w:val="2"/>
                      <w:sz w:val="21"/>
                      <w:szCs w:val="21"/>
                      <w:lang w:val="en-US" w:eastAsia="zh-CN" w:bidi="ar-SA"/>
                    </w:rPr>
                    <w:t>、安装喷淋装置</w:t>
                  </w:r>
                  <w:r>
                    <w:rPr>
                      <w:rFonts w:hint="default" w:ascii="Times New Roman" w:hAnsi="Times New Roman" w:eastAsia="宋体" w:cs="Times New Roman"/>
                      <w:kern w:val="2"/>
                      <w:sz w:val="21"/>
                      <w:szCs w:val="21"/>
                      <w:lang w:val="en-US" w:eastAsia="zh-CN" w:bidi="ar-SA"/>
                    </w:rPr>
                    <w:t>等措施</w:t>
                  </w:r>
                </w:p>
              </w:tc>
              <w:tc>
                <w:tcPr>
                  <w:tcW w:w="1265" w:type="dxa"/>
                  <w:vAlign w:val="center"/>
                </w:tcPr>
                <w:p w14:paraId="5CDD50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2.61</w:t>
                  </w:r>
                </w:p>
              </w:tc>
              <w:tc>
                <w:tcPr>
                  <w:tcW w:w="1274" w:type="dxa"/>
                  <w:vAlign w:val="center"/>
                </w:tcPr>
                <w:p w14:paraId="376AC6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1.80</w:t>
                  </w:r>
                </w:p>
              </w:tc>
              <w:tc>
                <w:tcPr>
                  <w:tcW w:w="1105" w:type="dxa"/>
                  <w:vAlign w:val="center"/>
                </w:tcPr>
                <w:p w14:paraId="06A4D2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307" w:type="dxa"/>
                  <w:vAlign w:val="center"/>
                </w:tcPr>
                <w:p w14:paraId="29B55D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0.5</w:t>
                  </w:r>
                </w:p>
              </w:tc>
            </w:tr>
            <w:tr w14:paraId="427C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vAlign w:val="center"/>
                </w:tcPr>
                <w:p w14:paraId="0B8176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食堂油烟</w:t>
                  </w:r>
                </w:p>
              </w:tc>
              <w:tc>
                <w:tcPr>
                  <w:tcW w:w="733" w:type="dxa"/>
                  <w:vAlign w:val="center"/>
                </w:tcPr>
                <w:p w14:paraId="63CDDA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油烟</w:t>
                  </w:r>
                </w:p>
              </w:tc>
              <w:tc>
                <w:tcPr>
                  <w:tcW w:w="794" w:type="dxa"/>
                  <w:vAlign w:val="center"/>
                </w:tcPr>
                <w:p w14:paraId="24AB4A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450</w:t>
                  </w:r>
                </w:p>
              </w:tc>
              <w:tc>
                <w:tcPr>
                  <w:tcW w:w="916" w:type="dxa"/>
                  <w:vAlign w:val="center"/>
                </w:tcPr>
                <w:p w14:paraId="0F3E26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sz w:val="21"/>
                      <w:szCs w:val="21"/>
                      <w:lang w:val="en-US" w:eastAsia="zh-CN"/>
                    </w:rPr>
                    <w:t>0.003</w:t>
                  </w:r>
                </w:p>
              </w:tc>
              <w:tc>
                <w:tcPr>
                  <w:tcW w:w="916" w:type="dxa"/>
                  <w:vAlign w:val="center"/>
                </w:tcPr>
                <w:p w14:paraId="0E95F0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0.007</w:t>
                  </w:r>
                </w:p>
              </w:tc>
              <w:tc>
                <w:tcPr>
                  <w:tcW w:w="3218" w:type="dxa"/>
                  <w:vAlign w:val="center"/>
                </w:tcPr>
                <w:p w14:paraId="286662E8">
                  <w:pPr>
                    <w:widowControl/>
                    <w:spacing w:line="240" w:lineRule="auto"/>
                    <w:ind w:firstLine="0" w:firstLineChars="0"/>
                    <w:jc w:val="center"/>
                    <w:textAlignment w:val="center"/>
                    <w:rPr>
                      <w:rFonts w:hint="eastAsia" w:cs="Times New Roman"/>
                      <w:kern w:val="2"/>
                      <w:sz w:val="21"/>
                      <w:szCs w:val="21"/>
                      <w:lang w:val="en-US" w:eastAsia="zh-CN" w:bidi="ar-SA"/>
                    </w:rPr>
                  </w:pPr>
                  <w:r>
                    <w:rPr>
                      <w:rFonts w:hint="eastAsia" w:cs="Times New Roman"/>
                      <w:kern w:val="2"/>
                      <w:sz w:val="21"/>
                      <w:szCs w:val="21"/>
                      <w:lang w:val="en-US" w:eastAsia="zh-CN" w:bidi="ar-SA"/>
                    </w:rPr>
                    <w:t>采用油烟净化器（处理效率60%），经过专用烟道进行屋顶排放</w:t>
                  </w:r>
                </w:p>
              </w:tc>
              <w:tc>
                <w:tcPr>
                  <w:tcW w:w="1265" w:type="dxa"/>
                  <w:vAlign w:val="center"/>
                </w:tcPr>
                <w:p w14:paraId="24AEAA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0.0012</w:t>
                  </w:r>
                </w:p>
              </w:tc>
              <w:tc>
                <w:tcPr>
                  <w:tcW w:w="1274" w:type="dxa"/>
                  <w:vAlign w:val="center"/>
                </w:tcPr>
                <w:p w14:paraId="1DC85C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0.003</w:t>
                  </w:r>
                </w:p>
              </w:tc>
              <w:tc>
                <w:tcPr>
                  <w:tcW w:w="1105" w:type="dxa"/>
                  <w:vAlign w:val="center"/>
                </w:tcPr>
                <w:p w14:paraId="402B33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307" w:type="dxa"/>
                  <w:vAlign w:val="center"/>
                </w:tcPr>
                <w:p w14:paraId="304BEF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2.0</w:t>
                  </w:r>
                </w:p>
              </w:tc>
            </w:tr>
          </w:tbl>
          <w:p w14:paraId="26BB0F3A">
            <w:pPr>
              <w:autoSpaceDE w:val="0"/>
              <w:autoSpaceDN w:val="0"/>
              <w:spacing w:line="460" w:lineRule="exact"/>
              <w:ind w:firstLine="0" w:firstLineChars="0"/>
              <w:jc w:val="center"/>
              <w:rPr>
                <w:rFonts w:ascii="宋体" w:hAnsi="宋体" w:cs="宋体"/>
                <w:color w:val="auto"/>
                <w:kern w:val="0"/>
                <w:szCs w:val="21"/>
              </w:rPr>
            </w:pPr>
          </w:p>
        </w:tc>
      </w:tr>
    </w:tbl>
    <w:p w14:paraId="01B68DF1">
      <w:pPr>
        <w:pStyle w:val="3"/>
        <w:rPr>
          <w:color w:val="auto"/>
        </w:rPr>
        <w:sectPr>
          <w:pgSz w:w="16840" w:h="11907" w:orient="landscape"/>
          <w:pgMar w:top="1531" w:right="1701" w:bottom="1531" w:left="2127" w:header="851" w:footer="851" w:gutter="0"/>
          <w:pgNumType w:fmt="decimal"/>
          <w:cols w:space="720" w:num="1"/>
          <w:docGrid w:linePitch="312" w:charSpace="0"/>
        </w:sectPr>
      </w:pPr>
    </w:p>
    <w:tbl>
      <w:tblPr>
        <w:tblStyle w:val="26"/>
        <w:tblW w:w="88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430"/>
      </w:tblGrid>
      <w:tr w14:paraId="28D26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38" w:type="dxa"/>
            <w:vAlign w:val="center"/>
          </w:tcPr>
          <w:p w14:paraId="00BBA94D">
            <w:pPr>
              <w:spacing w:line="240" w:lineRule="auto"/>
              <w:ind w:firstLine="0" w:firstLineChars="0"/>
              <w:jc w:val="center"/>
              <w:rPr>
                <w:rFonts w:ascii="宋体" w:hAnsi="宋体" w:cs="宋体"/>
                <w:color w:val="auto"/>
                <w:kern w:val="0"/>
                <w:szCs w:val="21"/>
              </w:rPr>
            </w:pPr>
          </w:p>
        </w:tc>
        <w:tc>
          <w:tcPr>
            <w:tcW w:w="8430" w:type="dxa"/>
            <w:vAlign w:val="center"/>
          </w:tcPr>
          <w:p w14:paraId="28820A55">
            <w:pPr>
              <w:ind w:firstLine="0" w:firstLineChars="0"/>
              <w:rPr>
                <w:b/>
                <w:bCs/>
                <w:color w:val="auto"/>
              </w:rPr>
            </w:pPr>
            <w:r>
              <w:rPr>
                <w:rFonts w:hint="eastAsia"/>
                <w:b/>
                <w:bCs/>
                <w:color w:val="auto"/>
              </w:rPr>
              <w:t>1.3 可行性技术</w:t>
            </w:r>
            <w:r>
              <w:rPr>
                <w:b/>
                <w:bCs/>
                <w:color w:val="auto"/>
              </w:rPr>
              <w:t>分析</w:t>
            </w:r>
          </w:p>
          <w:p w14:paraId="14B197CD">
            <w:pPr>
              <w:ind w:firstLine="480"/>
              <w:rPr>
                <w:color w:val="auto"/>
              </w:rPr>
            </w:pPr>
            <w:r>
              <w:rPr>
                <w:rFonts w:hint="eastAsia"/>
                <w:color w:val="auto"/>
              </w:rPr>
              <w:t>参照《排污许可申请与核发技术规范 总则》（HJ942-2018）中相关标准</w:t>
            </w:r>
            <w:r>
              <w:rPr>
                <w:rFonts w:hint="eastAsia"/>
                <w:color w:val="auto"/>
                <w:lang w:val="en-US" w:eastAsia="zh-CN"/>
              </w:rPr>
              <w:t>及</w:t>
            </w:r>
            <w:r>
              <w:rPr>
                <w:rFonts w:hint="eastAsia"/>
                <w:color w:val="auto"/>
              </w:rPr>
              <w:t xml:space="preserve">《排污许可申请与核发技术规范 </w:t>
            </w:r>
            <w:r>
              <w:rPr>
                <w:rFonts w:hint="eastAsia"/>
                <w:color w:val="auto"/>
                <w:lang w:val="en-US" w:eastAsia="zh-CN"/>
              </w:rPr>
              <w:t>水泥工业</w:t>
            </w:r>
            <w:r>
              <w:rPr>
                <w:rFonts w:hint="eastAsia"/>
                <w:color w:val="auto"/>
              </w:rPr>
              <w:t>》（HJ</w:t>
            </w:r>
            <w:r>
              <w:rPr>
                <w:rFonts w:hint="eastAsia"/>
                <w:color w:val="auto"/>
                <w:lang w:val="en-US" w:eastAsia="zh-CN"/>
              </w:rPr>
              <w:t>847</w:t>
            </w:r>
            <w:r>
              <w:rPr>
                <w:rFonts w:hint="eastAsia"/>
                <w:color w:val="auto"/>
              </w:rPr>
              <w:t>-201</w:t>
            </w:r>
            <w:r>
              <w:rPr>
                <w:rFonts w:hint="eastAsia"/>
                <w:color w:val="auto"/>
                <w:lang w:val="en-US" w:eastAsia="zh-CN"/>
              </w:rPr>
              <w:t>7</w:t>
            </w:r>
            <w:r>
              <w:rPr>
                <w:rFonts w:hint="eastAsia"/>
                <w:color w:val="auto"/>
              </w:rPr>
              <w:t>）</w:t>
            </w:r>
            <w:r>
              <w:rPr>
                <w:rFonts w:hint="eastAsia"/>
                <w:color w:val="auto"/>
                <w:lang w:val="en-US" w:eastAsia="zh-CN"/>
              </w:rPr>
              <w:t>表4中无组织废气排放控制要求</w:t>
            </w:r>
            <w:r>
              <w:rPr>
                <w:rFonts w:hint="eastAsia"/>
                <w:color w:val="auto"/>
              </w:rPr>
              <w:t>，本项目筒仓呼吸粉尘经仓顶设置的</w:t>
            </w:r>
            <w:r>
              <w:rPr>
                <w:rFonts w:hint="eastAsia"/>
                <w:color w:val="auto"/>
                <w:lang w:val="en-US" w:eastAsia="zh-CN"/>
              </w:rPr>
              <w:t>袋式</w:t>
            </w:r>
            <w:r>
              <w:rPr>
                <w:rFonts w:hint="eastAsia"/>
                <w:color w:val="auto"/>
              </w:rPr>
              <w:t>除尘器（处理效率按99%）处理后，车间内无组织排放；输送、</w:t>
            </w:r>
            <w:r>
              <w:rPr>
                <w:rFonts w:hint="eastAsia"/>
                <w:color w:val="auto"/>
                <w:lang w:val="en-US" w:eastAsia="zh-CN"/>
              </w:rPr>
              <w:t>投料</w:t>
            </w:r>
            <w:r>
              <w:rPr>
                <w:rFonts w:hint="eastAsia"/>
                <w:color w:val="auto"/>
              </w:rPr>
              <w:t>采取</w:t>
            </w:r>
            <w:r>
              <w:rPr>
                <w:rFonts w:hint="eastAsia"/>
                <w:color w:val="auto"/>
                <w:lang w:val="en-US" w:eastAsia="zh-CN"/>
              </w:rPr>
              <w:t>输送带封闭、安装喷淋装置，“</w:t>
            </w:r>
            <w:r>
              <w:rPr>
                <w:rFonts w:hint="default"/>
                <w:lang w:val="en-US" w:eastAsia="zh-CN"/>
              </w:rPr>
              <w:t>集气</w:t>
            </w:r>
            <w:r>
              <w:rPr>
                <w:rFonts w:hint="eastAsia"/>
                <w:color w:val="auto"/>
                <w:highlight w:val="none"/>
                <w:lang w:val="en-US" w:eastAsia="zh-CN"/>
              </w:rPr>
              <w:t>罩</w:t>
            </w:r>
            <w:r>
              <w:rPr>
                <w:rFonts w:hint="default"/>
                <w:lang w:val="en-US" w:eastAsia="zh-CN"/>
              </w:rPr>
              <w:t>收集（收集效率为90%）+布袋除尘器（处理效率9</w:t>
            </w:r>
            <w:r>
              <w:rPr>
                <w:rFonts w:hint="eastAsia"/>
                <w:lang w:val="en-US" w:eastAsia="zh-CN"/>
              </w:rPr>
              <w:t>9</w:t>
            </w:r>
            <w:r>
              <w:rPr>
                <w:rFonts w:hint="default"/>
                <w:lang w:val="en-US" w:eastAsia="zh-CN"/>
              </w:rPr>
              <w:t>%）</w:t>
            </w:r>
            <w:r>
              <w:rPr>
                <w:rFonts w:hint="eastAsia"/>
                <w:color w:val="auto"/>
                <w:lang w:val="en-US" w:eastAsia="zh-CN"/>
              </w:rPr>
              <w:t>”</w:t>
            </w:r>
            <w:r>
              <w:rPr>
                <w:rFonts w:hint="default"/>
                <w:lang w:val="en-US" w:eastAsia="zh-CN"/>
              </w:rPr>
              <w:t>处理后，经15m（DA004）排气筒排放</w:t>
            </w:r>
            <w:r>
              <w:rPr>
                <w:rFonts w:hint="eastAsia"/>
                <w:color w:val="auto"/>
              </w:rPr>
              <w:t>；卸料粉尘采取生产车间封闭（控尘效率90%）、安装喷淋装置（控尘效率50%）、减小卸料落差、地面硬化、定期清扫地面的措施；车辆运输扬尘设置洗车平台，厂区内道路硬化、洒水抑尘、定期清扫地面的措施；废气采取相对应的环保措施处理后，能够达标排放，对周围环境影响较小</w:t>
            </w:r>
            <w:r>
              <w:rPr>
                <w:rFonts w:hint="eastAsia"/>
                <w:color w:val="auto"/>
                <w:lang w:eastAsia="zh-CN"/>
              </w:rPr>
              <w:t>。</w:t>
            </w:r>
            <w:r>
              <w:rPr>
                <w:rFonts w:hint="eastAsia"/>
                <w:color w:val="auto"/>
              </w:rPr>
              <w:t>因此</w:t>
            </w:r>
            <w:r>
              <w:rPr>
                <w:rFonts w:hint="eastAsia"/>
                <w:color w:val="auto"/>
                <w:lang w:eastAsia="zh-CN"/>
              </w:rPr>
              <w:t>，</w:t>
            </w:r>
            <w:r>
              <w:rPr>
                <w:rFonts w:hint="eastAsia"/>
                <w:color w:val="auto"/>
              </w:rPr>
              <w:t>采取的环保措施是可行的。</w:t>
            </w:r>
          </w:p>
          <w:p w14:paraId="4D81343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b/>
                <w:bCs/>
                <w:color w:val="auto"/>
                <w:szCs w:val="24"/>
              </w:rPr>
            </w:pPr>
            <w:r>
              <w:rPr>
                <w:rFonts w:hint="eastAsia"/>
                <w:b/>
                <w:bCs/>
                <w:color w:val="auto"/>
                <w:szCs w:val="24"/>
                <w:lang w:val="en-US" w:eastAsia="zh-CN"/>
              </w:rPr>
              <w:t>1</w:t>
            </w:r>
            <w:r>
              <w:rPr>
                <w:b/>
                <w:bCs/>
                <w:color w:val="auto"/>
                <w:szCs w:val="24"/>
              </w:rPr>
              <w:t>.</w:t>
            </w:r>
            <w:r>
              <w:rPr>
                <w:rFonts w:hint="eastAsia"/>
                <w:b/>
                <w:bCs/>
                <w:color w:val="auto"/>
                <w:szCs w:val="24"/>
              </w:rPr>
              <w:t>4</w:t>
            </w:r>
            <w:r>
              <w:rPr>
                <w:b/>
                <w:bCs/>
                <w:color w:val="auto"/>
                <w:szCs w:val="24"/>
              </w:rPr>
              <w:t xml:space="preserve"> </w:t>
            </w:r>
            <w:r>
              <w:rPr>
                <w:rFonts w:hint="eastAsia" w:cs="宋体"/>
                <w:b/>
                <w:bCs/>
                <w:color w:val="auto"/>
                <w:szCs w:val="24"/>
              </w:rPr>
              <w:t>粉尘排放控制措施</w:t>
            </w:r>
          </w:p>
          <w:p w14:paraId="1767E8A2">
            <w:pPr>
              <w:ind w:firstLine="480"/>
              <w:rPr>
                <w:color w:val="auto"/>
                <w:szCs w:val="24"/>
              </w:rPr>
            </w:pPr>
            <w:r>
              <w:rPr>
                <w:rFonts w:hint="eastAsia" w:cs="宋体"/>
                <w:color w:val="auto"/>
                <w:szCs w:val="24"/>
              </w:rPr>
              <w:t>为了减小本项目对周边环境的影响，本环评要求建设单位规范安装相应环保措施，确保项目运行期间产生的废气能够得到有效处理。</w:t>
            </w:r>
          </w:p>
          <w:p w14:paraId="3BDADE87">
            <w:pPr>
              <w:ind w:firstLine="480"/>
              <w:rPr>
                <w:color w:val="auto"/>
                <w:szCs w:val="24"/>
              </w:rPr>
            </w:pPr>
            <w:r>
              <w:rPr>
                <w:rFonts w:hint="eastAsia" w:cs="宋体"/>
                <w:color w:val="auto"/>
                <w:szCs w:val="24"/>
              </w:rPr>
              <w:t>同时为进一步减少营运期厂区的污染物排放，参照《安徽省大气污染防治条例》、《安徽省大气污染防治行动计划实施方案》相关要求，提出进一步的控制措施：</w:t>
            </w:r>
          </w:p>
          <w:p w14:paraId="465120E8">
            <w:pPr>
              <w:ind w:firstLine="482"/>
              <w:rPr>
                <w:b/>
                <w:bCs/>
                <w:color w:val="auto"/>
                <w:szCs w:val="24"/>
              </w:rPr>
            </w:pPr>
            <w:r>
              <w:rPr>
                <w:rFonts w:hint="eastAsia" w:cs="宋体"/>
                <w:b/>
                <w:bCs/>
                <w:color w:val="auto"/>
                <w:szCs w:val="24"/>
              </w:rPr>
              <w:t>（</w:t>
            </w:r>
            <w:r>
              <w:rPr>
                <w:b/>
                <w:bCs/>
                <w:color w:val="auto"/>
                <w:szCs w:val="24"/>
              </w:rPr>
              <w:t>1</w:t>
            </w:r>
            <w:r>
              <w:rPr>
                <w:rFonts w:hint="eastAsia" w:cs="宋体"/>
                <w:b/>
                <w:bCs/>
                <w:color w:val="auto"/>
                <w:szCs w:val="24"/>
              </w:rPr>
              <w:t>）厂区围墙、排水和场地要求</w:t>
            </w:r>
          </w:p>
          <w:p w14:paraId="15B777E8">
            <w:pPr>
              <w:ind w:firstLine="480"/>
              <w:rPr>
                <w:color w:val="auto"/>
                <w:szCs w:val="24"/>
              </w:rPr>
            </w:pPr>
            <w:r>
              <w:rPr>
                <w:color w:val="auto"/>
                <w:szCs w:val="24"/>
              </w:rPr>
              <w:t>a</w:t>
            </w:r>
            <w:r>
              <w:rPr>
                <w:rFonts w:hint="eastAsia" w:cs="宋体"/>
                <w:color w:val="auto"/>
                <w:szCs w:val="24"/>
              </w:rPr>
              <w:t>、厂区生产车间应采用封闭式管理，外围护应使用砖砌围墙或彩钢板围墙，高度应</w:t>
            </w:r>
            <w:r>
              <w:rPr>
                <w:color w:val="auto"/>
                <w:szCs w:val="24"/>
              </w:rPr>
              <w:t>≥2m</w:t>
            </w:r>
            <w:r>
              <w:rPr>
                <w:rFonts w:hint="eastAsia" w:cs="宋体"/>
                <w:color w:val="auto"/>
                <w:szCs w:val="24"/>
              </w:rPr>
              <w:t>，并确保牢固和整洁，出入门符合规范要求。</w:t>
            </w:r>
          </w:p>
          <w:p w14:paraId="144CF65C">
            <w:pPr>
              <w:ind w:firstLine="480"/>
              <w:rPr>
                <w:color w:val="auto"/>
                <w:szCs w:val="24"/>
              </w:rPr>
            </w:pPr>
            <w:r>
              <w:rPr>
                <w:color w:val="auto"/>
                <w:szCs w:val="24"/>
              </w:rPr>
              <w:t>b</w:t>
            </w:r>
            <w:r>
              <w:rPr>
                <w:rFonts w:hint="eastAsia" w:cs="宋体"/>
                <w:color w:val="auto"/>
                <w:szCs w:val="24"/>
              </w:rPr>
              <w:t>、应在厂区入口处设置车辆自动冲洗台，经车辆冲洗台处理后的冲洗废水应重复使用，做到零排放。未经沉淀处理且不达标的废水禁止外排。沉淀池应及时清理，清理物应及时运走妥为处理。</w:t>
            </w:r>
          </w:p>
          <w:p w14:paraId="44BC513B">
            <w:pPr>
              <w:ind w:firstLine="480"/>
              <w:rPr>
                <w:color w:val="auto"/>
                <w:szCs w:val="24"/>
              </w:rPr>
            </w:pPr>
            <w:r>
              <w:rPr>
                <w:color w:val="auto"/>
                <w:szCs w:val="24"/>
              </w:rPr>
              <w:t>c</w:t>
            </w:r>
            <w:r>
              <w:rPr>
                <w:rFonts w:hint="eastAsia" w:cs="宋体"/>
                <w:color w:val="auto"/>
                <w:szCs w:val="24"/>
              </w:rPr>
              <w:t>、厂内道路路面、厂区至厂外道路之间道路、生产作业区、物料堆放区的地面应作硬化处理。厂区内设置雾炮机降尘。</w:t>
            </w:r>
          </w:p>
          <w:p w14:paraId="4FF8E214">
            <w:pPr>
              <w:ind w:firstLine="480"/>
              <w:rPr>
                <w:color w:val="auto"/>
                <w:szCs w:val="24"/>
              </w:rPr>
            </w:pPr>
            <w:r>
              <w:rPr>
                <w:color w:val="auto"/>
                <w:szCs w:val="24"/>
              </w:rPr>
              <w:t>d</w:t>
            </w:r>
            <w:r>
              <w:rPr>
                <w:rFonts w:hint="eastAsia" w:cs="宋体"/>
                <w:color w:val="auto"/>
                <w:szCs w:val="24"/>
              </w:rPr>
              <w:t>、围墙四周未硬化的裸土空地应设置绿化。在厂界四周设置绿化带，选择种植一些高大耐粉尘的常绿树种，如槐树、松柏等，以降低地面风速，减少粉尘污染。</w:t>
            </w:r>
          </w:p>
          <w:p w14:paraId="6483BD60">
            <w:pPr>
              <w:ind w:firstLine="480"/>
              <w:rPr>
                <w:color w:val="auto"/>
                <w:szCs w:val="24"/>
              </w:rPr>
            </w:pPr>
            <w:r>
              <w:rPr>
                <w:color w:val="auto"/>
                <w:szCs w:val="24"/>
              </w:rPr>
              <w:t>e</w:t>
            </w:r>
            <w:r>
              <w:rPr>
                <w:rFonts w:hint="eastAsia" w:cs="宋体"/>
                <w:color w:val="auto"/>
                <w:szCs w:val="24"/>
              </w:rPr>
              <w:t>、原料库为密闭，并按规范建设防风抑尘、覆盖抑尘等设施。</w:t>
            </w:r>
          </w:p>
          <w:p w14:paraId="0FE9CD36">
            <w:pPr>
              <w:ind w:firstLine="480"/>
              <w:rPr>
                <w:color w:val="auto"/>
                <w:szCs w:val="24"/>
              </w:rPr>
            </w:pPr>
            <w:r>
              <w:rPr>
                <w:color w:val="auto"/>
                <w:szCs w:val="24"/>
              </w:rPr>
              <w:t>f</w:t>
            </w:r>
            <w:r>
              <w:rPr>
                <w:rFonts w:hint="eastAsia" w:cs="宋体"/>
                <w:color w:val="auto"/>
                <w:szCs w:val="24"/>
              </w:rPr>
              <w:t>、厂内生产工序在封闭的车间内进行，全程封闭作业。</w:t>
            </w:r>
          </w:p>
          <w:p w14:paraId="79A112E1">
            <w:pPr>
              <w:ind w:firstLine="482"/>
              <w:rPr>
                <w:b/>
                <w:bCs/>
                <w:color w:val="auto"/>
                <w:szCs w:val="24"/>
              </w:rPr>
            </w:pPr>
            <w:r>
              <w:rPr>
                <w:rFonts w:hint="eastAsia" w:cs="宋体"/>
                <w:b/>
                <w:bCs/>
                <w:color w:val="auto"/>
                <w:szCs w:val="24"/>
              </w:rPr>
              <w:t>（</w:t>
            </w:r>
            <w:r>
              <w:rPr>
                <w:b/>
                <w:bCs/>
                <w:color w:val="auto"/>
                <w:szCs w:val="24"/>
              </w:rPr>
              <w:t>2</w:t>
            </w:r>
            <w:r>
              <w:rPr>
                <w:rFonts w:hint="eastAsia" w:cs="宋体"/>
                <w:b/>
                <w:bCs/>
                <w:color w:val="auto"/>
                <w:szCs w:val="24"/>
              </w:rPr>
              <w:t>）堆场防护要求</w:t>
            </w:r>
          </w:p>
          <w:p w14:paraId="021B32D0">
            <w:pPr>
              <w:numPr>
                <w:ilvl w:val="0"/>
                <w:numId w:val="8"/>
              </w:numPr>
              <w:bidi w:val="0"/>
              <w:rPr>
                <w:rFonts w:hint="eastAsia" w:cs="宋体"/>
                <w:color w:val="auto"/>
                <w:szCs w:val="24"/>
              </w:rPr>
            </w:pPr>
            <w:r>
              <w:rPr>
                <w:rFonts w:hint="eastAsia" w:cs="宋体"/>
                <w:color w:val="auto"/>
                <w:szCs w:val="24"/>
              </w:rPr>
              <w:t>原料库为封闭式库房，临近厂界处设防风抑尘设施。</w:t>
            </w:r>
          </w:p>
          <w:p w14:paraId="2C1C0F77">
            <w:pPr>
              <w:numPr>
                <w:ilvl w:val="0"/>
                <w:numId w:val="8"/>
              </w:numPr>
              <w:bidi w:val="0"/>
              <w:rPr>
                <w:color w:val="auto"/>
                <w:szCs w:val="24"/>
              </w:rPr>
            </w:pPr>
            <w:r>
              <w:rPr>
                <w:rFonts w:hint="eastAsia"/>
              </w:rPr>
              <w:t>料棚配备喷雾抑尘设施或物料全部封闭储存，产尘点及车间不得有可见烟(粉)尘外逸出入口配备自动门。料场出入口等易产生颗粒物排放环节，安装高清视频监控设施。视频监控数据保存三个月以上</w:t>
            </w:r>
            <w:r>
              <w:rPr>
                <w:rFonts w:hint="eastAsia"/>
                <w:lang w:eastAsia="zh-CN"/>
              </w:rPr>
              <w:t>；</w:t>
            </w:r>
            <w:r>
              <w:rPr>
                <w:rFonts w:hint="eastAsia"/>
              </w:rPr>
              <w:t>主要生产设施与污染防治设施分表计电。</w:t>
            </w:r>
          </w:p>
          <w:p w14:paraId="7A4A160C">
            <w:pPr>
              <w:bidi w:val="0"/>
              <w:rPr>
                <w:rFonts w:hint="eastAsia" w:eastAsia="宋体"/>
                <w:lang w:val="en-US" w:eastAsia="zh-CN"/>
              </w:rPr>
            </w:pPr>
            <w:r>
              <w:rPr>
                <w:color w:val="auto"/>
                <w:szCs w:val="24"/>
              </w:rPr>
              <w:t>c</w:t>
            </w:r>
            <w:r>
              <w:rPr>
                <w:rFonts w:hint="eastAsia" w:cs="宋体"/>
                <w:color w:val="auto"/>
                <w:szCs w:val="24"/>
              </w:rPr>
              <w:t>、</w:t>
            </w:r>
            <w:r>
              <w:rPr>
                <w:rFonts w:hint="eastAsia"/>
              </w:rPr>
              <w:t>粉状物料采用料仓、储罐等方式密闭储存</w:t>
            </w:r>
            <w:r>
              <w:rPr>
                <w:rFonts w:hint="eastAsia"/>
                <w:lang w:eastAsia="zh-CN"/>
              </w:rPr>
              <w:t>；粒状、块状物料采用入棚、入仓等方式储存，堆场建设防风抑尘网，粒状物料采用密闭、封闭等方式输送。</w:t>
            </w:r>
          </w:p>
          <w:p w14:paraId="5B22A0D3">
            <w:pPr>
              <w:ind w:firstLine="482"/>
              <w:rPr>
                <w:b/>
                <w:bCs/>
                <w:color w:val="auto"/>
                <w:szCs w:val="24"/>
              </w:rPr>
            </w:pPr>
            <w:r>
              <w:rPr>
                <w:rFonts w:hint="eastAsia" w:cs="宋体"/>
                <w:b/>
                <w:bCs/>
                <w:color w:val="auto"/>
                <w:szCs w:val="24"/>
              </w:rPr>
              <w:t>（</w:t>
            </w:r>
            <w:r>
              <w:rPr>
                <w:b/>
                <w:bCs/>
                <w:color w:val="auto"/>
                <w:szCs w:val="24"/>
              </w:rPr>
              <w:t>3</w:t>
            </w:r>
            <w:r>
              <w:rPr>
                <w:rFonts w:hint="eastAsia" w:cs="宋体"/>
                <w:b/>
                <w:bCs/>
                <w:color w:val="auto"/>
                <w:szCs w:val="24"/>
              </w:rPr>
              <w:t>）场地控尘、控噪和环境要求</w:t>
            </w:r>
          </w:p>
          <w:p w14:paraId="49603319">
            <w:pPr>
              <w:ind w:firstLine="480"/>
              <w:rPr>
                <w:color w:val="auto"/>
                <w:szCs w:val="24"/>
              </w:rPr>
            </w:pPr>
            <w:r>
              <w:rPr>
                <w:color w:val="auto"/>
                <w:szCs w:val="24"/>
              </w:rPr>
              <w:t>a</w:t>
            </w:r>
            <w:r>
              <w:rPr>
                <w:rFonts w:hint="eastAsia" w:cs="宋体"/>
                <w:color w:val="auto"/>
                <w:szCs w:val="24"/>
              </w:rPr>
              <w:t>、应落实人员和措施保持厂区道路及场地清洁，车辆行驶时无明显扬尘。运载量不应超过运载工具的最大运输量，尽量选择路面条件好，距离短的运输路线，避免在大风、下雨等天气恶劣的条件下卸料。</w:t>
            </w:r>
          </w:p>
          <w:p w14:paraId="71F676A3">
            <w:pPr>
              <w:ind w:firstLine="480"/>
              <w:rPr>
                <w:color w:val="auto"/>
                <w:szCs w:val="24"/>
              </w:rPr>
            </w:pPr>
            <w:r>
              <w:rPr>
                <w:color w:val="auto"/>
                <w:szCs w:val="24"/>
              </w:rPr>
              <w:t>b</w:t>
            </w:r>
            <w:r>
              <w:rPr>
                <w:rFonts w:hint="eastAsia" w:cs="宋体"/>
                <w:color w:val="auto"/>
                <w:szCs w:val="24"/>
              </w:rPr>
              <w:t>、并及时清扫周边道路，不定时对厂区及库房喷雾增湿，以降低道路地面扬尘。</w:t>
            </w:r>
          </w:p>
          <w:p w14:paraId="1216AD98">
            <w:pPr>
              <w:ind w:firstLine="480"/>
              <w:rPr>
                <w:color w:val="auto"/>
                <w:szCs w:val="24"/>
              </w:rPr>
            </w:pPr>
            <w:r>
              <w:rPr>
                <w:color w:val="auto"/>
                <w:szCs w:val="24"/>
              </w:rPr>
              <w:t>c</w:t>
            </w:r>
            <w:r>
              <w:rPr>
                <w:rFonts w:hint="eastAsia" w:cs="宋体"/>
                <w:color w:val="auto"/>
                <w:szCs w:val="24"/>
              </w:rPr>
              <w:t>、物料输送带的动力部位应加装噪声控制罩，滚轴部位应按时清理，定期添加</w:t>
            </w:r>
            <w:r>
              <w:rPr>
                <w:rFonts w:hint="eastAsia" w:cs="宋体"/>
                <w:color w:val="auto"/>
                <w:szCs w:val="24"/>
                <w:lang w:val="en-US" w:eastAsia="zh-CN"/>
              </w:rPr>
              <w:t>维护</w:t>
            </w:r>
            <w:r>
              <w:rPr>
                <w:rFonts w:hint="eastAsia" w:cs="宋体"/>
                <w:color w:val="auto"/>
                <w:szCs w:val="24"/>
              </w:rPr>
              <w:t>，控制噪声扰民。</w:t>
            </w:r>
          </w:p>
          <w:p w14:paraId="6F539BFD">
            <w:pPr>
              <w:ind w:firstLine="480"/>
              <w:rPr>
                <w:color w:val="auto"/>
                <w:szCs w:val="24"/>
              </w:rPr>
            </w:pPr>
            <w:r>
              <w:rPr>
                <w:color w:val="auto"/>
                <w:szCs w:val="24"/>
              </w:rPr>
              <w:t>d</w:t>
            </w:r>
            <w:r>
              <w:rPr>
                <w:rFonts w:hint="eastAsia" w:cs="宋体"/>
                <w:color w:val="auto"/>
                <w:szCs w:val="24"/>
              </w:rPr>
              <w:t>、车辆管理：装料后，或从工地卸料后均应对车辆进行冲洗。车辆进入站内禁止鸣笛，车辆进出入门口应设置禁鸣标志。</w:t>
            </w:r>
          </w:p>
          <w:p w14:paraId="6C51882E">
            <w:pPr>
              <w:ind w:firstLine="480"/>
              <w:rPr>
                <w:color w:val="auto"/>
                <w:szCs w:val="24"/>
              </w:rPr>
            </w:pPr>
            <w:r>
              <w:rPr>
                <w:color w:val="auto"/>
                <w:szCs w:val="24"/>
              </w:rPr>
              <w:t>e</w:t>
            </w:r>
            <w:r>
              <w:rPr>
                <w:rFonts w:hint="eastAsia" w:cs="宋体"/>
                <w:color w:val="auto"/>
                <w:szCs w:val="24"/>
              </w:rPr>
              <w:t>、车间采取密闭、封闭等措施，无可见烟粉尘外逸</w:t>
            </w:r>
            <w:r>
              <w:rPr>
                <w:rFonts w:hint="eastAsia" w:cs="宋体"/>
                <w:color w:val="auto"/>
                <w:szCs w:val="24"/>
                <w:lang w:eastAsia="zh-CN"/>
              </w:rPr>
              <w:t>，</w:t>
            </w:r>
            <w:r>
              <w:rPr>
                <w:rFonts w:hint="eastAsia" w:cs="宋体"/>
                <w:color w:val="auto"/>
                <w:szCs w:val="24"/>
                <w:lang w:val="en-US" w:eastAsia="zh-CN"/>
              </w:rPr>
              <w:t>投料</w:t>
            </w:r>
            <w:r>
              <w:rPr>
                <w:rFonts w:hint="eastAsia" w:cs="宋体"/>
                <w:color w:val="auto"/>
                <w:szCs w:val="24"/>
              </w:rPr>
              <w:t>工序配备布袋除尘器，该部分粉尘经收集处理后搅拌机排气口排放。生产工艺(装置)产尘点采用密闭、封闭或设置集气罩等措施应加强该除尘装置的日常管理、维护，并定期更换，以确保其正常运转；在工艺设计上，对各工艺流程尽量减少扬尘环节，选择扬尘小的设备，加强密闭。</w:t>
            </w:r>
          </w:p>
          <w:p w14:paraId="7FB174F4">
            <w:pPr>
              <w:ind w:firstLine="480"/>
              <w:rPr>
                <w:color w:val="auto"/>
                <w:szCs w:val="24"/>
              </w:rPr>
            </w:pPr>
            <w:r>
              <w:rPr>
                <w:color w:val="auto"/>
                <w:szCs w:val="24"/>
              </w:rPr>
              <w:t>f</w:t>
            </w:r>
            <w:r>
              <w:rPr>
                <w:rFonts w:hint="eastAsia" w:cs="宋体"/>
                <w:color w:val="auto"/>
                <w:szCs w:val="24"/>
              </w:rPr>
              <w:t>、道路路面以及生产作业区、物料堆放区的地面应做硬化处理。</w:t>
            </w:r>
          </w:p>
          <w:p w14:paraId="3BA71ABE">
            <w:pPr>
              <w:ind w:firstLine="482"/>
              <w:rPr>
                <w:b/>
                <w:bCs/>
                <w:color w:val="auto"/>
                <w:szCs w:val="24"/>
              </w:rPr>
            </w:pPr>
            <w:r>
              <w:rPr>
                <w:rFonts w:hint="eastAsia" w:cs="宋体"/>
                <w:b/>
                <w:bCs/>
                <w:color w:val="auto"/>
                <w:szCs w:val="24"/>
              </w:rPr>
              <w:t>（</w:t>
            </w:r>
            <w:r>
              <w:rPr>
                <w:b/>
                <w:bCs/>
                <w:color w:val="auto"/>
                <w:szCs w:val="24"/>
              </w:rPr>
              <w:t>4</w:t>
            </w:r>
            <w:r>
              <w:rPr>
                <w:rFonts w:hint="eastAsia" w:cs="宋体"/>
                <w:b/>
                <w:bCs/>
                <w:color w:val="auto"/>
                <w:szCs w:val="24"/>
              </w:rPr>
              <w:t>）设备控尘、控噪和环境要求</w:t>
            </w:r>
          </w:p>
          <w:p w14:paraId="68FE1058">
            <w:pPr>
              <w:ind w:firstLine="480"/>
              <w:rPr>
                <w:color w:val="auto"/>
                <w:szCs w:val="24"/>
              </w:rPr>
            </w:pPr>
            <w:r>
              <w:rPr>
                <w:color w:val="auto"/>
                <w:szCs w:val="24"/>
              </w:rPr>
              <w:t>a</w:t>
            </w:r>
            <w:r>
              <w:rPr>
                <w:rFonts w:hint="eastAsia" w:cs="宋体"/>
                <w:color w:val="auto"/>
                <w:szCs w:val="24"/>
              </w:rPr>
              <w:t>、应选用低噪声、低能耗、低排放并满足安徽省环保标准的生产、运输、泵送、试验等设备，严禁使用国家和安徽省明令禁止的淘汰设备。</w:t>
            </w:r>
          </w:p>
          <w:p w14:paraId="4BA781D7">
            <w:pPr>
              <w:ind w:firstLine="480"/>
              <w:rPr>
                <w:color w:val="auto"/>
                <w:szCs w:val="24"/>
              </w:rPr>
            </w:pPr>
            <w:r>
              <w:rPr>
                <w:color w:val="auto"/>
                <w:szCs w:val="24"/>
              </w:rPr>
              <w:t>b</w:t>
            </w:r>
            <w:r>
              <w:rPr>
                <w:rFonts w:hint="eastAsia" w:cs="宋体"/>
                <w:color w:val="auto"/>
                <w:szCs w:val="24"/>
              </w:rPr>
              <w:t>、应对生产工艺过程中的卸料、搅拌等环节实施封闭，达到降低噪声和粉尘排放指标的要求。</w:t>
            </w:r>
          </w:p>
          <w:p w14:paraId="34238DEA">
            <w:pPr>
              <w:ind w:firstLine="480"/>
              <w:rPr>
                <w:color w:val="auto"/>
                <w:szCs w:val="24"/>
              </w:rPr>
            </w:pPr>
            <w:r>
              <w:rPr>
                <w:color w:val="auto"/>
                <w:szCs w:val="24"/>
              </w:rPr>
              <w:t>c</w:t>
            </w:r>
            <w:r>
              <w:rPr>
                <w:rFonts w:hint="eastAsia" w:cs="宋体"/>
                <w:color w:val="auto"/>
                <w:szCs w:val="24"/>
              </w:rPr>
              <w:t>、内部照明应采用易除尘的光照设备。</w:t>
            </w:r>
          </w:p>
          <w:p w14:paraId="59BD20AC">
            <w:pPr>
              <w:ind w:firstLine="480"/>
              <w:rPr>
                <w:color w:val="auto"/>
                <w:szCs w:val="24"/>
              </w:rPr>
            </w:pPr>
            <w:r>
              <w:rPr>
                <w:color w:val="auto"/>
                <w:szCs w:val="24"/>
              </w:rPr>
              <w:t>d</w:t>
            </w:r>
            <w:r>
              <w:rPr>
                <w:rFonts w:hint="eastAsia" w:cs="宋体"/>
                <w:color w:val="auto"/>
                <w:szCs w:val="24"/>
              </w:rPr>
              <w:t>、环保除尘设施应保持完好</w:t>
            </w:r>
            <w:r>
              <w:rPr>
                <w:rFonts w:hint="eastAsia" w:cs="宋体"/>
                <w:color w:val="auto"/>
                <w:szCs w:val="24"/>
                <w:lang w:eastAsia="zh-CN"/>
              </w:rPr>
              <w:t>，</w:t>
            </w:r>
            <w:r>
              <w:rPr>
                <w:rFonts w:hint="eastAsia" w:cs="宋体"/>
                <w:color w:val="auto"/>
                <w:szCs w:val="24"/>
                <w:lang w:val="en-US" w:eastAsia="zh-CN"/>
              </w:rPr>
              <w:t>布袋</w:t>
            </w:r>
            <w:r>
              <w:rPr>
                <w:rFonts w:hint="eastAsia" w:cs="宋体"/>
                <w:color w:val="auto"/>
                <w:szCs w:val="24"/>
              </w:rPr>
              <w:t>等易损装置应定期保养或更换。</w:t>
            </w:r>
          </w:p>
          <w:p w14:paraId="658C22FB">
            <w:pPr>
              <w:ind w:firstLine="482"/>
              <w:rPr>
                <w:b/>
                <w:bCs/>
                <w:color w:val="auto"/>
                <w:szCs w:val="24"/>
              </w:rPr>
            </w:pPr>
            <w:r>
              <w:rPr>
                <w:rFonts w:hint="eastAsia" w:cs="宋体"/>
                <w:b/>
                <w:bCs/>
                <w:color w:val="auto"/>
                <w:szCs w:val="24"/>
              </w:rPr>
              <w:t>（</w:t>
            </w:r>
            <w:r>
              <w:rPr>
                <w:b/>
                <w:bCs/>
                <w:color w:val="auto"/>
                <w:szCs w:val="24"/>
              </w:rPr>
              <w:t>5</w:t>
            </w:r>
            <w:r>
              <w:rPr>
                <w:rFonts w:hint="eastAsia" w:cs="宋体"/>
                <w:b/>
                <w:bCs/>
                <w:color w:val="auto"/>
                <w:szCs w:val="24"/>
              </w:rPr>
              <w:t>）物料运输管理</w:t>
            </w:r>
          </w:p>
          <w:p w14:paraId="74BD0623">
            <w:pPr>
              <w:ind w:firstLine="480"/>
              <w:rPr>
                <w:color w:val="auto"/>
                <w:szCs w:val="24"/>
              </w:rPr>
            </w:pPr>
            <w:r>
              <w:rPr>
                <w:color w:val="auto"/>
                <w:szCs w:val="24"/>
              </w:rPr>
              <w:t>a</w:t>
            </w:r>
            <w:r>
              <w:rPr>
                <w:rFonts w:hint="eastAsia" w:cs="宋体"/>
                <w:color w:val="auto"/>
                <w:szCs w:val="24"/>
              </w:rPr>
              <w:t>、由于本项目的物料运输路线暂不确定，在此对物料运输提出要求：合理安排物料运输路线，避开居民集中区、学校等人口较多的区域；对进出场的运输车辆应设置斗篷等防护措施，防止物料在运输沿线的撒漏。</w:t>
            </w:r>
          </w:p>
          <w:p w14:paraId="606B1285">
            <w:pPr>
              <w:ind w:firstLine="480"/>
              <w:rPr>
                <w:rFonts w:hint="eastAsia" w:cs="宋体"/>
                <w:color w:val="auto"/>
                <w:szCs w:val="24"/>
              </w:rPr>
            </w:pPr>
            <w:r>
              <w:rPr>
                <w:color w:val="auto"/>
                <w:szCs w:val="24"/>
              </w:rPr>
              <w:t>b</w:t>
            </w:r>
            <w:r>
              <w:rPr>
                <w:rFonts w:hint="eastAsia" w:cs="宋体"/>
                <w:color w:val="auto"/>
                <w:szCs w:val="24"/>
              </w:rPr>
              <w:t>、项目应规范建设封闭式库房，</w:t>
            </w:r>
            <w:r>
              <w:rPr>
                <w:rFonts w:hint="eastAsia" w:cs="宋体"/>
                <w:color w:val="auto"/>
                <w:szCs w:val="24"/>
                <w:lang w:val="en-US" w:eastAsia="zh-CN"/>
              </w:rPr>
              <w:t>地面硬化的措施</w:t>
            </w:r>
            <w:r>
              <w:rPr>
                <w:rFonts w:hint="eastAsia" w:cs="宋体"/>
                <w:color w:val="auto"/>
                <w:szCs w:val="24"/>
              </w:rPr>
              <w:t>。</w:t>
            </w:r>
          </w:p>
          <w:p w14:paraId="705B4BD4">
            <w:pPr>
              <w:bidi w:val="0"/>
              <w:rPr>
                <w:rFonts w:hint="eastAsia"/>
                <w:lang w:eastAsia="zh-CN"/>
              </w:rPr>
            </w:pPr>
            <w:r>
              <w:rPr>
                <w:rFonts w:hint="eastAsia"/>
                <w:lang w:eastAsia="zh-CN"/>
              </w:rPr>
              <w:t>c、物料装卸、储存、输送过程中产尘点采取有效抑尘措施。</w:t>
            </w:r>
          </w:p>
          <w:p w14:paraId="51B53CAB">
            <w:pPr>
              <w:bidi w:val="0"/>
              <w:rPr>
                <w:rFonts w:hint="default" w:eastAsia="宋体" w:cs="宋体"/>
                <w:color w:val="auto"/>
                <w:szCs w:val="24"/>
                <w:lang w:val="en-US" w:eastAsia="zh-CN"/>
              </w:rPr>
            </w:pPr>
            <w:r>
              <w:rPr>
                <w:color w:val="auto"/>
                <w:szCs w:val="24"/>
              </w:rPr>
              <w:t>d</w:t>
            </w:r>
            <w:r>
              <w:rPr>
                <w:rFonts w:hint="eastAsia" w:cs="宋体"/>
                <w:color w:val="auto"/>
                <w:szCs w:val="24"/>
              </w:rPr>
              <w:t>、</w:t>
            </w:r>
            <w:r>
              <w:rPr>
                <w:rFonts w:hint="eastAsia" w:cs="宋体"/>
                <w:color w:val="auto"/>
                <w:szCs w:val="24"/>
                <w:lang w:val="en-US" w:eastAsia="zh-CN"/>
              </w:rPr>
              <w:t>采取密闭皮带、封闭通廊、管状带式输送机或密闭车厢等方式输送。</w:t>
            </w:r>
          </w:p>
          <w:p w14:paraId="1AE9ABA3">
            <w:pPr>
              <w:ind w:firstLine="482"/>
              <w:rPr>
                <w:b/>
                <w:bCs/>
                <w:color w:val="auto"/>
                <w:szCs w:val="24"/>
              </w:rPr>
            </w:pPr>
            <w:r>
              <w:rPr>
                <w:rFonts w:hint="eastAsia" w:cs="宋体"/>
                <w:b/>
                <w:bCs/>
                <w:color w:val="auto"/>
                <w:szCs w:val="24"/>
              </w:rPr>
              <w:t>（</w:t>
            </w:r>
            <w:r>
              <w:rPr>
                <w:b/>
                <w:bCs/>
                <w:color w:val="auto"/>
                <w:szCs w:val="24"/>
              </w:rPr>
              <w:t>6</w:t>
            </w:r>
            <w:r>
              <w:rPr>
                <w:rFonts w:hint="eastAsia" w:cs="宋体"/>
                <w:b/>
                <w:bCs/>
                <w:color w:val="auto"/>
                <w:szCs w:val="24"/>
              </w:rPr>
              <w:t>）环境管理制度要求</w:t>
            </w:r>
          </w:p>
          <w:p w14:paraId="67607F8E">
            <w:pPr>
              <w:ind w:firstLine="480"/>
              <w:rPr>
                <w:color w:val="auto"/>
                <w:szCs w:val="24"/>
              </w:rPr>
            </w:pPr>
            <w:r>
              <w:rPr>
                <w:rFonts w:hint="eastAsia" w:cs="宋体"/>
                <w:color w:val="auto"/>
                <w:szCs w:val="24"/>
              </w:rPr>
              <w:t>建设单位应增强环境意识，建立健全严格的环境管理制度，切实加强日常环境管理，达到规范化、长效化、制度化要求。</w:t>
            </w:r>
          </w:p>
          <w:p w14:paraId="4A5E041E">
            <w:pPr>
              <w:bidi w:val="0"/>
            </w:pPr>
            <w:r>
              <w:rPr>
                <w:rFonts w:hint="eastAsia"/>
              </w:rPr>
              <w:t>本项目在采取相应防范措施、执行相关规定管理要求后，车辆对周边环境影响较小。</w:t>
            </w:r>
          </w:p>
          <w:p w14:paraId="4DEC57A6">
            <w:pPr>
              <w:ind w:firstLine="0" w:firstLineChars="0"/>
              <w:rPr>
                <w:b/>
                <w:bCs/>
                <w:color w:val="auto"/>
              </w:rPr>
            </w:pPr>
            <w:r>
              <w:rPr>
                <w:rFonts w:hint="eastAsia"/>
                <w:b/>
                <w:bCs/>
                <w:color w:val="auto"/>
              </w:rPr>
              <w:t>1.</w:t>
            </w:r>
            <w:r>
              <w:rPr>
                <w:rFonts w:hint="eastAsia"/>
                <w:b/>
                <w:bCs/>
                <w:color w:val="auto"/>
                <w:lang w:val="en-US" w:eastAsia="zh-CN"/>
              </w:rPr>
              <w:t>5</w:t>
            </w:r>
            <w:r>
              <w:rPr>
                <w:rFonts w:hint="eastAsia"/>
                <w:b/>
                <w:bCs/>
                <w:color w:val="auto"/>
              </w:rPr>
              <w:t xml:space="preserve"> 废气监测计划</w:t>
            </w:r>
          </w:p>
          <w:p w14:paraId="4770177F">
            <w:pPr>
              <w:ind w:firstLine="480"/>
              <w:rPr>
                <w:color w:val="auto"/>
              </w:rPr>
            </w:pPr>
            <w:r>
              <w:rPr>
                <w:rFonts w:hint="eastAsia"/>
                <w:color w:val="auto"/>
              </w:rPr>
              <w:t>参照《排污许可申请与核发技术规范 总则》（HJ942-2018）</w:t>
            </w:r>
            <w:r>
              <w:rPr>
                <w:rFonts w:hint="eastAsia"/>
                <w:color w:val="auto"/>
                <w:lang w:eastAsia="zh-CN"/>
              </w:rPr>
              <w:t>、</w:t>
            </w:r>
            <w:r>
              <w:rPr>
                <w:rFonts w:hint="eastAsia"/>
                <w:color w:val="auto"/>
              </w:rPr>
              <w:t xml:space="preserve">《排污许可申请与核发技术规范 </w:t>
            </w:r>
            <w:r>
              <w:rPr>
                <w:rFonts w:hint="eastAsia"/>
                <w:color w:val="auto"/>
                <w:lang w:val="en-US" w:eastAsia="zh-CN"/>
              </w:rPr>
              <w:t>水泥工业</w:t>
            </w:r>
            <w:r>
              <w:rPr>
                <w:rFonts w:hint="eastAsia"/>
                <w:color w:val="auto"/>
              </w:rPr>
              <w:t>》（HJ</w:t>
            </w:r>
            <w:r>
              <w:rPr>
                <w:rFonts w:hint="eastAsia"/>
                <w:color w:val="auto"/>
                <w:lang w:val="en-US" w:eastAsia="zh-CN"/>
              </w:rPr>
              <w:t>847</w:t>
            </w:r>
            <w:r>
              <w:rPr>
                <w:rFonts w:hint="eastAsia"/>
                <w:color w:val="auto"/>
              </w:rPr>
              <w:t>-201</w:t>
            </w:r>
            <w:r>
              <w:rPr>
                <w:rFonts w:hint="eastAsia"/>
                <w:color w:val="auto"/>
                <w:lang w:val="en-US" w:eastAsia="zh-CN"/>
              </w:rPr>
              <w:t>7</w:t>
            </w:r>
            <w:r>
              <w:rPr>
                <w:rFonts w:hint="eastAsia"/>
                <w:color w:val="auto"/>
              </w:rPr>
              <w:t>）</w:t>
            </w:r>
            <w:r>
              <w:rPr>
                <w:rFonts w:hint="eastAsia"/>
                <w:bCs/>
                <w:color w:val="auto"/>
              </w:rPr>
              <w:t>制定污染源监测计划。</w:t>
            </w:r>
            <w:r>
              <w:rPr>
                <w:rFonts w:hint="eastAsia"/>
                <w:color w:val="auto"/>
              </w:rPr>
              <w:t>若企业不具备监测条件，可委托有资质的监测单位进行监测，监测结果以报表形式上报当地环保主管部门。</w:t>
            </w:r>
          </w:p>
          <w:p w14:paraId="487444DD">
            <w:pPr>
              <w:spacing w:line="240" w:lineRule="auto"/>
              <w:ind w:firstLine="0" w:firstLineChars="0"/>
              <w:jc w:val="center"/>
              <w:rPr>
                <w:b/>
                <w:bCs/>
                <w:color w:val="auto"/>
              </w:rPr>
            </w:pPr>
            <w:r>
              <w:rPr>
                <w:b/>
                <w:bCs/>
                <w:color w:val="auto"/>
              </w:rPr>
              <w:t>表</w:t>
            </w:r>
            <w:r>
              <w:rPr>
                <w:rFonts w:hint="eastAsia"/>
                <w:b/>
                <w:bCs/>
                <w:color w:val="auto"/>
              </w:rPr>
              <w:t>4-</w:t>
            </w:r>
            <w:r>
              <w:rPr>
                <w:rFonts w:hint="eastAsia"/>
                <w:b/>
                <w:bCs/>
                <w:color w:val="auto"/>
                <w:lang w:val="en-US" w:eastAsia="zh-CN"/>
              </w:rPr>
              <w:t>6</w:t>
            </w:r>
            <w:r>
              <w:rPr>
                <w:b/>
                <w:bCs/>
                <w:color w:val="auto"/>
              </w:rPr>
              <w:t xml:space="preserve">  </w:t>
            </w:r>
            <w:r>
              <w:rPr>
                <w:rFonts w:hint="eastAsia"/>
                <w:b/>
                <w:bCs/>
                <w:color w:val="auto"/>
              </w:rPr>
              <w:t>建设项目污染源监测</w:t>
            </w:r>
            <w:r>
              <w:rPr>
                <w:b/>
                <w:bCs/>
                <w:color w:val="auto"/>
              </w:rPr>
              <w:t>计划</w:t>
            </w:r>
            <w:r>
              <w:rPr>
                <w:rFonts w:hint="eastAsia"/>
                <w:b/>
                <w:bCs/>
                <w:color w:val="auto"/>
              </w:rPr>
              <w:t>表</w:t>
            </w:r>
          </w:p>
          <w:tbl>
            <w:tblPr>
              <w:tblStyle w:val="27"/>
              <w:tblW w:w="8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85"/>
              <w:gridCol w:w="1605"/>
              <w:gridCol w:w="886"/>
              <w:gridCol w:w="4333"/>
            </w:tblGrid>
            <w:tr w14:paraId="12CB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95" w:type="dxa"/>
                  <w:vAlign w:val="center"/>
                </w:tcPr>
                <w:p w14:paraId="0A6DD03E">
                  <w:pPr>
                    <w:pStyle w:val="3"/>
                    <w:outlineLvl w:val="0"/>
                    <w:rPr>
                      <w:b/>
                      <w:bCs/>
                      <w:color w:val="auto"/>
                    </w:rPr>
                  </w:pPr>
                  <w:r>
                    <w:rPr>
                      <w:rFonts w:hint="eastAsia"/>
                      <w:b/>
                      <w:bCs/>
                      <w:color w:val="auto"/>
                    </w:rPr>
                    <w:t>类别</w:t>
                  </w:r>
                </w:p>
              </w:tc>
              <w:tc>
                <w:tcPr>
                  <w:tcW w:w="885" w:type="dxa"/>
                  <w:vAlign w:val="center"/>
                </w:tcPr>
                <w:p w14:paraId="4AFA30E5">
                  <w:pPr>
                    <w:pStyle w:val="3"/>
                    <w:outlineLvl w:val="0"/>
                    <w:rPr>
                      <w:b/>
                      <w:bCs/>
                      <w:color w:val="auto"/>
                    </w:rPr>
                  </w:pPr>
                  <w:r>
                    <w:rPr>
                      <w:rFonts w:hint="eastAsia"/>
                      <w:b/>
                      <w:bCs/>
                      <w:color w:val="auto"/>
                    </w:rPr>
                    <w:t>监测因子</w:t>
                  </w:r>
                </w:p>
              </w:tc>
              <w:tc>
                <w:tcPr>
                  <w:tcW w:w="1605" w:type="dxa"/>
                  <w:vAlign w:val="center"/>
                </w:tcPr>
                <w:p w14:paraId="5061A3AF">
                  <w:pPr>
                    <w:pStyle w:val="3"/>
                    <w:outlineLvl w:val="0"/>
                    <w:rPr>
                      <w:b/>
                      <w:bCs/>
                      <w:color w:val="auto"/>
                    </w:rPr>
                  </w:pPr>
                  <w:r>
                    <w:rPr>
                      <w:rFonts w:hint="eastAsia"/>
                      <w:b/>
                      <w:bCs/>
                      <w:color w:val="auto"/>
                    </w:rPr>
                    <w:t>监测点位</w:t>
                  </w:r>
                </w:p>
              </w:tc>
              <w:tc>
                <w:tcPr>
                  <w:tcW w:w="886" w:type="dxa"/>
                  <w:vAlign w:val="center"/>
                </w:tcPr>
                <w:p w14:paraId="0BD7E628">
                  <w:pPr>
                    <w:pStyle w:val="3"/>
                    <w:outlineLvl w:val="0"/>
                    <w:rPr>
                      <w:b/>
                      <w:bCs/>
                      <w:color w:val="auto"/>
                    </w:rPr>
                  </w:pPr>
                  <w:r>
                    <w:rPr>
                      <w:rFonts w:hint="eastAsia"/>
                      <w:b/>
                      <w:bCs/>
                      <w:color w:val="auto"/>
                    </w:rPr>
                    <w:t>监测频次</w:t>
                  </w:r>
                </w:p>
              </w:tc>
              <w:tc>
                <w:tcPr>
                  <w:tcW w:w="4333" w:type="dxa"/>
                  <w:vAlign w:val="center"/>
                </w:tcPr>
                <w:p w14:paraId="4819BFD0">
                  <w:pPr>
                    <w:pStyle w:val="3"/>
                    <w:outlineLvl w:val="0"/>
                    <w:rPr>
                      <w:b/>
                      <w:bCs/>
                      <w:color w:val="auto"/>
                    </w:rPr>
                  </w:pPr>
                  <w:r>
                    <w:rPr>
                      <w:rFonts w:hint="eastAsia"/>
                      <w:b/>
                      <w:bCs/>
                      <w:color w:val="auto"/>
                    </w:rPr>
                    <w:t>依据</w:t>
                  </w:r>
                </w:p>
              </w:tc>
            </w:tr>
            <w:tr w14:paraId="1B2B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dxa"/>
                  <w:vMerge w:val="restart"/>
                  <w:vAlign w:val="center"/>
                </w:tcPr>
                <w:p w14:paraId="427376DA">
                  <w:pPr>
                    <w:pStyle w:val="3"/>
                    <w:outlineLvl w:val="0"/>
                    <w:rPr>
                      <w:color w:val="auto"/>
                    </w:rPr>
                  </w:pPr>
                  <w:bookmarkStart w:id="12" w:name="_Toc2581"/>
                  <w:r>
                    <w:rPr>
                      <w:color w:val="auto"/>
                      <w:szCs w:val="21"/>
                    </w:rPr>
                    <w:t>废气</w:t>
                  </w:r>
                  <w:bookmarkEnd w:id="12"/>
                </w:p>
              </w:tc>
              <w:tc>
                <w:tcPr>
                  <w:tcW w:w="885" w:type="dxa"/>
                  <w:vMerge w:val="restart"/>
                  <w:vAlign w:val="center"/>
                </w:tcPr>
                <w:p w14:paraId="696A1FFB">
                  <w:pPr>
                    <w:pStyle w:val="3"/>
                    <w:outlineLvl w:val="0"/>
                    <w:rPr>
                      <w:color w:val="auto"/>
                    </w:rPr>
                  </w:pPr>
                  <w:r>
                    <w:rPr>
                      <w:rFonts w:hint="eastAsia"/>
                      <w:color w:val="auto"/>
                    </w:rPr>
                    <w:t>颗粒物</w:t>
                  </w:r>
                </w:p>
              </w:tc>
              <w:tc>
                <w:tcPr>
                  <w:tcW w:w="1605" w:type="dxa"/>
                  <w:vAlign w:val="center"/>
                </w:tcPr>
                <w:p w14:paraId="6880A670">
                  <w:pPr>
                    <w:pStyle w:val="3"/>
                    <w:outlineLvl w:val="0"/>
                    <w:rPr>
                      <w:color w:val="auto"/>
                    </w:rPr>
                  </w:pPr>
                  <w:r>
                    <w:rPr>
                      <w:color w:val="auto"/>
                    </w:rPr>
                    <w:t>厂界</w:t>
                  </w:r>
                </w:p>
              </w:tc>
              <w:tc>
                <w:tcPr>
                  <w:tcW w:w="886" w:type="dxa"/>
                  <w:vMerge w:val="restart"/>
                  <w:vAlign w:val="center"/>
                </w:tcPr>
                <w:p w14:paraId="1F8843DB">
                  <w:pPr>
                    <w:pStyle w:val="3"/>
                    <w:outlineLvl w:val="0"/>
                    <w:rPr>
                      <w:color w:val="auto"/>
                    </w:rPr>
                  </w:pPr>
                  <w:r>
                    <w:rPr>
                      <w:rFonts w:hint="eastAsia"/>
                      <w:color w:val="auto"/>
                    </w:rPr>
                    <w:t>1次/年</w:t>
                  </w:r>
                </w:p>
              </w:tc>
              <w:tc>
                <w:tcPr>
                  <w:tcW w:w="4333" w:type="dxa"/>
                  <w:vMerge w:val="restart"/>
                  <w:vAlign w:val="center"/>
                </w:tcPr>
                <w:p w14:paraId="607EBF83">
                  <w:pPr>
                    <w:pStyle w:val="3"/>
                    <w:outlineLvl w:val="0"/>
                    <w:rPr>
                      <w:rFonts w:hint="eastAsia" w:eastAsia="宋体"/>
                      <w:color w:val="auto"/>
                      <w:lang w:eastAsia="zh-CN"/>
                    </w:rPr>
                  </w:pPr>
                  <w:r>
                    <w:rPr>
                      <w:rFonts w:hint="eastAsia"/>
                      <w:color w:val="auto"/>
                    </w:rPr>
                    <w:t>《排污许可申请与核发技术规范 总则》（HJ942-2018）</w:t>
                  </w:r>
                </w:p>
              </w:tc>
            </w:tr>
            <w:tr w14:paraId="738A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dxa"/>
                  <w:vMerge w:val="continue"/>
                  <w:vAlign w:val="center"/>
                </w:tcPr>
                <w:p w14:paraId="5EDE1EF4">
                  <w:pPr>
                    <w:pStyle w:val="3"/>
                    <w:outlineLvl w:val="0"/>
                    <w:rPr>
                      <w:color w:val="auto"/>
                      <w:szCs w:val="21"/>
                    </w:rPr>
                  </w:pPr>
                </w:p>
              </w:tc>
              <w:tc>
                <w:tcPr>
                  <w:tcW w:w="885" w:type="dxa"/>
                  <w:vMerge w:val="continue"/>
                  <w:vAlign w:val="center"/>
                </w:tcPr>
                <w:p w14:paraId="615E6CA7">
                  <w:pPr>
                    <w:pStyle w:val="3"/>
                    <w:outlineLvl w:val="0"/>
                    <w:rPr>
                      <w:rFonts w:hint="eastAsia"/>
                      <w:color w:val="auto"/>
                    </w:rPr>
                  </w:pPr>
                </w:p>
              </w:tc>
              <w:tc>
                <w:tcPr>
                  <w:tcW w:w="1605" w:type="dxa"/>
                  <w:vAlign w:val="center"/>
                </w:tcPr>
                <w:p w14:paraId="542F4AF1">
                  <w:pPr>
                    <w:pStyle w:val="3"/>
                    <w:outlineLvl w:val="0"/>
                    <w:rPr>
                      <w:rFonts w:hint="default" w:eastAsia="宋体"/>
                      <w:color w:val="auto"/>
                      <w:lang w:val="en-US" w:eastAsia="zh-CN"/>
                    </w:rPr>
                  </w:pPr>
                  <w:r>
                    <w:rPr>
                      <w:rFonts w:hint="eastAsia"/>
                      <w:color w:val="auto"/>
                      <w:lang w:val="en-US" w:eastAsia="zh-CN"/>
                    </w:rPr>
                    <w:t>DA004排气筒</w:t>
                  </w:r>
                </w:p>
              </w:tc>
              <w:tc>
                <w:tcPr>
                  <w:tcW w:w="886" w:type="dxa"/>
                  <w:vMerge w:val="continue"/>
                  <w:vAlign w:val="center"/>
                </w:tcPr>
                <w:p w14:paraId="793DBAC3">
                  <w:pPr>
                    <w:pStyle w:val="3"/>
                    <w:outlineLvl w:val="0"/>
                    <w:rPr>
                      <w:rFonts w:hint="default" w:eastAsia="宋体"/>
                      <w:color w:val="auto"/>
                      <w:lang w:val="en-US" w:eastAsia="zh-CN"/>
                    </w:rPr>
                  </w:pPr>
                </w:p>
              </w:tc>
              <w:tc>
                <w:tcPr>
                  <w:tcW w:w="4333" w:type="dxa"/>
                  <w:vMerge w:val="continue"/>
                  <w:vAlign w:val="center"/>
                </w:tcPr>
                <w:p w14:paraId="50F61C1C">
                  <w:pPr>
                    <w:pStyle w:val="3"/>
                    <w:outlineLvl w:val="0"/>
                    <w:rPr>
                      <w:rFonts w:hint="eastAsia"/>
                      <w:color w:val="auto"/>
                    </w:rPr>
                  </w:pPr>
                </w:p>
              </w:tc>
            </w:tr>
          </w:tbl>
          <w:p w14:paraId="665AC1D0">
            <w:pPr>
              <w:ind w:firstLine="0" w:firstLineChars="0"/>
              <w:rPr>
                <w:b/>
                <w:bCs/>
                <w:color w:val="auto"/>
              </w:rPr>
            </w:pPr>
            <w:r>
              <w:rPr>
                <w:rFonts w:hint="eastAsia"/>
                <w:b/>
                <w:bCs/>
                <w:color w:val="auto"/>
              </w:rPr>
              <w:t>2、废水</w:t>
            </w:r>
          </w:p>
          <w:p w14:paraId="140A72E5">
            <w:pPr>
              <w:pStyle w:val="5"/>
              <w:rPr>
                <w:rFonts w:ascii="宋体" w:hAnsi="宋体"/>
                <w:color w:val="auto"/>
              </w:rPr>
            </w:pPr>
            <w:r>
              <w:rPr>
                <w:rFonts w:hint="eastAsia"/>
                <w:color w:val="auto"/>
              </w:rPr>
              <w:t>2</w:t>
            </w:r>
            <w:r>
              <w:rPr>
                <w:color w:val="auto"/>
              </w:rPr>
              <w:t>.1</w:t>
            </w:r>
            <w:r>
              <w:rPr>
                <w:rFonts w:hint="eastAsia" w:ascii="宋体" w:hAnsi="宋体"/>
                <w:color w:val="auto"/>
              </w:rPr>
              <w:t>废水产生</w:t>
            </w:r>
          </w:p>
          <w:p w14:paraId="662A6B20">
            <w:pPr>
              <w:pStyle w:val="9"/>
              <w:spacing w:line="360" w:lineRule="auto"/>
              <w:ind w:firstLine="480"/>
              <w:rPr>
                <w:color w:val="auto"/>
                <w:szCs w:val="24"/>
              </w:rPr>
            </w:pPr>
            <w:r>
              <w:rPr>
                <w:rFonts w:hint="eastAsia"/>
                <w:color w:val="auto"/>
              </w:rPr>
              <w:t>厂区雨污分流制，</w:t>
            </w:r>
            <w:r>
              <w:rPr>
                <w:color w:val="auto"/>
              </w:rPr>
              <w:t>本项目</w:t>
            </w:r>
            <w:r>
              <w:rPr>
                <w:rFonts w:hint="eastAsia"/>
                <w:color w:val="auto"/>
              </w:rPr>
              <w:t>经隔油池处理的食堂废水汇同生活污水经化粪池处理后，吸粪车定期抽运；车辆冲洗废水、道路冲洗废水</w:t>
            </w:r>
            <w:r>
              <w:rPr>
                <w:rFonts w:hint="eastAsia"/>
                <w:color w:val="auto"/>
                <w:lang w:eastAsia="zh-CN"/>
              </w:rPr>
              <w:t>、</w:t>
            </w:r>
            <w:r>
              <w:rPr>
                <w:rFonts w:hint="eastAsia"/>
                <w:color w:val="auto"/>
                <w:lang w:val="en-US" w:eastAsia="zh-CN"/>
              </w:rPr>
              <w:t>设备冲洗废水</w:t>
            </w:r>
            <w:r>
              <w:rPr>
                <w:rFonts w:hint="eastAsia"/>
                <w:color w:val="auto"/>
              </w:rPr>
              <w:t>经二级沉淀池沉淀后，循环使用，不外排。</w:t>
            </w:r>
            <w:r>
              <w:rPr>
                <w:rFonts w:hint="eastAsia" w:cs="宋体"/>
                <w:color w:val="auto"/>
                <w:szCs w:val="24"/>
              </w:rPr>
              <w:t>废水污染物产生浓度参照</w:t>
            </w:r>
            <w:r>
              <w:rPr>
                <w:color w:val="auto"/>
              </w:rPr>
              <w:fldChar w:fldCharType="begin"/>
            </w:r>
            <w:r>
              <w:rPr>
                <w:color w:val="auto"/>
              </w:rPr>
              <w:instrText xml:space="preserve"> HYPERLINK "https://gf.1190119.com/list-1228.htm" </w:instrText>
            </w:r>
            <w:r>
              <w:rPr>
                <w:color w:val="auto"/>
              </w:rPr>
              <w:fldChar w:fldCharType="separate"/>
            </w:r>
            <w:r>
              <w:rPr>
                <w:rFonts w:hint="eastAsia" w:cs="宋体"/>
                <w:color w:val="auto"/>
                <w:szCs w:val="24"/>
              </w:rPr>
              <w:t>《建筑中水设计标准》</w:t>
            </w:r>
            <w:r>
              <w:rPr>
                <w:rFonts w:hint="eastAsia" w:cs="宋体"/>
                <w:color w:val="auto"/>
                <w:szCs w:val="24"/>
              </w:rPr>
              <w:fldChar w:fldCharType="end"/>
            </w:r>
            <w:r>
              <w:rPr>
                <w:rFonts w:hint="eastAsia" w:cs="宋体"/>
                <w:color w:val="auto"/>
                <w:szCs w:val="24"/>
              </w:rPr>
              <w:t>（GB50336-2018）表3.1.7办公楼、教学楼的排水污染物浓度，具体产排概况如下：</w:t>
            </w:r>
          </w:p>
          <w:p w14:paraId="0083A37E">
            <w:pPr>
              <w:spacing w:line="240" w:lineRule="auto"/>
              <w:ind w:firstLine="0" w:firstLineChars="0"/>
              <w:jc w:val="center"/>
              <w:rPr>
                <w:b/>
                <w:bCs/>
                <w:color w:val="auto"/>
              </w:rPr>
            </w:pPr>
            <w:r>
              <w:rPr>
                <w:b/>
                <w:color w:val="auto"/>
                <w:szCs w:val="32"/>
              </w:rPr>
              <w:t>表</w:t>
            </w:r>
            <w:r>
              <w:rPr>
                <w:rFonts w:hint="eastAsia"/>
                <w:b/>
                <w:color w:val="auto"/>
                <w:szCs w:val="32"/>
              </w:rPr>
              <w:t>4</w:t>
            </w:r>
            <w:r>
              <w:rPr>
                <w:b/>
                <w:color w:val="auto"/>
                <w:szCs w:val="32"/>
              </w:rPr>
              <w:t>-</w:t>
            </w:r>
            <w:r>
              <w:rPr>
                <w:rFonts w:hint="eastAsia"/>
                <w:b/>
                <w:color w:val="auto"/>
                <w:szCs w:val="32"/>
                <w:lang w:val="en-US" w:eastAsia="zh-CN"/>
              </w:rPr>
              <w:t>7</w:t>
            </w:r>
            <w:r>
              <w:rPr>
                <w:rFonts w:hint="eastAsia"/>
                <w:b/>
                <w:color w:val="auto"/>
                <w:szCs w:val="32"/>
              </w:rPr>
              <w:t xml:space="preserve">  </w:t>
            </w:r>
            <w:r>
              <w:rPr>
                <w:rFonts w:hint="eastAsia"/>
                <w:b/>
                <w:bCs/>
                <w:color w:val="auto"/>
              </w:rPr>
              <w:t>项目废水产排情况一览表</w:t>
            </w:r>
          </w:p>
          <w:tbl>
            <w:tblPr>
              <w:tblStyle w:val="27"/>
              <w:tblW w:w="8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036"/>
              <w:gridCol w:w="1213"/>
              <w:gridCol w:w="1346"/>
              <w:gridCol w:w="1291"/>
              <w:gridCol w:w="1098"/>
              <w:gridCol w:w="1537"/>
            </w:tblGrid>
            <w:tr w14:paraId="5BD5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3" w:type="dxa"/>
                  <w:vMerge w:val="restart"/>
                  <w:vAlign w:val="center"/>
                </w:tcPr>
                <w:p w14:paraId="51C6727E">
                  <w:pPr>
                    <w:pStyle w:val="3"/>
                    <w:outlineLvl w:val="0"/>
                    <w:rPr>
                      <w:b/>
                      <w:bCs/>
                      <w:color w:val="auto"/>
                    </w:rPr>
                  </w:pPr>
                  <w:r>
                    <w:rPr>
                      <w:b/>
                      <w:bCs/>
                      <w:color w:val="auto"/>
                    </w:rPr>
                    <w:t>废水种类</w:t>
                  </w:r>
                </w:p>
              </w:tc>
              <w:tc>
                <w:tcPr>
                  <w:tcW w:w="1036" w:type="dxa"/>
                  <w:vMerge w:val="restart"/>
                  <w:vAlign w:val="center"/>
                </w:tcPr>
                <w:p w14:paraId="44C0814C">
                  <w:pPr>
                    <w:pStyle w:val="3"/>
                    <w:outlineLvl w:val="0"/>
                    <w:rPr>
                      <w:b/>
                      <w:bCs/>
                      <w:color w:val="auto"/>
                    </w:rPr>
                  </w:pPr>
                  <w:r>
                    <w:rPr>
                      <w:b/>
                      <w:bCs/>
                      <w:color w:val="auto"/>
                    </w:rPr>
                    <w:t>污染物名称</w:t>
                  </w:r>
                </w:p>
              </w:tc>
              <w:tc>
                <w:tcPr>
                  <w:tcW w:w="2559" w:type="dxa"/>
                  <w:gridSpan w:val="2"/>
                  <w:vAlign w:val="center"/>
                </w:tcPr>
                <w:p w14:paraId="7294614E">
                  <w:pPr>
                    <w:pStyle w:val="3"/>
                    <w:outlineLvl w:val="0"/>
                    <w:rPr>
                      <w:b/>
                      <w:bCs/>
                      <w:color w:val="auto"/>
                    </w:rPr>
                  </w:pPr>
                  <w:r>
                    <w:rPr>
                      <w:b/>
                      <w:bCs/>
                      <w:color w:val="auto"/>
                    </w:rPr>
                    <w:t>产生情况</w:t>
                  </w:r>
                </w:p>
              </w:tc>
              <w:tc>
                <w:tcPr>
                  <w:tcW w:w="1291" w:type="dxa"/>
                  <w:vMerge w:val="restart"/>
                  <w:vAlign w:val="center"/>
                </w:tcPr>
                <w:p w14:paraId="45978765">
                  <w:pPr>
                    <w:pStyle w:val="3"/>
                    <w:outlineLvl w:val="0"/>
                    <w:rPr>
                      <w:b/>
                      <w:bCs/>
                      <w:color w:val="auto"/>
                    </w:rPr>
                  </w:pPr>
                  <w:r>
                    <w:rPr>
                      <w:b/>
                      <w:bCs/>
                      <w:color w:val="auto"/>
                    </w:rPr>
                    <w:t>处理措施</w:t>
                  </w:r>
                </w:p>
              </w:tc>
              <w:tc>
                <w:tcPr>
                  <w:tcW w:w="2635" w:type="dxa"/>
                  <w:gridSpan w:val="2"/>
                  <w:vAlign w:val="center"/>
                </w:tcPr>
                <w:p w14:paraId="46DD33B0">
                  <w:pPr>
                    <w:pStyle w:val="3"/>
                    <w:outlineLvl w:val="0"/>
                    <w:rPr>
                      <w:b/>
                      <w:bCs/>
                      <w:color w:val="auto"/>
                    </w:rPr>
                  </w:pPr>
                  <w:r>
                    <w:rPr>
                      <w:b/>
                      <w:bCs/>
                      <w:color w:val="auto"/>
                    </w:rPr>
                    <w:t>排放情况</w:t>
                  </w:r>
                </w:p>
              </w:tc>
            </w:tr>
            <w:tr w14:paraId="347F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3" w:type="dxa"/>
                  <w:vMerge w:val="continue"/>
                  <w:vAlign w:val="center"/>
                </w:tcPr>
                <w:p w14:paraId="60890941">
                  <w:pPr>
                    <w:pStyle w:val="3"/>
                    <w:outlineLvl w:val="0"/>
                    <w:rPr>
                      <w:b/>
                      <w:bCs/>
                      <w:color w:val="auto"/>
                    </w:rPr>
                  </w:pPr>
                </w:p>
              </w:tc>
              <w:tc>
                <w:tcPr>
                  <w:tcW w:w="1036" w:type="dxa"/>
                  <w:vMerge w:val="continue"/>
                  <w:vAlign w:val="center"/>
                </w:tcPr>
                <w:p w14:paraId="2155ADD3">
                  <w:pPr>
                    <w:pStyle w:val="3"/>
                    <w:outlineLvl w:val="0"/>
                    <w:rPr>
                      <w:b/>
                      <w:bCs/>
                      <w:color w:val="auto"/>
                    </w:rPr>
                  </w:pPr>
                </w:p>
              </w:tc>
              <w:tc>
                <w:tcPr>
                  <w:tcW w:w="1213" w:type="dxa"/>
                  <w:vAlign w:val="center"/>
                </w:tcPr>
                <w:p w14:paraId="1BB47F35">
                  <w:pPr>
                    <w:pStyle w:val="3"/>
                    <w:outlineLvl w:val="0"/>
                    <w:rPr>
                      <w:b/>
                      <w:bCs/>
                      <w:color w:val="auto"/>
                    </w:rPr>
                  </w:pPr>
                  <w:r>
                    <w:rPr>
                      <w:b/>
                      <w:bCs/>
                      <w:color w:val="auto"/>
                    </w:rPr>
                    <w:t>浓度（mg/L）</w:t>
                  </w:r>
                </w:p>
              </w:tc>
              <w:tc>
                <w:tcPr>
                  <w:tcW w:w="1346" w:type="dxa"/>
                  <w:vAlign w:val="center"/>
                </w:tcPr>
                <w:p w14:paraId="0A40F7E3">
                  <w:pPr>
                    <w:pStyle w:val="3"/>
                    <w:outlineLvl w:val="0"/>
                    <w:rPr>
                      <w:b/>
                      <w:bCs/>
                      <w:color w:val="auto"/>
                    </w:rPr>
                  </w:pPr>
                  <w:r>
                    <w:rPr>
                      <w:b/>
                      <w:bCs/>
                      <w:color w:val="auto"/>
                    </w:rPr>
                    <w:t>产生量（m</w:t>
                  </w:r>
                  <w:r>
                    <w:rPr>
                      <w:b/>
                      <w:bCs/>
                      <w:color w:val="auto"/>
                      <w:vertAlign w:val="superscript"/>
                    </w:rPr>
                    <w:t>3</w:t>
                  </w:r>
                  <w:r>
                    <w:rPr>
                      <w:b/>
                      <w:bCs/>
                      <w:color w:val="auto"/>
                    </w:rPr>
                    <w:t>/a）</w:t>
                  </w:r>
                </w:p>
              </w:tc>
              <w:tc>
                <w:tcPr>
                  <w:tcW w:w="1291" w:type="dxa"/>
                  <w:vMerge w:val="continue"/>
                  <w:vAlign w:val="center"/>
                </w:tcPr>
                <w:p w14:paraId="1B134733">
                  <w:pPr>
                    <w:pStyle w:val="3"/>
                    <w:outlineLvl w:val="0"/>
                    <w:rPr>
                      <w:b/>
                      <w:bCs/>
                      <w:color w:val="auto"/>
                    </w:rPr>
                  </w:pPr>
                </w:p>
              </w:tc>
              <w:tc>
                <w:tcPr>
                  <w:tcW w:w="1098" w:type="dxa"/>
                  <w:vAlign w:val="center"/>
                </w:tcPr>
                <w:p w14:paraId="019283A6">
                  <w:pPr>
                    <w:pStyle w:val="3"/>
                    <w:outlineLvl w:val="0"/>
                    <w:rPr>
                      <w:b/>
                      <w:bCs/>
                      <w:color w:val="auto"/>
                    </w:rPr>
                  </w:pPr>
                  <w:r>
                    <w:rPr>
                      <w:b/>
                      <w:bCs/>
                      <w:color w:val="auto"/>
                    </w:rPr>
                    <w:t>浓度（mg/L）</w:t>
                  </w:r>
                </w:p>
              </w:tc>
              <w:tc>
                <w:tcPr>
                  <w:tcW w:w="1537" w:type="dxa"/>
                  <w:vAlign w:val="center"/>
                </w:tcPr>
                <w:p w14:paraId="3DF68A41">
                  <w:pPr>
                    <w:pStyle w:val="3"/>
                    <w:outlineLvl w:val="0"/>
                    <w:rPr>
                      <w:b/>
                      <w:bCs/>
                      <w:color w:val="auto"/>
                    </w:rPr>
                  </w:pPr>
                  <w:r>
                    <w:rPr>
                      <w:b/>
                      <w:bCs/>
                      <w:color w:val="auto"/>
                    </w:rPr>
                    <w:t>排放量（m</w:t>
                  </w:r>
                  <w:r>
                    <w:rPr>
                      <w:b/>
                      <w:bCs/>
                      <w:color w:val="auto"/>
                      <w:vertAlign w:val="superscript"/>
                    </w:rPr>
                    <w:t>3</w:t>
                  </w:r>
                  <w:r>
                    <w:rPr>
                      <w:b/>
                      <w:bCs/>
                      <w:color w:val="auto"/>
                    </w:rPr>
                    <w:t>/a）</w:t>
                  </w:r>
                </w:p>
              </w:tc>
            </w:tr>
            <w:tr w14:paraId="146E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3" w:type="dxa"/>
                  <w:vMerge w:val="restart"/>
                  <w:vAlign w:val="center"/>
                </w:tcPr>
                <w:p w14:paraId="6ACCE864">
                  <w:pPr>
                    <w:pStyle w:val="3"/>
                    <w:outlineLvl w:val="0"/>
                    <w:rPr>
                      <w:color w:val="auto"/>
                    </w:rPr>
                  </w:pPr>
                  <w:r>
                    <w:rPr>
                      <w:color w:val="auto"/>
                    </w:rPr>
                    <w:t>生活污水</w:t>
                  </w:r>
                  <w:r>
                    <w:rPr>
                      <w:rFonts w:hint="eastAsia"/>
                      <w:color w:val="auto"/>
                      <w:lang w:eastAsia="zh-CN"/>
                    </w:rPr>
                    <w:t>、</w:t>
                  </w:r>
                  <w:r>
                    <w:rPr>
                      <w:rFonts w:hint="eastAsia"/>
                      <w:color w:val="auto"/>
                    </w:rPr>
                    <w:t>食堂废水</w:t>
                  </w:r>
                  <w:r>
                    <w:rPr>
                      <w:rFonts w:hint="eastAsia"/>
                      <w:color w:val="auto"/>
                      <w:lang w:val="en-US" w:eastAsia="zh-CN"/>
                    </w:rPr>
                    <w:t>316.8</w:t>
                  </w:r>
                  <w:r>
                    <w:rPr>
                      <w:color w:val="auto"/>
                    </w:rPr>
                    <w:t>m</w:t>
                  </w:r>
                  <w:r>
                    <w:rPr>
                      <w:color w:val="auto"/>
                      <w:vertAlign w:val="superscript"/>
                    </w:rPr>
                    <w:t>3</w:t>
                  </w:r>
                  <w:r>
                    <w:rPr>
                      <w:color w:val="auto"/>
                    </w:rPr>
                    <w:t>/a</w:t>
                  </w:r>
                </w:p>
              </w:tc>
              <w:tc>
                <w:tcPr>
                  <w:tcW w:w="1036" w:type="dxa"/>
                  <w:vAlign w:val="center"/>
                </w:tcPr>
                <w:p w14:paraId="0F36003B">
                  <w:pPr>
                    <w:pStyle w:val="3"/>
                    <w:outlineLvl w:val="0"/>
                    <w:rPr>
                      <w:color w:val="auto"/>
                    </w:rPr>
                  </w:pPr>
                  <w:r>
                    <w:rPr>
                      <w:color w:val="auto"/>
                    </w:rPr>
                    <w:t>COD</w:t>
                  </w:r>
                </w:p>
              </w:tc>
              <w:tc>
                <w:tcPr>
                  <w:tcW w:w="1213" w:type="dxa"/>
                  <w:vAlign w:val="center"/>
                </w:tcPr>
                <w:p w14:paraId="5DD29F9D">
                  <w:pPr>
                    <w:pStyle w:val="3"/>
                    <w:overflowPunct w:val="0"/>
                    <w:ind w:firstLine="0" w:firstLineChars="0"/>
                    <w:jc w:val="center"/>
                    <w:rPr>
                      <w:color w:val="auto"/>
                    </w:rPr>
                  </w:pPr>
                  <w:r>
                    <w:rPr>
                      <w:rFonts w:hint="eastAsia"/>
                      <w:color w:val="auto"/>
                    </w:rPr>
                    <w:t>340</w:t>
                  </w:r>
                </w:p>
              </w:tc>
              <w:tc>
                <w:tcPr>
                  <w:tcW w:w="1346" w:type="dxa"/>
                  <w:vAlign w:val="center"/>
                </w:tcPr>
                <w:p w14:paraId="30A6E1CD">
                  <w:pPr>
                    <w:pStyle w:val="3"/>
                    <w:outlineLvl w:val="0"/>
                    <w:rPr>
                      <w:rFonts w:hint="default" w:eastAsia="宋体"/>
                      <w:color w:val="auto"/>
                      <w:lang w:val="en-US" w:eastAsia="zh-CN"/>
                    </w:rPr>
                  </w:pPr>
                  <w:r>
                    <w:rPr>
                      <w:rFonts w:hint="eastAsia"/>
                      <w:color w:val="auto"/>
                      <w:lang w:val="en-US" w:eastAsia="zh-CN"/>
                    </w:rPr>
                    <w:t>0.108</w:t>
                  </w:r>
                </w:p>
              </w:tc>
              <w:tc>
                <w:tcPr>
                  <w:tcW w:w="1291" w:type="dxa"/>
                  <w:vMerge w:val="restart"/>
                  <w:vAlign w:val="center"/>
                </w:tcPr>
                <w:p w14:paraId="4ED15581">
                  <w:pPr>
                    <w:pStyle w:val="3"/>
                    <w:outlineLvl w:val="0"/>
                    <w:rPr>
                      <w:color w:val="auto"/>
                    </w:rPr>
                  </w:pPr>
                  <w:r>
                    <w:rPr>
                      <w:rFonts w:hint="eastAsia"/>
                      <w:color w:val="auto"/>
                    </w:rPr>
                    <w:t>经隔油池、化粪池处理后，吸粪车定期抽运</w:t>
                  </w:r>
                </w:p>
              </w:tc>
              <w:tc>
                <w:tcPr>
                  <w:tcW w:w="1098" w:type="dxa"/>
                  <w:vAlign w:val="center"/>
                </w:tcPr>
                <w:p w14:paraId="357A6D6B">
                  <w:pPr>
                    <w:pStyle w:val="3"/>
                    <w:ind w:firstLine="0" w:firstLineChars="0"/>
                    <w:outlineLvl w:val="0"/>
                    <w:rPr>
                      <w:color w:val="auto"/>
                    </w:rPr>
                  </w:pPr>
                  <w:r>
                    <w:rPr>
                      <w:color w:val="auto"/>
                    </w:rPr>
                    <w:t>300</w:t>
                  </w:r>
                </w:p>
              </w:tc>
              <w:tc>
                <w:tcPr>
                  <w:tcW w:w="1537" w:type="dxa"/>
                  <w:vAlign w:val="center"/>
                </w:tcPr>
                <w:p w14:paraId="644BC9FC">
                  <w:pPr>
                    <w:pStyle w:val="3"/>
                    <w:ind w:firstLine="0" w:firstLineChars="0"/>
                    <w:outlineLvl w:val="0"/>
                    <w:rPr>
                      <w:color w:val="auto"/>
                    </w:rPr>
                  </w:pPr>
                  <w:r>
                    <w:rPr>
                      <w:rFonts w:hint="eastAsia"/>
                      <w:color w:val="auto"/>
                      <w:lang w:val="en-US" w:eastAsia="zh-CN"/>
                    </w:rPr>
                    <w:t>0.095</w:t>
                  </w:r>
                </w:p>
              </w:tc>
            </w:tr>
            <w:tr w14:paraId="506A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3" w:type="dxa"/>
                  <w:vMerge w:val="continue"/>
                  <w:vAlign w:val="center"/>
                </w:tcPr>
                <w:p w14:paraId="603B5366">
                  <w:pPr>
                    <w:pStyle w:val="3"/>
                    <w:outlineLvl w:val="0"/>
                    <w:rPr>
                      <w:color w:val="auto"/>
                    </w:rPr>
                  </w:pPr>
                </w:p>
              </w:tc>
              <w:tc>
                <w:tcPr>
                  <w:tcW w:w="1036" w:type="dxa"/>
                  <w:vAlign w:val="center"/>
                </w:tcPr>
                <w:p w14:paraId="45B7A6F1">
                  <w:pPr>
                    <w:pStyle w:val="3"/>
                    <w:outlineLvl w:val="0"/>
                    <w:rPr>
                      <w:color w:val="auto"/>
                    </w:rPr>
                  </w:pPr>
                  <w:r>
                    <w:rPr>
                      <w:color w:val="auto"/>
                    </w:rPr>
                    <w:t>BOD</w:t>
                  </w:r>
                  <w:r>
                    <w:rPr>
                      <w:color w:val="auto"/>
                      <w:vertAlign w:val="subscript"/>
                    </w:rPr>
                    <w:t>5</w:t>
                  </w:r>
                </w:p>
              </w:tc>
              <w:tc>
                <w:tcPr>
                  <w:tcW w:w="1213" w:type="dxa"/>
                  <w:vAlign w:val="center"/>
                </w:tcPr>
                <w:p w14:paraId="22E427BF">
                  <w:pPr>
                    <w:pStyle w:val="3"/>
                    <w:overflowPunct w:val="0"/>
                    <w:ind w:firstLine="0" w:firstLineChars="0"/>
                    <w:jc w:val="center"/>
                    <w:rPr>
                      <w:color w:val="auto"/>
                    </w:rPr>
                  </w:pPr>
                  <w:r>
                    <w:rPr>
                      <w:rFonts w:hint="eastAsia"/>
                      <w:color w:val="auto"/>
                    </w:rPr>
                    <w:t>260</w:t>
                  </w:r>
                </w:p>
              </w:tc>
              <w:tc>
                <w:tcPr>
                  <w:tcW w:w="1346" w:type="dxa"/>
                  <w:vAlign w:val="center"/>
                </w:tcPr>
                <w:p w14:paraId="749F3181">
                  <w:pPr>
                    <w:pStyle w:val="3"/>
                    <w:outlineLvl w:val="0"/>
                    <w:rPr>
                      <w:rFonts w:hint="default" w:eastAsia="宋体"/>
                      <w:color w:val="auto"/>
                      <w:lang w:val="en-US" w:eastAsia="zh-CN"/>
                    </w:rPr>
                  </w:pPr>
                  <w:r>
                    <w:rPr>
                      <w:rFonts w:hint="eastAsia"/>
                      <w:color w:val="auto"/>
                      <w:lang w:val="en-US" w:eastAsia="zh-CN"/>
                    </w:rPr>
                    <w:t>0.082</w:t>
                  </w:r>
                </w:p>
              </w:tc>
              <w:tc>
                <w:tcPr>
                  <w:tcW w:w="1291" w:type="dxa"/>
                  <w:vMerge w:val="continue"/>
                  <w:vAlign w:val="center"/>
                </w:tcPr>
                <w:p w14:paraId="40F45D69">
                  <w:pPr>
                    <w:pStyle w:val="3"/>
                    <w:outlineLvl w:val="0"/>
                    <w:rPr>
                      <w:color w:val="auto"/>
                    </w:rPr>
                  </w:pPr>
                </w:p>
              </w:tc>
              <w:tc>
                <w:tcPr>
                  <w:tcW w:w="1098" w:type="dxa"/>
                  <w:vAlign w:val="center"/>
                </w:tcPr>
                <w:p w14:paraId="62BCF576">
                  <w:pPr>
                    <w:pStyle w:val="3"/>
                    <w:ind w:firstLine="0" w:firstLineChars="0"/>
                    <w:outlineLvl w:val="0"/>
                    <w:rPr>
                      <w:rFonts w:hint="default" w:eastAsia="宋体"/>
                      <w:color w:val="auto"/>
                      <w:lang w:val="en-US" w:eastAsia="zh-CN"/>
                    </w:rPr>
                  </w:pPr>
                  <w:r>
                    <w:rPr>
                      <w:rFonts w:hint="eastAsia"/>
                      <w:color w:val="auto"/>
                      <w:lang w:val="en-US" w:eastAsia="zh-CN"/>
                    </w:rPr>
                    <w:t>200</w:t>
                  </w:r>
                </w:p>
              </w:tc>
              <w:tc>
                <w:tcPr>
                  <w:tcW w:w="1537" w:type="dxa"/>
                  <w:vAlign w:val="center"/>
                </w:tcPr>
                <w:p w14:paraId="6BF568A3">
                  <w:pPr>
                    <w:pStyle w:val="3"/>
                    <w:ind w:firstLine="0" w:firstLineChars="0"/>
                    <w:outlineLvl w:val="0"/>
                    <w:rPr>
                      <w:rFonts w:hint="default"/>
                      <w:color w:val="auto"/>
                      <w:lang w:val="en-US"/>
                    </w:rPr>
                  </w:pPr>
                  <w:r>
                    <w:rPr>
                      <w:rFonts w:hint="eastAsia"/>
                      <w:color w:val="auto"/>
                      <w:lang w:val="en-US" w:eastAsia="zh-CN"/>
                    </w:rPr>
                    <w:t>0.063</w:t>
                  </w:r>
                </w:p>
              </w:tc>
            </w:tr>
            <w:tr w14:paraId="6150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3" w:type="dxa"/>
                  <w:vMerge w:val="continue"/>
                  <w:vAlign w:val="center"/>
                </w:tcPr>
                <w:p w14:paraId="4C414040">
                  <w:pPr>
                    <w:pStyle w:val="3"/>
                    <w:outlineLvl w:val="0"/>
                    <w:rPr>
                      <w:color w:val="auto"/>
                    </w:rPr>
                  </w:pPr>
                </w:p>
              </w:tc>
              <w:tc>
                <w:tcPr>
                  <w:tcW w:w="1036" w:type="dxa"/>
                  <w:vAlign w:val="center"/>
                </w:tcPr>
                <w:p w14:paraId="726F237C">
                  <w:pPr>
                    <w:pStyle w:val="3"/>
                    <w:outlineLvl w:val="0"/>
                    <w:rPr>
                      <w:color w:val="auto"/>
                    </w:rPr>
                  </w:pPr>
                  <w:r>
                    <w:rPr>
                      <w:color w:val="auto"/>
                    </w:rPr>
                    <w:t>SS</w:t>
                  </w:r>
                </w:p>
              </w:tc>
              <w:tc>
                <w:tcPr>
                  <w:tcW w:w="1213" w:type="dxa"/>
                  <w:vAlign w:val="center"/>
                </w:tcPr>
                <w:p w14:paraId="3AC46394">
                  <w:pPr>
                    <w:pStyle w:val="3"/>
                    <w:overflowPunct w:val="0"/>
                    <w:ind w:firstLine="0" w:firstLineChars="0"/>
                    <w:jc w:val="center"/>
                    <w:rPr>
                      <w:color w:val="auto"/>
                    </w:rPr>
                  </w:pPr>
                  <w:r>
                    <w:rPr>
                      <w:rFonts w:hint="eastAsia"/>
                      <w:color w:val="auto"/>
                    </w:rPr>
                    <w:t>260</w:t>
                  </w:r>
                </w:p>
              </w:tc>
              <w:tc>
                <w:tcPr>
                  <w:tcW w:w="1346" w:type="dxa"/>
                  <w:vAlign w:val="center"/>
                </w:tcPr>
                <w:p w14:paraId="5667391E">
                  <w:pPr>
                    <w:pStyle w:val="3"/>
                    <w:outlineLvl w:val="0"/>
                    <w:rPr>
                      <w:rFonts w:hint="default" w:eastAsia="宋体"/>
                      <w:color w:val="auto"/>
                      <w:lang w:val="en-US" w:eastAsia="zh-CN"/>
                    </w:rPr>
                  </w:pPr>
                  <w:r>
                    <w:rPr>
                      <w:rFonts w:hint="eastAsia"/>
                      <w:color w:val="auto"/>
                      <w:lang w:val="en-US" w:eastAsia="zh-CN"/>
                    </w:rPr>
                    <w:t>0.082</w:t>
                  </w:r>
                </w:p>
              </w:tc>
              <w:tc>
                <w:tcPr>
                  <w:tcW w:w="1291" w:type="dxa"/>
                  <w:vMerge w:val="continue"/>
                  <w:vAlign w:val="center"/>
                </w:tcPr>
                <w:p w14:paraId="46A5B5CF">
                  <w:pPr>
                    <w:pStyle w:val="3"/>
                    <w:outlineLvl w:val="0"/>
                    <w:rPr>
                      <w:color w:val="auto"/>
                    </w:rPr>
                  </w:pPr>
                </w:p>
              </w:tc>
              <w:tc>
                <w:tcPr>
                  <w:tcW w:w="1098" w:type="dxa"/>
                  <w:vAlign w:val="center"/>
                </w:tcPr>
                <w:p w14:paraId="698188CB">
                  <w:pPr>
                    <w:pStyle w:val="3"/>
                    <w:ind w:firstLine="0" w:firstLineChars="0"/>
                    <w:outlineLvl w:val="0"/>
                    <w:rPr>
                      <w:rFonts w:hint="default" w:eastAsia="宋体"/>
                      <w:color w:val="auto"/>
                      <w:lang w:val="en-US" w:eastAsia="zh-CN"/>
                    </w:rPr>
                  </w:pPr>
                  <w:r>
                    <w:rPr>
                      <w:rFonts w:hint="eastAsia"/>
                      <w:color w:val="auto"/>
                      <w:lang w:val="en-US" w:eastAsia="zh-CN"/>
                    </w:rPr>
                    <w:t>200</w:t>
                  </w:r>
                </w:p>
              </w:tc>
              <w:tc>
                <w:tcPr>
                  <w:tcW w:w="1537" w:type="dxa"/>
                  <w:vAlign w:val="center"/>
                </w:tcPr>
                <w:p w14:paraId="59DFA41A">
                  <w:pPr>
                    <w:pStyle w:val="3"/>
                    <w:ind w:firstLine="0" w:firstLineChars="0"/>
                    <w:outlineLvl w:val="0"/>
                    <w:rPr>
                      <w:color w:val="auto"/>
                    </w:rPr>
                  </w:pPr>
                  <w:r>
                    <w:rPr>
                      <w:rFonts w:hint="eastAsia"/>
                      <w:color w:val="auto"/>
                      <w:lang w:val="en-US" w:eastAsia="zh-CN"/>
                    </w:rPr>
                    <w:t>0.063</w:t>
                  </w:r>
                </w:p>
              </w:tc>
            </w:tr>
            <w:tr w14:paraId="2920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3" w:type="dxa"/>
                  <w:vMerge w:val="continue"/>
                  <w:vAlign w:val="center"/>
                </w:tcPr>
                <w:p w14:paraId="0A140C70">
                  <w:pPr>
                    <w:pStyle w:val="3"/>
                    <w:outlineLvl w:val="0"/>
                    <w:rPr>
                      <w:color w:val="auto"/>
                    </w:rPr>
                  </w:pPr>
                </w:p>
              </w:tc>
              <w:tc>
                <w:tcPr>
                  <w:tcW w:w="1036" w:type="dxa"/>
                  <w:vAlign w:val="center"/>
                </w:tcPr>
                <w:p w14:paraId="1C3B6D6A">
                  <w:pPr>
                    <w:pStyle w:val="3"/>
                    <w:outlineLvl w:val="0"/>
                    <w:rPr>
                      <w:color w:val="auto"/>
                    </w:rPr>
                  </w:pPr>
                  <w:r>
                    <w:rPr>
                      <w:color w:val="auto"/>
                    </w:rPr>
                    <w:t>氨氮</w:t>
                  </w:r>
                </w:p>
              </w:tc>
              <w:tc>
                <w:tcPr>
                  <w:tcW w:w="1213" w:type="dxa"/>
                  <w:vAlign w:val="center"/>
                </w:tcPr>
                <w:p w14:paraId="40948A5C">
                  <w:pPr>
                    <w:pStyle w:val="3"/>
                    <w:overflowPunct w:val="0"/>
                    <w:ind w:firstLine="0" w:firstLineChars="0"/>
                    <w:jc w:val="center"/>
                    <w:rPr>
                      <w:color w:val="auto"/>
                    </w:rPr>
                  </w:pPr>
                  <w:r>
                    <w:rPr>
                      <w:color w:val="auto"/>
                    </w:rPr>
                    <w:t>35</w:t>
                  </w:r>
                </w:p>
              </w:tc>
              <w:tc>
                <w:tcPr>
                  <w:tcW w:w="1346" w:type="dxa"/>
                  <w:vAlign w:val="center"/>
                </w:tcPr>
                <w:p w14:paraId="103E73CB">
                  <w:pPr>
                    <w:pStyle w:val="3"/>
                    <w:outlineLvl w:val="0"/>
                    <w:rPr>
                      <w:rFonts w:hint="default" w:eastAsia="宋体"/>
                      <w:color w:val="auto"/>
                      <w:lang w:val="en-US" w:eastAsia="zh-CN"/>
                    </w:rPr>
                  </w:pPr>
                  <w:r>
                    <w:rPr>
                      <w:rFonts w:hint="eastAsia"/>
                      <w:color w:val="auto"/>
                      <w:lang w:val="en-US" w:eastAsia="zh-CN"/>
                    </w:rPr>
                    <w:t>0.011</w:t>
                  </w:r>
                </w:p>
              </w:tc>
              <w:tc>
                <w:tcPr>
                  <w:tcW w:w="1291" w:type="dxa"/>
                  <w:vMerge w:val="continue"/>
                  <w:vAlign w:val="center"/>
                </w:tcPr>
                <w:p w14:paraId="6CE4E787">
                  <w:pPr>
                    <w:pStyle w:val="3"/>
                    <w:outlineLvl w:val="0"/>
                    <w:rPr>
                      <w:color w:val="auto"/>
                    </w:rPr>
                  </w:pPr>
                </w:p>
              </w:tc>
              <w:tc>
                <w:tcPr>
                  <w:tcW w:w="1098" w:type="dxa"/>
                  <w:vAlign w:val="center"/>
                </w:tcPr>
                <w:p w14:paraId="68005D69">
                  <w:pPr>
                    <w:pStyle w:val="3"/>
                    <w:ind w:firstLine="0" w:firstLineChars="0"/>
                    <w:outlineLvl w:val="0"/>
                    <w:rPr>
                      <w:color w:val="auto"/>
                    </w:rPr>
                  </w:pPr>
                  <w:r>
                    <w:rPr>
                      <w:color w:val="auto"/>
                    </w:rPr>
                    <w:t>35</w:t>
                  </w:r>
                </w:p>
              </w:tc>
              <w:tc>
                <w:tcPr>
                  <w:tcW w:w="1537" w:type="dxa"/>
                  <w:vAlign w:val="center"/>
                </w:tcPr>
                <w:p w14:paraId="78864206">
                  <w:pPr>
                    <w:pStyle w:val="3"/>
                    <w:ind w:firstLine="0" w:firstLineChars="0"/>
                    <w:outlineLvl w:val="0"/>
                    <w:rPr>
                      <w:color w:val="auto"/>
                    </w:rPr>
                  </w:pPr>
                  <w:r>
                    <w:rPr>
                      <w:rFonts w:hint="eastAsia"/>
                      <w:color w:val="auto"/>
                      <w:lang w:val="en-US" w:eastAsia="zh-CN"/>
                    </w:rPr>
                    <w:t>0.011</w:t>
                  </w:r>
                </w:p>
              </w:tc>
            </w:tr>
            <w:tr w14:paraId="1CA1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3" w:type="dxa"/>
                  <w:vMerge w:val="continue"/>
                  <w:vAlign w:val="center"/>
                </w:tcPr>
                <w:p w14:paraId="44379CE2">
                  <w:pPr>
                    <w:pStyle w:val="3"/>
                    <w:outlineLvl w:val="0"/>
                    <w:rPr>
                      <w:color w:val="auto"/>
                    </w:rPr>
                  </w:pPr>
                </w:p>
              </w:tc>
              <w:tc>
                <w:tcPr>
                  <w:tcW w:w="1036" w:type="dxa"/>
                  <w:vAlign w:val="center"/>
                </w:tcPr>
                <w:p w14:paraId="1FC4F56B">
                  <w:pPr>
                    <w:pStyle w:val="3"/>
                    <w:outlineLvl w:val="0"/>
                    <w:rPr>
                      <w:color w:val="auto"/>
                    </w:rPr>
                  </w:pPr>
                  <w:r>
                    <w:rPr>
                      <w:rFonts w:hint="eastAsia"/>
                      <w:color w:val="auto"/>
                    </w:rPr>
                    <w:t>动植物油</w:t>
                  </w:r>
                </w:p>
              </w:tc>
              <w:tc>
                <w:tcPr>
                  <w:tcW w:w="1213" w:type="dxa"/>
                  <w:vAlign w:val="center"/>
                </w:tcPr>
                <w:p w14:paraId="682C1CFA">
                  <w:pPr>
                    <w:pStyle w:val="3"/>
                    <w:outlineLvl w:val="0"/>
                    <w:rPr>
                      <w:color w:val="auto"/>
                    </w:rPr>
                  </w:pPr>
                  <w:r>
                    <w:rPr>
                      <w:rFonts w:hint="eastAsia"/>
                      <w:color w:val="auto"/>
                    </w:rPr>
                    <w:t>30</w:t>
                  </w:r>
                </w:p>
              </w:tc>
              <w:tc>
                <w:tcPr>
                  <w:tcW w:w="1346" w:type="dxa"/>
                  <w:vAlign w:val="center"/>
                </w:tcPr>
                <w:p w14:paraId="22118B71">
                  <w:pPr>
                    <w:pStyle w:val="3"/>
                    <w:outlineLvl w:val="0"/>
                    <w:rPr>
                      <w:rFonts w:hint="default" w:eastAsia="宋体"/>
                      <w:color w:val="auto"/>
                      <w:lang w:val="en-US" w:eastAsia="zh-CN"/>
                    </w:rPr>
                  </w:pPr>
                  <w:r>
                    <w:rPr>
                      <w:rFonts w:hint="eastAsia"/>
                      <w:color w:val="auto"/>
                      <w:lang w:val="en-US" w:eastAsia="zh-CN"/>
                    </w:rPr>
                    <w:t>0.010</w:t>
                  </w:r>
                </w:p>
              </w:tc>
              <w:tc>
                <w:tcPr>
                  <w:tcW w:w="1291" w:type="dxa"/>
                  <w:vMerge w:val="continue"/>
                  <w:vAlign w:val="center"/>
                </w:tcPr>
                <w:p w14:paraId="39A8CF05">
                  <w:pPr>
                    <w:pStyle w:val="3"/>
                    <w:outlineLvl w:val="0"/>
                    <w:rPr>
                      <w:color w:val="auto"/>
                    </w:rPr>
                  </w:pPr>
                </w:p>
              </w:tc>
              <w:tc>
                <w:tcPr>
                  <w:tcW w:w="1098" w:type="dxa"/>
                  <w:vAlign w:val="center"/>
                </w:tcPr>
                <w:p w14:paraId="5EC08ACA">
                  <w:pPr>
                    <w:pStyle w:val="3"/>
                    <w:ind w:firstLine="0" w:firstLineChars="0"/>
                    <w:outlineLvl w:val="0"/>
                    <w:rPr>
                      <w:color w:val="auto"/>
                    </w:rPr>
                  </w:pPr>
                  <w:r>
                    <w:rPr>
                      <w:rFonts w:hint="eastAsia"/>
                      <w:color w:val="auto"/>
                    </w:rPr>
                    <w:t>30</w:t>
                  </w:r>
                </w:p>
              </w:tc>
              <w:tc>
                <w:tcPr>
                  <w:tcW w:w="1537" w:type="dxa"/>
                  <w:vAlign w:val="center"/>
                </w:tcPr>
                <w:p w14:paraId="6A5A72C0">
                  <w:pPr>
                    <w:pStyle w:val="3"/>
                    <w:ind w:firstLine="0" w:firstLineChars="0"/>
                    <w:outlineLvl w:val="0"/>
                    <w:rPr>
                      <w:color w:val="auto"/>
                    </w:rPr>
                  </w:pPr>
                  <w:r>
                    <w:rPr>
                      <w:rFonts w:hint="eastAsia"/>
                      <w:color w:val="auto"/>
                      <w:lang w:val="en-US" w:eastAsia="zh-CN"/>
                    </w:rPr>
                    <w:t>0.010</w:t>
                  </w:r>
                </w:p>
              </w:tc>
            </w:tr>
            <w:tr w14:paraId="685D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3" w:type="dxa"/>
                  <w:vMerge w:val="continue"/>
                  <w:vAlign w:val="center"/>
                </w:tcPr>
                <w:p w14:paraId="7A1AC303">
                  <w:pPr>
                    <w:pStyle w:val="3"/>
                    <w:outlineLvl w:val="0"/>
                    <w:rPr>
                      <w:color w:val="auto"/>
                    </w:rPr>
                  </w:pPr>
                </w:p>
              </w:tc>
              <w:tc>
                <w:tcPr>
                  <w:tcW w:w="1036" w:type="dxa"/>
                  <w:vAlign w:val="center"/>
                </w:tcPr>
                <w:p w14:paraId="4788837E">
                  <w:pPr>
                    <w:pStyle w:val="3"/>
                    <w:outlineLvl w:val="0"/>
                    <w:rPr>
                      <w:color w:val="auto"/>
                    </w:rPr>
                  </w:pPr>
                  <w:r>
                    <w:rPr>
                      <w:color w:val="auto"/>
                    </w:rPr>
                    <w:t>粪大肠杆菌</w:t>
                  </w:r>
                </w:p>
              </w:tc>
              <w:tc>
                <w:tcPr>
                  <w:tcW w:w="1213" w:type="dxa"/>
                  <w:vAlign w:val="center"/>
                </w:tcPr>
                <w:p w14:paraId="42596759">
                  <w:pPr>
                    <w:pStyle w:val="3"/>
                    <w:outlineLvl w:val="0"/>
                    <w:rPr>
                      <w:color w:val="auto"/>
                    </w:rPr>
                  </w:pPr>
                  <w:r>
                    <w:rPr>
                      <w:color w:val="auto"/>
                    </w:rPr>
                    <w:t>3×10</w:t>
                  </w:r>
                  <w:r>
                    <w:rPr>
                      <w:color w:val="auto"/>
                      <w:vertAlign w:val="superscript"/>
                    </w:rPr>
                    <w:t>8</w:t>
                  </w:r>
                  <w:r>
                    <w:rPr>
                      <w:color w:val="auto"/>
                    </w:rPr>
                    <w:t>MPN/L</w:t>
                  </w:r>
                </w:p>
              </w:tc>
              <w:tc>
                <w:tcPr>
                  <w:tcW w:w="1346" w:type="dxa"/>
                  <w:vAlign w:val="center"/>
                </w:tcPr>
                <w:p w14:paraId="0E45ABAC">
                  <w:pPr>
                    <w:pStyle w:val="3"/>
                    <w:outlineLvl w:val="0"/>
                    <w:rPr>
                      <w:color w:val="auto"/>
                    </w:rPr>
                  </w:pPr>
                  <w:r>
                    <w:rPr>
                      <w:rFonts w:hint="eastAsia"/>
                      <w:color w:val="auto"/>
                      <w:lang w:val="en-US" w:eastAsia="zh-CN"/>
                    </w:rPr>
                    <w:t>9.504</w:t>
                  </w:r>
                  <w:r>
                    <w:rPr>
                      <w:color w:val="auto"/>
                    </w:rPr>
                    <w:t>×10</w:t>
                  </w:r>
                  <w:r>
                    <w:rPr>
                      <w:color w:val="auto"/>
                      <w:vertAlign w:val="superscript"/>
                    </w:rPr>
                    <w:t>1</w:t>
                  </w:r>
                  <w:r>
                    <w:rPr>
                      <w:rFonts w:hint="eastAsia"/>
                      <w:color w:val="auto"/>
                      <w:vertAlign w:val="superscript"/>
                      <w:lang w:val="en-US" w:eastAsia="zh-CN"/>
                    </w:rPr>
                    <w:t>3</w:t>
                  </w:r>
                  <w:r>
                    <w:rPr>
                      <w:color w:val="auto"/>
                    </w:rPr>
                    <w:t>MPN/L</w:t>
                  </w:r>
                </w:p>
              </w:tc>
              <w:tc>
                <w:tcPr>
                  <w:tcW w:w="1291" w:type="dxa"/>
                  <w:vMerge w:val="continue"/>
                  <w:vAlign w:val="center"/>
                </w:tcPr>
                <w:p w14:paraId="6B6F94E5">
                  <w:pPr>
                    <w:pStyle w:val="3"/>
                    <w:outlineLvl w:val="0"/>
                    <w:rPr>
                      <w:color w:val="auto"/>
                    </w:rPr>
                  </w:pPr>
                </w:p>
              </w:tc>
              <w:tc>
                <w:tcPr>
                  <w:tcW w:w="1098" w:type="dxa"/>
                  <w:vAlign w:val="center"/>
                </w:tcPr>
                <w:p w14:paraId="7E9C9ADA">
                  <w:pPr>
                    <w:pStyle w:val="3"/>
                    <w:ind w:firstLine="0" w:firstLineChars="0"/>
                    <w:outlineLvl w:val="0"/>
                    <w:rPr>
                      <w:color w:val="auto"/>
                    </w:rPr>
                  </w:pPr>
                  <w:r>
                    <w:rPr>
                      <w:color w:val="auto"/>
                    </w:rPr>
                    <w:t>3×10</w:t>
                  </w:r>
                  <w:r>
                    <w:rPr>
                      <w:color w:val="auto"/>
                      <w:vertAlign w:val="superscript"/>
                    </w:rPr>
                    <w:t>8</w:t>
                  </w:r>
                  <w:r>
                    <w:rPr>
                      <w:color w:val="auto"/>
                    </w:rPr>
                    <w:t>MPN/L</w:t>
                  </w:r>
                </w:p>
              </w:tc>
              <w:tc>
                <w:tcPr>
                  <w:tcW w:w="1537" w:type="dxa"/>
                  <w:vAlign w:val="center"/>
                </w:tcPr>
                <w:p w14:paraId="1FCF2349">
                  <w:pPr>
                    <w:pStyle w:val="3"/>
                    <w:ind w:firstLine="0" w:firstLineChars="0"/>
                    <w:outlineLvl w:val="0"/>
                    <w:rPr>
                      <w:color w:val="auto"/>
                    </w:rPr>
                  </w:pPr>
                  <w:r>
                    <w:rPr>
                      <w:rFonts w:hint="eastAsia"/>
                      <w:color w:val="auto"/>
                      <w:lang w:val="en-US" w:eastAsia="zh-CN"/>
                    </w:rPr>
                    <w:t>9.504</w:t>
                  </w:r>
                  <w:r>
                    <w:rPr>
                      <w:color w:val="auto"/>
                    </w:rPr>
                    <w:t>×10</w:t>
                  </w:r>
                  <w:r>
                    <w:rPr>
                      <w:color w:val="auto"/>
                      <w:vertAlign w:val="superscript"/>
                    </w:rPr>
                    <w:t>1</w:t>
                  </w:r>
                  <w:r>
                    <w:rPr>
                      <w:rFonts w:hint="eastAsia"/>
                      <w:color w:val="auto"/>
                      <w:vertAlign w:val="superscript"/>
                      <w:lang w:val="en-US" w:eastAsia="zh-CN"/>
                    </w:rPr>
                    <w:t>3</w:t>
                  </w:r>
                  <w:r>
                    <w:rPr>
                      <w:color w:val="auto"/>
                    </w:rPr>
                    <w:t>MPN/L</w:t>
                  </w:r>
                </w:p>
              </w:tc>
            </w:tr>
          </w:tbl>
          <w:p w14:paraId="6A223952">
            <w:pPr>
              <w:pStyle w:val="9"/>
              <w:spacing w:line="360" w:lineRule="auto"/>
              <w:ind w:firstLine="0" w:firstLineChars="0"/>
              <w:rPr>
                <w:b/>
                <w:bCs/>
                <w:color w:val="auto"/>
              </w:rPr>
            </w:pPr>
            <w:r>
              <w:rPr>
                <w:rFonts w:hint="eastAsia"/>
                <w:b/>
                <w:bCs/>
                <w:color w:val="auto"/>
              </w:rPr>
              <w:t>2.2</w:t>
            </w:r>
            <w:r>
              <w:rPr>
                <w:b/>
                <w:bCs/>
                <w:color w:val="auto"/>
              </w:rPr>
              <w:t>化粪池</w:t>
            </w:r>
            <w:r>
              <w:rPr>
                <w:rFonts w:hint="eastAsia"/>
                <w:b/>
                <w:bCs/>
                <w:color w:val="auto"/>
              </w:rPr>
              <w:t>依托可行性分析</w:t>
            </w:r>
          </w:p>
          <w:p w14:paraId="2AFC0381">
            <w:pPr>
              <w:pStyle w:val="10"/>
              <w:rPr>
                <w:color w:val="auto"/>
              </w:rPr>
            </w:pPr>
            <w:r>
              <w:rPr>
                <w:rFonts w:hint="eastAsia"/>
                <w:color w:val="auto"/>
              </w:rPr>
              <w:t>本项目现已建设</w:t>
            </w:r>
            <w:r>
              <w:rPr>
                <w:color w:val="auto"/>
              </w:rPr>
              <w:t>化粪池收集、预处理生活污水。化粪池是一种利用沉淀和厌氧发酵的原理，去除生活污水中悬浮性有机物的处理设施。三格式化粪池由相</w:t>
            </w:r>
            <w:r>
              <w:rPr>
                <w:rFonts w:hint="eastAsia"/>
                <w:lang w:val="en-US" w:eastAsia="zh-CN"/>
              </w:rPr>
              <w:t>连</w:t>
            </w:r>
            <w:r>
              <w:rPr>
                <w:color w:val="auto"/>
              </w:rPr>
              <w:t>的三个池子组成，中间由过粪管联通，主要是利用中层过粪和寄生虫卵比重大于一般混合液比重而易于沉淀的原理，粪便在池内经过30天以上的发酵分解，中层粪液依次由1池流至3池，以达到沉淀或杀灭粪便中寄生虫卵和肠道致病菌的目的。</w:t>
            </w:r>
            <w:r>
              <w:rPr>
                <w:rFonts w:hint="eastAsia"/>
                <w:color w:val="auto"/>
                <w:lang w:val="en-US" w:eastAsia="zh-CN"/>
              </w:rPr>
              <w:t>现有厂区化粪池</w:t>
            </w:r>
            <w:r>
              <w:rPr>
                <w:rFonts w:hint="eastAsia"/>
                <w:color w:val="auto"/>
              </w:rPr>
              <w:t>容积</w:t>
            </w:r>
            <w:r>
              <w:rPr>
                <w:rFonts w:hint="eastAsia"/>
                <w:color w:val="auto"/>
                <w:lang w:val="en-US" w:eastAsia="zh-CN"/>
              </w:rPr>
              <w:t>15</w:t>
            </w:r>
            <w:r>
              <w:rPr>
                <w:rFonts w:hint="eastAsia"/>
                <w:color w:val="auto"/>
              </w:rPr>
              <w:t>m</w:t>
            </w:r>
            <w:r>
              <w:rPr>
                <w:rFonts w:hint="eastAsia"/>
                <w:color w:val="auto"/>
                <w:vertAlign w:val="superscript"/>
              </w:rPr>
              <w:t>3</w:t>
            </w:r>
            <w:r>
              <w:rPr>
                <w:rFonts w:hint="eastAsia"/>
                <w:color w:val="auto"/>
              </w:rPr>
              <w:t>，扩建项目建成后，全厂生活污水</w:t>
            </w:r>
            <w:r>
              <w:rPr>
                <w:rFonts w:hint="eastAsia"/>
                <w:color w:val="auto"/>
                <w:lang w:eastAsia="zh-CN"/>
              </w:rPr>
              <w:t>、</w:t>
            </w:r>
            <w:r>
              <w:rPr>
                <w:rFonts w:hint="eastAsia"/>
                <w:color w:val="auto"/>
                <w:lang w:val="en-US" w:eastAsia="zh-CN"/>
              </w:rPr>
              <w:t>食堂废水</w:t>
            </w:r>
            <w:r>
              <w:rPr>
                <w:rFonts w:hint="eastAsia"/>
                <w:color w:val="auto"/>
              </w:rPr>
              <w:t>产生量为</w:t>
            </w:r>
            <w:r>
              <w:rPr>
                <w:rFonts w:hint="eastAsia"/>
                <w:color w:val="auto"/>
                <w:lang w:val="en-US" w:eastAsia="zh-CN"/>
              </w:rPr>
              <w:t>1.961</w:t>
            </w:r>
            <w:r>
              <w:rPr>
                <w:rFonts w:hint="eastAsia"/>
                <w:color w:val="auto"/>
              </w:rPr>
              <w:t>m</w:t>
            </w:r>
            <w:r>
              <w:rPr>
                <w:rFonts w:hint="eastAsia"/>
                <w:color w:val="auto"/>
                <w:vertAlign w:val="superscript"/>
              </w:rPr>
              <w:t>3</w:t>
            </w:r>
            <w:r>
              <w:rPr>
                <w:rFonts w:hint="eastAsia"/>
                <w:color w:val="auto"/>
              </w:rPr>
              <w:t>/d，足够承纳拟建项目</w:t>
            </w:r>
            <w:r>
              <w:rPr>
                <w:rFonts w:hint="eastAsia"/>
                <w:color w:val="auto"/>
                <w:lang w:val="en-US" w:eastAsia="zh-CN"/>
              </w:rPr>
              <w:t>7</w:t>
            </w:r>
            <w:r>
              <w:rPr>
                <w:rFonts w:hint="eastAsia"/>
                <w:color w:val="auto"/>
              </w:rPr>
              <w:t>天</w:t>
            </w:r>
            <w:r>
              <w:rPr>
                <w:color w:val="auto"/>
              </w:rPr>
              <w:t>（</w:t>
            </w:r>
            <w:r>
              <w:rPr>
                <w:rFonts w:hint="eastAsia"/>
                <w:color w:val="auto"/>
                <w:lang w:val="en-US" w:eastAsia="zh-CN"/>
              </w:rPr>
              <w:t>13.727</w:t>
            </w:r>
            <w:r>
              <w:rPr>
                <w:rFonts w:hint="eastAsia"/>
                <w:color w:val="auto"/>
              </w:rPr>
              <w:t>m</w:t>
            </w:r>
            <w:r>
              <w:rPr>
                <w:rFonts w:hint="eastAsia"/>
                <w:color w:val="auto"/>
                <w:vertAlign w:val="superscript"/>
              </w:rPr>
              <w:t>3</w:t>
            </w:r>
            <w:r>
              <w:rPr>
                <w:color w:val="auto"/>
              </w:rPr>
              <w:t>）</w:t>
            </w:r>
            <w:r>
              <w:rPr>
                <w:rFonts w:hint="eastAsia"/>
                <w:color w:val="auto"/>
              </w:rPr>
              <w:t>的生活污水</w:t>
            </w:r>
            <w:r>
              <w:rPr>
                <w:rFonts w:hint="eastAsia"/>
                <w:color w:val="auto"/>
                <w:lang w:eastAsia="zh-CN"/>
              </w:rPr>
              <w:t>、</w:t>
            </w:r>
            <w:r>
              <w:rPr>
                <w:rFonts w:hint="eastAsia"/>
                <w:color w:val="auto"/>
                <w:lang w:val="en-US" w:eastAsia="zh-CN"/>
              </w:rPr>
              <w:t>食堂废水</w:t>
            </w:r>
            <w:r>
              <w:rPr>
                <w:rFonts w:hint="eastAsia"/>
                <w:color w:val="auto"/>
              </w:rPr>
              <w:t>，</w:t>
            </w:r>
            <w:r>
              <w:rPr>
                <w:color w:val="auto"/>
              </w:rPr>
              <w:t>本项目</w:t>
            </w:r>
            <w:r>
              <w:rPr>
                <w:rFonts w:hint="eastAsia"/>
                <w:color w:val="auto"/>
              </w:rPr>
              <w:t>经隔油池处理的食堂废水汇同生活污水经化粪池处理后，吸粪车定期抽运；车辆冲洗废水、道路冲洗废水</w:t>
            </w:r>
            <w:r>
              <w:rPr>
                <w:rFonts w:hint="eastAsia"/>
                <w:color w:val="auto"/>
                <w:lang w:eastAsia="zh-CN"/>
              </w:rPr>
              <w:t>、</w:t>
            </w:r>
            <w:r>
              <w:rPr>
                <w:rFonts w:hint="eastAsia"/>
                <w:color w:val="auto"/>
                <w:lang w:val="en-US" w:eastAsia="zh-CN"/>
              </w:rPr>
              <w:t>设备冲洗废水</w:t>
            </w:r>
            <w:r>
              <w:rPr>
                <w:rFonts w:hint="eastAsia"/>
                <w:color w:val="auto"/>
              </w:rPr>
              <w:t>经二级沉淀池沉淀后，循环使用，不外排。因此，</w:t>
            </w:r>
            <w:r>
              <w:rPr>
                <w:color w:val="auto"/>
              </w:rPr>
              <w:t>本项目</w:t>
            </w:r>
            <w:r>
              <w:rPr>
                <w:rFonts w:hint="eastAsia"/>
                <w:color w:val="auto"/>
              </w:rPr>
              <w:t>依托化粪池预处理生活污水的措施是可行的</w:t>
            </w:r>
            <w:r>
              <w:rPr>
                <w:color w:val="auto"/>
              </w:rPr>
              <w:t>。</w:t>
            </w:r>
          </w:p>
          <w:p w14:paraId="7F55A2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rPr>
            </w:pPr>
            <w:r>
              <w:rPr>
                <w:rFonts w:hint="default"/>
                <w:color w:val="auto"/>
              </w:rPr>
              <w:drawing>
                <wp:inline distT="0" distB="0" distL="114300" distR="114300">
                  <wp:extent cx="4478655" cy="1881505"/>
                  <wp:effectExtent l="0" t="0" r="1714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4478655" cy="1881505"/>
                          </a:xfrm>
                          <a:prstGeom prst="rect">
                            <a:avLst/>
                          </a:prstGeom>
                          <a:noFill/>
                          <a:ln>
                            <a:noFill/>
                          </a:ln>
                        </pic:spPr>
                      </pic:pic>
                    </a:graphicData>
                  </a:graphic>
                </wp:inline>
              </w:drawing>
            </w:r>
          </w:p>
          <w:p w14:paraId="4BA3977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b/>
                <w:bCs/>
                <w:color w:val="auto"/>
                <w:sz w:val="24"/>
                <w:szCs w:val="24"/>
                <w:lang w:val="en-US" w:eastAsia="zh-CN"/>
              </w:rPr>
            </w:pPr>
            <w:r>
              <w:rPr>
                <w:rFonts w:hint="eastAsia"/>
                <w:b/>
                <w:bCs/>
                <w:color w:val="auto"/>
                <w:sz w:val="24"/>
                <w:szCs w:val="24"/>
                <w:lang w:val="en-US" w:eastAsia="zh-CN"/>
              </w:rPr>
              <w:t>图4-1  化粪池示意图</w:t>
            </w:r>
          </w:p>
          <w:p w14:paraId="696C001A">
            <w:pPr>
              <w:ind w:firstLine="0" w:firstLineChars="0"/>
              <w:rPr>
                <w:b/>
                <w:bCs/>
                <w:color w:val="auto"/>
              </w:rPr>
            </w:pPr>
            <w:r>
              <w:rPr>
                <w:rFonts w:hint="eastAsia"/>
                <w:b/>
                <w:bCs/>
                <w:color w:val="auto"/>
              </w:rPr>
              <w:t>2.3吸粪可行性分析</w:t>
            </w:r>
          </w:p>
          <w:p w14:paraId="7A04A948">
            <w:pPr>
              <w:tabs>
                <w:tab w:val="left" w:pos="2340"/>
                <w:tab w:val="left" w:pos="4320"/>
              </w:tabs>
              <w:ind w:firstLine="480"/>
              <w:rPr>
                <w:color w:val="auto"/>
              </w:rPr>
            </w:pPr>
            <w:r>
              <w:rPr>
                <w:color w:val="auto"/>
              </w:rPr>
              <w:t>本项目生活污水经过现有的</w:t>
            </w:r>
            <w:r>
              <w:rPr>
                <w:rFonts w:hint="eastAsia"/>
                <w:color w:val="auto"/>
              </w:rPr>
              <w:t>化粪池处理后，</w:t>
            </w:r>
            <w:r>
              <w:rPr>
                <w:color w:val="auto"/>
              </w:rPr>
              <w:t>吸粪车定期清运处理。</w:t>
            </w:r>
          </w:p>
          <w:p w14:paraId="697783B2">
            <w:pPr>
              <w:tabs>
                <w:tab w:val="left" w:pos="2340"/>
                <w:tab w:val="left" w:pos="4320"/>
              </w:tabs>
              <w:ind w:firstLine="480"/>
              <w:rPr>
                <w:color w:val="auto"/>
              </w:rPr>
            </w:pPr>
            <w:r>
              <w:rPr>
                <w:color w:val="auto"/>
              </w:rPr>
              <w:t>（1）吸粪车的组成</w:t>
            </w:r>
          </w:p>
          <w:p w14:paraId="43B2123F">
            <w:pPr>
              <w:tabs>
                <w:tab w:val="left" w:pos="2340"/>
                <w:tab w:val="left" w:pos="4320"/>
              </w:tabs>
              <w:ind w:firstLine="480"/>
              <w:rPr>
                <w:color w:val="auto"/>
              </w:rPr>
            </w:pPr>
            <w:r>
              <w:rPr>
                <w:color w:val="auto"/>
              </w:rPr>
              <w:t>油水分离器，水气分离器，专用真空吸粪泵，容积压力表，管网系统，吸物导管，自流阀，真空罐体，连通器（视粪窗），全自动防溢阀。</w:t>
            </w:r>
          </w:p>
          <w:p w14:paraId="7B16C01D">
            <w:pPr>
              <w:tabs>
                <w:tab w:val="left" w:pos="2340"/>
                <w:tab w:val="left" w:pos="4320"/>
              </w:tabs>
              <w:ind w:firstLine="480"/>
              <w:rPr>
                <w:color w:val="auto"/>
              </w:rPr>
            </w:pPr>
            <w:r>
              <w:rPr>
                <w:color w:val="auto"/>
              </w:rPr>
              <w:t>（2）抽吸步骤</w:t>
            </w:r>
          </w:p>
          <w:p w14:paraId="2F342991">
            <w:pPr>
              <w:tabs>
                <w:tab w:val="left" w:pos="2340"/>
                <w:tab w:val="left" w:pos="4320"/>
              </w:tabs>
              <w:ind w:firstLine="480"/>
              <w:rPr>
                <w:color w:val="auto"/>
              </w:rPr>
            </w:pPr>
            <w:r>
              <w:rPr>
                <w:color w:val="auto"/>
              </w:rPr>
              <w:t>①将吸粪胶管尽可能深得抽入粪液，保证管端在作业过程中始终距液面300mm以下。</w:t>
            </w:r>
          </w:p>
          <w:p w14:paraId="5BFAE8A6">
            <w:pPr>
              <w:tabs>
                <w:tab w:val="left" w:pos="2340"/>
                <w:tab w:val="left" w:pos="4320"/>
              </w:tabs>
              <w:ind w:firstLine="480"/>
              <w:rPr>
                <w:color w:val="auto"/>
              </w:rPr>
            </w:pPr>
            <w:r>
              <w:rPr>
                <w:color w:val="auto"/>
              </w:rPr>
              <w:t>②将四通阀手柄推至与地面垂直。</w:t>
            </w:r>
          </w:p>
          <w:p w14:paraId="4390F216">
            <w:pPr>
              <w:tabs>
                <w:tab w:val="left" w:pos="2340"/>
                <w:tab w:val="left" w:pos="4320"/>
              </w:tabs>
              <w:ind w:firstLine="480"/>
              <w:rPr>
                <w:color w:val="auto"/>
              </w:rPr>
            </w:pPr>
            <w:r>
              <w:rPr>
                <w:color w:val="auto"/>
              </w:rPr>
              <w:t>③将变速器挂入空挡，然后</w:t>
            </w:r>
            <w:r>
              <w:rPr>
                <w:rFonts w:hint="eastAsia"/>
                <w:color w:val="auto"/>
                <w:lang w:val="en-US" w:eastAsia="zh-CN"/>
              </w:rPr>
              <w:t>启</w:t>
            </w:r>
            <w:r>
              <w:rPr>
                <w:color w:val="auto"/>
              </w:rPr>
              <w:t>动发动机，分离离合器，将取力器开关向后拉即挂档取力，真空泵开始运转。</w:t>
            </w:r>
          </w:p>
          <w:p w14:paraId="1E177796">
            <w:pPr>
              <w:tabs>
                <w:tab w:val="left" w:pos="2340"/>
                <w:tab w:val="left" w:pos="4320"/>
              </w:tabs>
              <w:ind w:firstLine="480"/>
              <w:rPr>
                <w:color w:val="auto"/>
              </w:rPr>
            </w:pPr>
            <w:r>
              <w:rPr>
                <w:color w:val="auto"/>
              </w:rPr>
              <w:t>④打开驾驶室内工具箱，拉出讯响器开关，接通其电源。</w:t>
            </w:r>
          </w:p>
          <w:p w14:paraId="7C5988B1">
            <w:pPr>
              <w:tabs>
                <w:tab w:val="left" w:pos="2340"/>
                <w:tab w:val="left" w:pos="4320"/>
              </w:tabs>
              <w:ind w:firstLine="480"/>
              <w:rPr>
                <w:color w:val="auto"/>
              </w:rPr>
            </w:pPr>
            <w:r>
              <w:rPr>
                <w:color w:val="auto"/>
                <w:shd w:val="clear" w:color="auto" w:fill="FFFFFF"/>
              </w:rPr>
              <w:t>⑤</w:t>
            </w:r>
            <w:r>
              <w:rPr>
                <w:color w:val="auto"/>
              </w:rPr>
              <w:t>操作员应注意监视吸粪胶管进口附近情况，用适当的工具阻挡杂物，以免堵塞。</w:t>
            </w:r>
          </w:p>
          <w:p w14:paraId="50FA907A">
            <w:pPr>
              <w:tabs>
                <w:tab w:val="left" w:pos="2340"/>
                <w:tab w:val="left" w:pos="4320"/>
              </w:tabs>
              <w:ind w:firstLine="480"/>
              <w:rPr>
                <w:color w:val="auto"/>
              </w:rPr>
            </w:pPr>
            <w:r>
              <w:rPr>
                <w:color w:val="auto"/>
                <w:shd w:val="clear" w:color="auto" w:fill="FFFFFF"/>
              </w:rPr>
              <w:t>⑥</w:t>
            </w:r>
            <w:r>
              <w:rPr>
                <w:color w:val="auto"/>
              </w:rPr>
              <w:t>操作员可通过后封头上部的观察镜，当液面达到观察镜中部时，应通知驾驶员，同事应迅速将吸粪胶管拉离地面或关闭四通阀。在正常情况下，讯响器此时会发出声光讯号，驾驶员接收到信号应减小油门，将取力器开关向前推卸脱档，真空泵停止动转，按入讯响器开关，切断其电源。</w:t>
            </w:r>
          </w:p>
          <w:p w14:paraId="2C2A9280">
            <w:pPr>
              <w:tabs>
                <w:tab w:val="left" w:pos="2340"/>
                <w:tab w:val="left" w:pos="4320"/>
              </w:tabs>
              <w:ind w:firstLine="480"/>
              <w:rPr>
                <w:color w:val="auto"/>
              </w:rPr>
            </w:pPr>
            <w:r>
              <w:rPr>
                <w:color w:val="auto"/>
              </w:rPr>
              <w:t>⑦将加油箱直通旋塞旋柄板与进</w:t>
            </w:r>
            <w:r>
              <w:rPr>
                <w:rFonts w:hint="eastAsia"/>
                <w:lang w:val="en-US" w:eastAsia="zh-CN"/>
              </w:rPr>
              <w:t>油</w:t>
            </w:r>
            <w:r>
              <w:rPr>
                <w:color w:val="auto"/>
              </w:rPr>
              <w:t>箱轴线平行即关闭。</w:t>
            </w:r>
          </w:p>
          <w:p w14:paraId="33DD8416">
            <w:pPr>
              <w:tabs>
                <w:tab w:val="left" w:pos="2340"/>
                <w:tab w:val="left" w:pos="4320"/>
              </w:tabs>
              <w:ind w:firstLine="480"/>
              <w:rPr>
                <w:color w:val="auto"/>
              </w:rPr>
            </w:pPr>
            <w:r>
              <w:rPr>
                <w:color w:val="auto"/>
              </w:rPr>
              <w:t>⑧冲洗胶管后，将其放回走台箱，关好边门，并使吊杆朝向驾驶室上方。</w:t>
            </w:r>
          </w:p>
          <w:p w14:paraId="50CCA5D4">
            <w:pPr>
              <w:tabs>
                <w:tab w:val="left" w:pos="2340"/>
                <w:tab w:val="left" w:pos="4320"/>
              </w:tabs>
              <w:ind w:firstLine="480"/>
              <w:rPr>
                <w:color w:val="auto"/>
              </w:rPr>
            </w:pPr>
            <w:r>
              <w:rPr>
                <w:color w:val="auto"/>
              </w:rPr>
              <w:t>⑨关闭防溢阀，使其手柄与路轴线垂直即可。</w:t>
            </w:r>
          </w:p>
          <w:p w14:paraId="6FC0808B">
            <w:pPr>
              <w:tabs>
                <w:tab w:val="left" w:pos="2340"/>
                <w:tab w:val="left" w:pos="4320"/>
              </w:tabs>
              <w:ind w:firstLine="480"/>
              <w:rPr>
                <w:color w:val="auto"/>
              </w:rPr>
            </w:pPr>
            <w:r>
              <w:rPr>
                <w:color w:val="auto"/>
              </w:rPr>
              <w:t>⑩将吸粪车驶离作业点。</w:t>
            </w:r>
          </w:p>
          <w:p w14:paraId="359364C2">
            <w:pPr>
              <w:tabs>
                <w:tab w:val="left" w:pos="2340"/>
                <w:tab w:val="left" w:pos="4320"/>
              </w:tabs>
              <w:ind w:firstLine="480"/>
              <w:rPr>
                <w:color w:val="auto"/>
              </w:rPr>
            </w:pPr>
            <w:r>
              <w:rPr>
                <w:color w:val="auto"/>
              </w:rPr>
              <w:t>当吸粪车真空泵每次工作完毕以后根据每次的工作强度的不同制定相应的对吸粪车的检查工作，以保证吸粪车的工作寿命和第二次的工作效率。</w:t>
            </w:r>
          </w:p>
          <w:p w14:paraId="01C2EDFE">
            <w:pPr>
              <w:bidi w:val="0"/>
              <w:rPr>
                <w:color w:val="auto"/>
              </w:rPr>
            </w:pPr>
            <w:r>
              <w:rPr>
                <w:color w:val="auto"/>
              </w:rPr>
              <w:t>综上，本项目</w:t>
            </w:r>
            <w:r>
              <w:rPr>
                <w:rFonts w:hint="eastAsia"/>
                <w:color w:val="auto"/>
              </w:rPr>
              <w:t>经隔油池处理的食堂废水汇同生活污水经化粪池处理后，吸粪车定期抽运</w:t>
            </w:r>
            <w:r>
              <w:rPr>
                <w:color w:val="auto"/>
              </w:rPr>
              <w:t>；</w:t>
            </w:r>
            <w:r>
              <w:rPr>
                <w:rFonts w:hint="eastAsia"/>
                <w:color w:val="auto"/>
              </w:rPr>
              <w:t>车辆冲洗废水、道路冲洗废水</w:t>
            </w:r>
            <w:r>
              <w:rPr>
                <w:rFonts w:hint="eastAsia"/>
                <w:color w:val="auto"/>
                <w:lang w:eastAsia="zh-CN"/>
              </w:rPr>
              <w:t>、</w:t>
            </w:r>
            <w:r>
              <w:rPr>
                <w:rFonts w:hint="eastAsia"/>
                <w:color w:val="auto"/>
                <w:lang w:val="en-US" w:eastAsia="zh-CN"/>
              </w:rPr>
              <w:t>设备冲洗废水经二级</w:t>
            </w:r>
            <w:r>
              <w:rPr>
                <w:rFonts w:hint="eastAsia"/>
                <w:color w:val="auto"/>
              </w:rPr>
              <w:t>沉淀池沉淀后循环使用</w:t>
            </w:r>
            <w:r>
              <w:rPr>
                <w:color w:val="auto"/>
              </w:rPr>
              <w:t>是可行的。</w:t>
            </w:r>
          </w:p>
          <w:p w14:paraId="20E002FA">
            <w:pPr>
              <w:bidi w:val="0"/>
              <w:rPr>
                <w:rFonts w:hint="eastAsia"/>
                <w:b/>
                <w:bCs/>
                <w:color w:val="auto"/>
                <w:lang w:val="en-US" w:eastAsia="zh-CN"/>
              </w:rPr>
            </w:pPr>
            <w:r>
              <w:rPr>
                <w:rFonts w:hint="eastAsia"/>
                <w:color w:val="auto"/>
              </w:rPr>
              <w:t>本项目在车辆冲洗、道路冲洗</w:t>
            </w:r>
            <w:r>
              <w:rPr>
                <w:rFonts w:hint="eastAsia"/>
                <w:color w:val="auto"/>
                <w:lang w:eastAsia="zh-CN"/>
              </w:rPr>
              <w:t>、</w:t>
            </w:r>
            <w:r>
              <w:rPr>
                <w:rFonts w:hint="eastAsia"/>
                <w:color w:val="auto"/>
                <w:lang w:val="en-US" w:eastAsia="zh-CN"/>
              </w:rPr>
              <w:t>设备冲洗</w:t>
            </w:r>
            <w:r>
              <w:rPr>
                <w:rFonts w:hint="eastAsia"/>
                <w:color w:val="auto"/>
              </w:rPr>
              <w:t>工序产生的废水</w:t>
            </w:r>
            <w:r>
              <w:rPr>
                <w:rFonts w:hint="eastAsia"/>
                <w:color w:val="auto"/>
                <w:lang w:val="en-US" w:eastAsia="zh-CN"/>
              </w:rPr>
              <w:t>水质较为简单。因此，</w:t>
            </w:r>
            <w:r>
              <w:rPr>
                <w:rFonts w:hint="eastAsia"/>
                <w:color w:val="auto"/>
              </w:rPr>
              <w:t>经二级沉淀池沉淀后废水回用是可行的</w:t>
            </w:r>
            <w:r>
              <w:rPr>
                <w:rFonts w:hint="eastAsia"/>
                <w:color w:val="auto"/>
                <w:lang w:eastAsia="zh-CN"/>
              </w:rPr>
              <w:t>。</w:t>
            </w:r>
          </w:p>
          <w:p w14:paraId="1F1B0D94">
            <w:pPr>
              <w:bidi w:val="0"/>
              <w:ind w:left="0" w:leftChars="0" w:firstLine="0" w:firstLineChars="0"/>
              <w:rPr>
                <w:b/>
                <w:bCs/>
                <w:color w:val="auto"/>
              </w:rPr>
            </w:pPr>
            <w:r>
              <w:rPr>
                <w:rFonts w:hint="eastAsia"/>
                <w:b/>
                <w:bCs/>
                <w:color w:val="auto"/>
                <w:lang w:val="en-US" w:eastAsia="zh-CN"/>
              </w:rPr>
              <w:t>2</w:t>
            </w:r>
            <w:r>
              <w:rPr>
                <w:rFonts w:hint="eastAsia"/>
                <w:b/>
                <w:bCs/>
                <w:color w:val="auto"/>
              </w:rPr>
              <w:t>.</w:t>
            </w:r>
            <w:r>
              <w:rPr>
                <w:rFonts w:hint="eastAsia"/>
                <w:b/>
                <w:bCs/>
                <w:color w:val="auto"/>
                <w:lang w:val="en-US" w:eastAsia="zh-CN"/>
              </w:rPr>
              <w:t>5</w:t>
            </w:r>
            <w:r>
              <w:rPr>
                <w:b/>
                <w:bCs/>
                <w:color w:val="auto"/>
              </w:rPr>
              <w:t>废水</w:t>
            </w:r>
            <w:r>
              <w:rPr>
                <w:rFonts w:hint="eastAsia"/>
                <w:b/>
                <w:bCs/>
                <w:color w:val="auto"/>
              </w:rPr>
              <w:t>监测计划</w:t>
            </w:r>
          </w:p>
          <w:p w14:paraId="44C97216">
            <w:pPr>
              <w:ind w:firstLine="480"/>
              <w:rPr>
                <w:color w:val="auto"/>
              </w:rPr>
            </w:pPr>
            <w:r>
              <w:rPr>
                <w:rFonts w:hint="eastAsia"/>
                <w:color w:val="auto"/>
              </w:rPr>
              <w:t>本项目废水不外排</w:t>
            </w:r>
            <w:r>
              <w:rPr>
                <w:rFonts w:hint="eastAsia"/>
                <w:color w:val="auto"/>
                <w:lang w:eastAsia="zh-CN"/>
              </w:rPr>
              <w:t>。</w:t>
            </w:r>
            <w:r>
              <w:rPr>
                <w:rFonts w:hint="eastAsia"/>
                <w:color w:val="auto"/>
              </w:rPr>
              <w:t>因此</w:t>
            </w:r>
            <w:r>
              <w:rPr>
                <w:rFonts w:hint="eastAsia"/>
                <w:color w:val="auto"/>
                <w:lang w:eastAsia="zh-CN"/>
              </w:rPr>
              <w:t>，</w:t>
            </w:r>
            <w:r>
              <w:rPr>
                <w:rFonts w:hint="eastAsia"/>
                <w:color w:val="auto"/>
              </w:rPr>
              <w:t>无需监测计划</w:t>
            </w:r>
            <w:r>
              <w:rPr>
                <w:color w:val="auto"/>
              </w:rPr>
              <w:t>。</w:t>
            </w:r>
          </w:p>
          <w:p w14:paraId="7B8FA35C">
            <w:pPr>
              <w:keepNext w:val="0"/>
              <w:keepLines w:val="0"/>
              <w:widowControl/>
              <w:suppressLineNumbers w:val="0"/>
              <w:spacing w:before="0" w:beforeAutospacing="0" w:after="0" w:afterAutospacing="0" w:line="360" w:lineRule="auto"/>
              <w:ind w:left="0" w:leftChars="0" w:right="0" w:firstLine="0" w:firstLineChars="0"/>
              <w:jc w:val="left"/>
              <w:rPr>
                <w:rFonts w:hint="default"/>
                <w:b/>
                <w:bCs/>
                <w:color w:val="auto"/>
                <w:sz w:val="24"/>
                <w:szCs w:val="24"/>
              </w:rPr>
            </w:pPr>
            <w:r>
              <w:rPr>
                <w:rFonts w:hint="default"/>
                <w:b/>
                <w:bCs/>
                <w:color w:val="auto"/>
                <w:sz w:val="24"/>
                <w:szCs w:val="24"/>
              </w:rPr>
              <w:t>3</w:t>
            </w:r>
            <w:r>
              <w:rPr>
                <w:rFonts w:hint="eastAsia" w:cs="宋体"/>
                <w:b/>
                <w:bCs/>
                <w:color w:val="auto"/>
                <w:sz w:val="24"/>
                <w:szCs w:val="24"/>
              </w:rPr>
              <w:t>、噪声</w:t>
            </w:r>
          </w:p>
          <w:p w14:paraId="41E7B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评价采用《环境影响评价技术导则</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t>声环境》（HJ2.4-2021）推荐的工业噪声预测计算模式，对项目运行后厂界噪声变化情况进行分析。根据项目各个噪声源的特征，总体划分为面源和点源。对同个厂房内多个设备可作为面源，将整个厂房等效作为面源；室外的噪声源设备，则均视为单个点源。</w:t>
            </w:r>
          </w:p>
          <w:p w14:paraId="6DFAA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 xml:space="preserve">3.1 </w:t>
            </w:r>
            <w:r>
              <w:rPr>
                <w:rFonts w:hint="default" w:ascii="Times New Roman" w:hAnsi="Times New Roman" w:cs="Times New Roman"/>
                <w:b/>
                <w:bCs/>
                <w:color w:val="auto"/>
                <w:sz w:val="24"/>
                <w:szCs w:val="24"/>
              </w:rPr>
              <w:t>预测模型</w:t>
            </w:r>
          </w:p>
          <w:p w14:paraId="33E29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拟建项目位于</w:t>
            </w:r>
            <w:r>
              <w:rPr>
                <w:rFonts w:hint="eastAsia" w:cs="Times New Roman"/>
                <w:color w:val="auto"/>
                <w:sz w:val="24"/>
                <w:szCs w:val="24"/>
                <w:lang w:val="en-US" w:eastAsia="zh-CN"/>
              </w:rPr>
              <w:t>生产车间内</w:t>
            </w:r>
            <w:r>
              <w:rPr>
                <w:rFonts w:hint="default" w:ascii="Times New Roman" w:hAnsi="Times New Roman" w:cs="Times New Roman"/>
                <w:color w:val="auto"/>
                <w:sz w:val="24"/>
                <w:szCs w:val="24"/>
              </w:rPr>
              <w:t>，根据项目建设内容及《环境影响评价技术导则</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t>声环境》（HJ2.4-2021）的要求，项目环评采用的模型为</w:t>
            </w:r>
            <w:r>
              <w:rPr>
                <w:rFonts w:hint="eastAsia" w:ascii="Times New Roman" w:hAnsi="Times New Roman" w:cs="Times New Roman"/>
                <w:color w:val="auto"/>
                <w:sz w:val="24"/>
                <w:szCs w:val="24"/>
                <w:lang w:val="en-US" w:eastAsia="zh-CN"/>
              </w:rPr>
              <w:t>其</w:t>
            </w:r>
            <w:r>
              <w:rPr>
                <w:rFonts w:hint="default" w:ascii="Times New Roman" w:hAnsi="Times New Roman" w:cs="Times New Roman"/>
                <w:color w:val="auto"/>
                <w:sz w:val="24"/>
                <w:szCs w:val="24"/>
              </w:rPr>
              <w:t>附录A（规范性附录）户外声传播的衰减和附录B（规范性附录）中“B.1工业噪声预测计算模型”。</w:t>
            </w:r>
          </w:p>
          <w:p w14:paraId="7CCF3EB3">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（1）等效室内声源声功率级法预测模式</w:t>
            </w:r>
          </w:p>
          <w:p w14:paraId="2D80B6CE">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①计算某一室内声源靠近围护结构处产生的倍频带声压级：</w:t>
            </w:r>
          </w:p>
          <w:p w14:paraId="265B973C">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24"/>
                <w:sz w:val="24"/>
                <w:szCs w:val="24"/>
              </w:rPr>
              <w:object>
                <v:shape id="_x0000_i1025" o:spt="75" type="#_x0000_t75" style="height:31pt;width:135pt;" o:ole="t" filled="f" o:preferrelative="t" stroked="f" coordsize="21600,21600">
                  <v:path/>
                  <v:fill on="f" alignshape="1" focussize="0,0"/>
                  <v:stroke on="f"/>
                  <v:imagedata r:id="rId11" o:title=""/>
                  <o:lock v:ext="edit" aspectratio="t"/>
                  <w10:wrap type="none"/>
                  <w10:anchorlock/>
                </v:shape>
                <o:OLEObject Type="Embed" ProgID="Equation.3" ShapeID="_x0000_i1025" DrawAspect="Content" ObjectID="_1468075725" r:id="rId10">
                  <o:LockedField>false</o:LockedField>
                </o:OLEObject>
              </w:object>
            </w:r>
          </w:p>
          <w:p w14:paraId="676E2B10">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P1</w:t>
            </w:r>
            <w:r>
              <w:rPr>
                <w:rFonts w:hint="default" w:ascii="Times New Roman" w:hAnsi="Times New Roman" w:eastAsia="宋体" w:cs="Times New Roman"/>
                <w:color w:val="auto"/>
                <w:sz w:val="24"/>
                <w:szCs w:val="24"/>
              </w:rPr>
              <w:t>——某个室内声源在靠近维护结构处产生的声压级，dB</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5751B638">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W</w:t>
            </w:r>
            <w:r>
              <w:rPr>
                <w:rFonts w:hint="default" w:ascii="Times New Roman" w:hAnsi="Times New Roman" w:eastAsia="宋体" w:cs="Times New Roman"/>
                <w:color w:val="auto"/>
                <w:sz w:val="24"/>
                <w:szCs w:val="24"/>
              </w:rPr>
              <w:t>——某个声源的声功率级，dB</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4038C532">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r——声源到靠近围护结构某点处的距离，m</w:t>
            </w:r>
            <w:r>
              <w:rPr>
                <w:rFonts w:hint="eastAsia" w:ascii="Times New Roman" w:hAnsi="Times New Roman" w:eastAsia="宋体" w:cs="Times New Roman"/>
                <w:color w:val="auto"/>
                <w:sz w:val="24"/>
                <w:szCs w:val="24"/>
                <w:lang w:eastAsia="zh-CN"/>
              </w:rPr>
              <w:t>；</w:t>
            </w:r>
          </w:p>
          <w:p w14:paraId="35566CA3">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Q——指向性因数：通常对无指向性声源，当声源放在房间中心时，Q=1；当放在一面墙的中心时，Q=2；当放在两面墙夹角时，Q=4；当放在三面墙夹角处时，Q=8。R——房间常数：R=Sa/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，S为房间内表面面积，m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；a为平均吸声系数。</w:t>
            </w:r>
          </w:p>
          <w:p w14:paraId="4EA037A1">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②所有室内声源在靠近围护结构处产生的叠加声压级计算式为：</w:t>
            </w:r>
          </w:p>
          <w:p w14:paraId="2DB2A85C">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30"/>
                <w:sz w:val="24"/>
                <w:szCs w:val="24"/>
              </w:rPr>
              <w:object>
                <v:shape id="_x0000_i1026" o:spt="75" type="#_x0000_t75" style="height:37pt;width:129pt;" o:ole="t" filled="f" o:preferrelative="t" stroked="f" coordsize="21600,21600">
                  <v:path/>
                  <v:fill on="f" alignshape="1" focussize="0,0"/>
                  <v:stroke on="f"/>
                  <v:imagedata r:id="rId13" o:title=""/>
                  <o:lock v:ext="edit" aspectratio="t"/>
                  <w10:wrap type="none"/>
                  <w10:anchorlock/>
                </v:shape>
                <o:OLEObject Type="Embed" ProgID="Equation.3" ShapeID="_x0000_i1026" DrawAspect="Content" ObjectID="_1468075726" r:id="rId12">
                  <o:LockedField>false</o:LockedField>
                </o:OLEObject>
              </w:object>
            </w:r>
          </w:p>
          <w:p w14:paraId="56EB6DF4">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P1i</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——靠近围护结构处室内N个声源i倍频带叠加声压级，dB</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4319FA27">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P1ij</w:t>
            </w:r>
            <w:r>
              <w:rPr>
                <w:rFonts w:hint="default" w:ascii="Times New Roman" w:hAnsi="Times New Roman" w:eastAsia="宋体" w:cs="Times New Roman"/>
                <w:color w:val="auto"/>
                <w:sz w:val="24"/>
                <w:szCs w:val="24"/>
              </w:rPr>
              <w:t>——室内j声源i倍频带的声压级，dB</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42F0B8C4">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N——室内声源总数。</w:t>
            </w:r>
          </w:p>
          <w:p w14:paraId="14E937D5">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③靠近室外围护结构处产生的声压级计算式为：</w:t>
            </w:r>
          </w:p>
          <w:p w14:paraId="60D7180E">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4"/>
                <w:sz w:val="24"/>
                <w:szCs w:val="24"/>
              </w:rPr>
              <w:object>
                <v:shape id="_x0000_i1027" o:spt="75" type="#_x0000_t75" style="height:19pt;width:138pt;" o:ole="t" filled="f" o:preferrelative="t" stroked="f" coordsize="21600,21600">
                  <v:path/>
                  <v:fill on="f" alignshape="1" focussize="0,0"/>
                  <v:stroke on="f"/>
                  <v:imagedata r:id="rId15" o:title=""/>
                  <o:lock v:ext="edit" aspectratio="t"/>
                  <w10:wrap type="none"/>
                  <w10:anchorlock/>
                </v:shape>
                <o:OLEObject Type="Embed" ProgID="Equation.3" ShapeID="_x0000_i1027" DrawAspect="Content" ObjectID="_1468075727" r:id="rId14">
                  <o:LockedField>false</o:LockedField>
                </o:OLEObject>
              </w:object>
            </w:r>
          </w:p>
          <w:p w14:paraId="2F6F8261">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P2i</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——靠近围护结构处室外N个声源i倍频带的叠加声压级，dB；</w:t>
            </w:r>
          </w:p>
          <w:p w14:paraId="17F7165C">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TLi——围护结构i倍频带的隔声量，dB；</w:t>
            </w:r>
          </w:p>
          <w:p w14:paraId="78CC8547">
            <w:pPr>
              <w:pStyle w:val="1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④将室内声级透过面积换算成等效的室外声源，计算出中心位置位于透声面积</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S</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处的等效声源的声功率级计算</w:t>
            </w:r>
            <w:r>
              <w:rPr>
                <w:rFonts w:hint="eastAsia"/>
                <w:color w:val="auto"/>
                <w:lang w:val="en-US" w:eastAsia="zh-CN"/>
              </w:rPr>
              <w:t>公式</w:t>
            </w:r>
            <w:r>
              <w:rPr>
                <w:rFonts w:hint="default" w:ascii="Times New Roman" w:hAnsi="Times New Roman" w:eastAsia="宋体" w:cs="Times New Roman"/>
                <w:color w:val="auto"/>
                <w:sz w:val="24"/>
                <w:szCs w:val="24"/>
              </w:rPr>
              <w:t>为：</w:t>
            </w:r>
          </w:p>
          <w:p w14:paraId="358D351F">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2"/>
                <w:sz w:val="24"/>
                <w:szCs w:val="24"/>
              </w:rPr>
              <w:object>
                <v:shape id="_x0000_i1028" o:spt="75" type="#_x0000_t75" style="height:18pt;width:103.95pt;" o:ole="t" filled="f" o:preferrelative="t" stroked="f" coordsize="21600,21600">
                  <v:path/>
                  <v:fill on="f" alignshape="1" focussize="0,0"/>
                  <v:stroke on="f"/>
                  <v:imagedata r:id="rId17" o:title=""/>
                  <o:lock v:ext="edit" aspectratio="t"/>
                  <w10:wrap type="none"/>
                  <w10:anchorlock/>
                </v:shape>
                <o:OLEObject Type="Embed" ProgID="Equation.3" ShapeID="_x0000_i1028" DrawAspect="Content" ObjectID="_1468075728" r:id="rId16">
                  <o:LockedField>false</o:LockedField>
                </o:OLEObject>
              </w:object>
            </w:r>
          </w:p>
          <w:p w14:paraId="2563E8F3">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⑤倍频带声压级和A声级转换</w:t>
            </w:r>
          </w:p>
          <w:p w14:paraId="312D272B">
            <w:pPr>
              <w:pStyle w:val="1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计算出的中心频率为500HZ倍频带声压级Lp</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r</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，再根据导则倍频带声压级和A声级转换公式计算</w:t>
            </w:r>
            <w:r>
              <w:rPr>
                <w:rFonts w:hint="eastAsia"/>
                <w:color w:val="auto"/>
                <w:lang w:val="en-US" w:eastAsia="zh-CN"/>
              </w:rPr>
              <w:t>公式</w:t>
            </w:r>
            <w:r>
              <w:rPr>
                <w:rFonts w:hint="default" w:ascii="Times New Roman" w:hAnsi="Times New Roman" w:eastAsia="宋体" w:cs="Times New Roman"/>
                <w:color w:val="auto"/>
                <w:sz w:val="24"/>
                <w:szCs w:val="24"/>
              </w:rPr>
              <w:t>如下：</w:t>
            </w:r>
          </w:p>
          <w:p w14:paraId="71F4CE78">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28"/>
                <w:sz w:val="24"/>
                <w:szCs w:val="24"/>
              </w:rPr>
              <w:object>
                <v:shape id="_x0000_i1029" o:spt="75" type="#_x0000_t75" style="height:36pt;width:121.95pt;" o:ole="t" filled="f" o:preferrelative="t" stroked="f" coordsize="21600,21600">
                  <v:path/>
                  <v:fill on="f" alignshape="1" focussize="0,0"/>
                  <v:stroke on="f"/>
                  <v:imagedata r:id="rId19" o:title=""/>
                  <o:lock v:ext="edit" aspectratio="t"/>
                  <w10:wrap type="none"/>
                  <w10:anchorlock/>
                </v:shape>
                <o:OLEObject Type="Embed" ProgID="Equation.3" ShapeID="_x0000_i1029" DrawAspect="Content" ObjectID="_1468075729" r:id="rId18">
                  <o:LockedField>false</o:LockedField>
                </o:OLEObject>
              </w:object>
            </w:r>
          </w:p>
          <w:p w14:paraId="25A7F006">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式中：Δ L</w:t>
            </w:r>
            <w:r>
              <w:rPr>
                <w:rFonts w:hint="default" w:ascii="Times New Roman" w:hAnsi="Times New Roman" w:eastAsia="宋体" w:cs="Times New Roman"/>
                <w:color w:val="auto"/>
                <w:sz w:val="24"/>
                <w:szCs w:val="24"/>
                <w:vertAlign w:val="subscript"/>
              </w:rPr>
              <w:t>i</w:t>
            </w:r>
            <w:r>
              <w:rPr>
                <w:rFonts w:hint="default" w:ascii="Times New Roman" w:hAnsi="Times New Roman" w:eastAsia="宋体" w:cs="Times New Roman"/>
                <w:color w:val="auto"/>
                <w:sz w:val="24"/>
                <w:szCs w:val="24"/>
              </w:rPr>
              <w:t xml:space="preserve"> ——为第i倍频带的A计权网络修正值，dB；</w:t>
            </w:r>
          </w:p>
          <w:p w14:paraId="7294C1F5">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N——总倍频带数。</w:t>
            </w:r>
          </w:p>
          <w:p w14:paraId="5153D500">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查导则附录B表B1，500HZ对应的Δ L</w:t>
            </w:r>
            <w:r>
              <w:rPr>
                <w:rFonts w:hint="default" w:ascii="Times New Roman" w:hAnsi="Times New Roman" w:eastAsia="宋体" w:cs="Times New Roman"/>
                <w:color w:val="auto"/>
                <w:sz w:val="24"/>
                <w:szCs w:val="24"/>
                <w:vertAlign w:val="subscript"/>
              </w:rPr>
              <w:t>i</w:t>
            </w:r>
            <w:r>
              <w:rPr>
                <w:rFonts w:hint="default" w:ascii="Times New Roman" w:hAnsi="Times New Roman" w:eastAsia="宋体" w:cs="Times New Roman"/>
                <w:color w:val="auto"/>
                <w:sz w:val="24"/>
                <w:szCs w:val="24"/>
              </w:rPr>
              <w:t>为-3.2dB。</w:t>
            </w:r>
          </w:p>
          <w:p w14:paraId="2009355C">
            <w:pPr>
              <w:keepNext w:val="0"/>
              <w:keepLines w:val="0"/>
              <w:pageBreakBefore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预测中声功率级、声压级均按照中心频率为500HZ的倍频带做估算。</w:t>
            </w:r>
          </w:p>
          <w:p w14:paraId="62AAC3AB">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（2）室外声源至预测点贡献值计算</w:t>
            </w:r>
          </w:p>
          <w:p w14:paraId="75955DF6">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个大型机器设备的振动表面，车间透声的墙壁，均可以认为是面声源。如果已知面声源单位面积的声功率为W，各面积元噪声的位相是随机的，面声源可看作由无数点声源连续分布组合而成，其合成声级可按能量叠加法求出。</w:t>
            </w:r>
          </w:p>
          <w:p w14:paraId="005E98D2">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当预测点和面声源中心距离r 处于以下条件时，可按下述方法近似计算：</w:t>
            </w:r>
          </w:p>
          <w:p w14:paraId="5B68E58F">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r&lt;a/π时，几乎不衰减（Adiv≈0）；</w:t>
            </w:r>
          </w:p>
          <w:p w14:paraId="54CE107C">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当a/π&lt;r&lt;b/π时，类似于线声源衰减特性，即：L</w:t>
            </w:r>
            <w:r>
              <w:rPr>
                <w:rFonts w:hint="default" w:ascii="Times New Roman" w:hAnsi="Times New Roman" w:eastAsia="宋体" w:cs="Times New Roman"/>
                <w:color w:val="auto"/>
                <w:sz w:val="24"/>
                <w:szCs w:val="24"/>
                <w:vertAlign w:val="subscript"/>
              </w:rPr>
              <w:t>A（r）</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AW</w:t>
            </w:r>
            <w:r>
              <w:rPr>
                <w:rFonts w:hint="eastAsia" w:ascii="Times New Roman" w:hAnsi="Times New Roman" w:eastAsia="宋体" w:cs="Times New Roman"/>
                <w:color w:val="auto"/>
                <w:sz w:val="24"/>
                <w:szCs w:val="24"/>
                <w:vertAlign w:val="subscript"/>
                <w:lang w:val="en-US" w:eastAsia="zh-CN"/>
              </w:rPr>
              <w:t xml:space="preserve"> </w:t>
            </w:r>
            <w:r>
              <w:rPr>
                <w:rFonts w:hint="eastAsia" w:ascii="Times New Roman" w:hAnsi="Times New Roman" w:eastAsia="宋体" w:cs="Times New Roman"/>
                <w:color w:val="auto"/>
                <w:sz w:val="24"/>
                <w:szCs w:val="24"/>
                <w:vertAlign w:val="superscript"/>
                <w:lang w:val="en-US" w:eastAsia="zh-CN"/>
              </w:rPr>
              <w:t xml:space="preserve">- </w:t>
            </w:r>
            <w:r>
              <w:rPr>
                <w:rFonts w:hint="default" w:ascii="Times New Roman" w:hAnsi="Times New Roman" w:eastAsia="宋体" w:cs="Times New Roman"/>
                <w:color w:val="auto"/>
                <w:sz w:val="24"/>
                <w:szCs w:val="24"/>
              </w:rPr>
              <w:t>10lg（r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w:t>
            </w:r>
          </w:p>
          <w:p w14:paraId="68204704">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当r&gt;b/π时，类似于点声源衰减特性，即：L</w:t>
            </w:r>
            <w:r>
              <w:rPr>
                <w:rFonts w:hint="default" w:ascii="Times New Roman" w:hAnsi="Times New Roman" w:eastAsia="宋体" w:cs="Times New Roman"/>
                <w:color w:val="auto"/>
                <w:sz w:val="24"/>
                <w:szCs w:val="24"/>
                <w:vertAlign w:val="subscript"/>
              </w:rPr>
              <w:t>A（r）</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A（b/π）</w:t>
            </w:r>
            <w:r>
              <w:rPr>
                <w:rFonts w:hint="default" w:ascii="Times New Roman" w:hAnsi="Times New Roman" w:eastAsia="宋体" w:cs="Times New Roman"/>
                <w:color w:val="auto"/>
                <w:sz w:val="24"/>
                <w:szCs w:val="24"/>
              </w:rPr>
              <w:t>-20lg[r/（b/π）]；</w:t>
            </w:r>
          </w:p>
          <w:p w14:paraId="28B3DDDA">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其中：a 为面声源宽度，b 为面声源长度</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b&gt;a。</w:t>
            </w:r>
          </w:p>
          <w:p w14:paraId="51FFC22F">
            <w:pPr>
              <w:keepNext w:val="0"/>
              <w:keepLines w:val="0"/>
              <w:suppressLineNumbers w:val="0"/>
              <w:shd w:val="clear" w:color="auto" w:fill="FFFFFF"/>
              <w:spacing w:before="0" w:beforeAutospacing="0" w:after="0" w:afterAutospacing="0" w:line="360" w:lineRule="auto"/>
              <w:ind w:left="0" w:right="0" w:firstLine="480"/>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面声源的几何发散衰减：</w:t>
            </w:r>
          </w:p>
          <w:p w14:paraId="4B5F7F8A">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b/>
                <w:bCs/>
                <w:color w:val="auto"/>
                <w:sz w:val="24"/>
                <w:szCs w:val="24"/>
              </w:rPr>
            </w:pPr>
            <w:r>
              <w:rPr>
                <w:rFonts w:hint="default" w:ascii="Times New Roman" w:hAnsi="Times New Roman" w:eastAsia="宋体" w:cs="Times New Roman"/>
                <w:b w:val="0"/>
                <w:bCs w:val="0"/>
                <w:color w:val="auto"/>
                <w:sz w:val="24"/>
                <w:szCs w:val="24"/>
              </w:rPr>
              <w:t>当r&gt;b/π时，类似于点声源衰减特性，即：LA（r）=LA（b/π）-20lg[r/（b/π）]</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距离加倍衰减趋近于6</w:t>
            </w:r>
            <w:r>
              <w:rPr>
                <w:rFonts w:hint="default" w:ascii="Times New Roman" w:hAnsi="Times New Roman" w:eastAsia="宋体" w:cs="Times New Roman"/>
                <w:color w:val="auto"/>
                <w:sz w:val="24"/>
                <w:szCs w:val="24"/>
              </w:rPr>
              <w:t>dB</w:t>
            </w:r>
            <w:r>
              <w:rPr>
                <w:rFonts w:hint="eastAsia" w:cs="Times New Roman"/>
                <w:color w:val="auto"/>
                <w:sz w:val="24"/>
                <w:szCs w:val="24"/>
                <w:lang w:eastAsia="zh-CN"/>
              </w:rPr>
              <w:t>，</w:t>
            </w:r>
            <w:r>
              <w:rPr>
                <w:rFonts w:hint="eastAsia" w:cs="Times New Roman"/>
                <w:color w:val="auto"/>
                <w:sz w:val="24"/>
                <w:szCs w:val="24"/>
                <w:lang w:val="en-US" w:eastAsia="zh-CN"/>
              </w:rPr>
              <w:t>类似点声源衰减特性A</w:t>
            </w:r>
            <w:r>
              <w:rPr>
                <w:rFonts w:hint="eastAsia" w:cs="Times New Roman"/>
                <w:color w:val="auto"/>
                <w:sz w:val="24"/>
                <w:szCs w:val="24"/>
                <w:vertAlign w:val="subscript"/>
                <w:lang w:val="en-US" w:eastAsia="zh-CN"/>
              </w:rPr>
              <w:t>div</w:t>
            </w:r>
            <w:r>
              <w:rPr>
                <w:rFonts w:hint="eastAsia" w:cs="Times New Roman"/>
                <w:color w:val="auto"/>
                <w:sz w:val="24"/>
                <w:szCs w:val="24"/>
                <w:vertAlign w:val="baseline"/>
                <w:lang w:val="en-US" w:eastAsia="zh-CN"/>
              </w:rPr>
              <w:t>≈</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rPr>
              <w:t>lg（</w:t>
            </w:r>
            <w:r>
              <w:rPr>
                <w:rFonts w:hint="eastAsia" w:cs="Times New Roman"/>
                <w:color w:val="auto"/>
                <w:sz w:val="24"/>
                <w:szCs w:val="24"/>
                <w:lang w:val="en-US" w:eastAsia="zh-CN"/>
              </w:rPr>
              <w:t>r/</w:t>
            </w:r>
            <w:r>
              <w:rPr>
                <w:rFonts w:hint="default" w:ascii="Times New Roman" w:hAnsi="Times New Roman" w:eastAsia="宋体" w:cs="Times New Roman"/>
                <w:color w:val="auto"/>
                <w:sz w:val="24"/>
                <w:szCs w:val="24"/>
              </w:rPr>
              <w:t>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w:t>
            </w:r>
          </w:p>
          <w:p w14:paraId="791CD27A">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（3）预测点的预测等效声级（L</w:t>
            </w:r>
            <w:r>
              <w:rPr>
                <w:rFonts w:hint="default" w:ascii="Times New Roman" w:hAnsi="Times New Roman" w:eastAsia="宋体" w:cs="Times New Roman"/>
                <w:b/>
                <w:bCs/>
                <w:color w:val="auto"/>
                <w:sz w:val="24"/>
                <w:szCs w:val="24"/>
                <w:vertAlign w:val="subscript"/>
              </w:rPr>
              <w:t>Eq</w:t>
            </w:r>
            <w:r>
              <w:rPr>
                <w:rFonts w:hint="default" w:ascii="Times New Roman" w:hAnsi="Times New Roman" w:eastAsia="宋体" w:cs="Times New Roman"/>
                <w:b/>
                <w:bCs/>
                <w:color w:val="auto"/>
                <w:sz w:val="24"/>
                <w:szCs w:val="24"/>
              </w:rPr>
              <w:t>）计算</w:t>
            </w:r>
          </w:p>
          <w:p w14:paraId="609A44C3">
            <w:pPr>
              <w:keepNext w:val="0"/>
              <w:keepLines w:val="0"/>
              <w:suppressLineNumbers w:val="0"/>
              <w:shd w:val="clear" w:color="auto" w:fill="FFFFFF"/>
              <w:spacing w:before="0" w:beforeAutospacing="0" w:after="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8"/>
                <w:sz w:val="24"/>
                <w:szCs w:val="24"/>
              </w:rPr>
              <w:object>
                <v:shape id="_x0000_i1030" o:spt="75" type="#_x0000_t75" style="height:23pt;width:148pt;" o:ole="t" filled="f" o:preferrelative="t" stroked="f" coordsize="21600,21600">
                  <v:path/>
                  <v:fill on="f" focussize="0,0"/>
                  <v:stroke on="f"/>
                  <v:imagedata r:id="rId21" o:title=""/>
                  <o:lock v:ext="edit" aspectratio="t"/>
                  <w10:wrap type="none"/>
                  <w10:anchorlock/>
                </v:shape>
                <o:OLEObject Type="Embed" ProgID="Equation.3" ShapeID="_x0000_i1030" DrawAspect="Content" ObjectID="_1468075730" r:id="rId20">
                  <o:LockedField>false</o:LockedField>
                </o:OLEObject>
              </w:object>
            </w:r>
          </w:p>
          <w:p w14:paraId="52E2D5C7">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Eqg</w:t>
            </w:r>
            <w:r>
              <w:rPr>
                <w:rFonts w:hint="default" w:ascii="Times New Roman" w:hAnsi="Times New Roman" w:eastAsia="宋体" w:cs="Times New Roman"/>
                <w:color w:val="auto"/>
                <w:sz w:val="24"/>
                <w:szCs w:val="24"/>
              </w:rPr>
              <w:t>——建设项目声源在预测点的等效声级贡献量，dB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7F864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1200" w:firstLineChars="5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Eqb</w:t>
            </w:r>
            <w:r>
              <w:rPr>
                <w:rFonts w:hint="default" w:ascii="Times New Roman" w:hAnsi="Times New Roman" w:eastAsia="宋体" w:cs="Times New Roman"/>
                <w:color w:val="auto"/>
                <w:sz w:val="24"/>
                <w:szCs w:val="24"/>
              </w:rPr>
              <w:t>——预测点背景值，dB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7052E43C">
            <w:pPr>
              <w:ind w:firstLine="480"/>
              <w:rPr>
                <w:rFonts w:hint="eastAsia" w:ascii="宋体" w:hAnsi="宋体" w:cs="宋体"/>
                <w:color w:val="auto"/>
                <w:kern w:val="0"/>
                <w:szCs w:val="21"/>
                <w:lang w:val="en-US" w:eastAsia="zh-CN"/>
              </w:rPr>
            </w:pPr>
          </w:p>
          <w:p w14:paraId="3B0AF54D">
            <w:pPr>
              <w:ind w:left="0" w:leftChars="0" w:firstLine="0" w:firstLineChars="0"/>
              <w:rPr>
                <w:rFonts w:hint="default" w:ascii="宋体" w:hAnsi="宋体" w:eastAsia="宋体" w:cs="宋体"/>
                <w:color w:val="auto"/>
                <w:kern w:val="0"/>
                <w:szCs w:val="21"/>
                <w:lang w:val="en-US" w:eastAsia="zh-CN"/>
              </w:rPr>
            </w:pPr>
          </w:p>
        </w:tc>
      </w:tr>
    </w:tbl>
    <w:p w14:paraId="7BFAAB7A">
      <w:pPr>
        <w:ind w:firstLine="480"/>
        <w:rPr>
          <w:color w:val="auto"/>
        </w:rPr>
        <w:sectPr>
          <w:pgSz w:w="11907" w:h="16840"/>
          <w:pgMar w:top="1701" w:right="1531" w:bottom="2127" w:left="1531" w:header="851" w:footer="851" w:gutter="0"/>
          <w:pgNumType w:fmt="decimal"/>
          <w:cols w:space="720" w:num="1"/>
          <w:docGrid w:linePitch="312" w:charSpace="0"/>
        </w:sectPr>
      </w:pPr>
    </w:p>
    <w:tbl>
      <w:tblPr>
        <w:tblStyle w:val="26"/>
        <w:tblW w:w="131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2775"/>
      </w:tblGrid>
      <w:tr w14:paraId="41609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 w:type="dxa"/>
            <w:vAlign w:val="center"/>
          </w:tcPr>
          <w:p w14:paraId="2D94713C">
            <w:pPr>
              <w:spacing w:line="460" w:lineRule="exact"/>
              <w:ind w:firstLine="0" w:firstLineChars="0"/>
              <w:jc w:val="center"/>
              <w:rPr>
                <w:rFonts w:ascii="宋体" w:hAnsi="宋体" w:cs="宋体"/>
                <w:color w:val="auto"/>
                <w:kern w:val="0"/>
                <w:szCs w:val="21"/>
              </w:rPr>
            </w:pPr>
          </w:p>
        </w:tc>
        <w:tc>
          <w:tcPr>
            <w:tcW w:w="12775" w:type="dxa"/>
            <w:vAlign w:val="center"/>
          </w:tcPr>
          <w:p w14:paraId="3371D0D1">
            <w:pPr>
              <w:keepNext w:val="0"/>
              <w:keepLines w:val="0"/>
              <w:suppressLineNumbers w:val="0"/>
              <w:spacing w:before="0" w:beforeLines="0" w:beforeAutospacing="0" w:after="0" w:afterLines="0" w:afterAutospacing="0" w:line="360" w:lineRule="auto"/>
              <w:ind w:left="0" w:leftChars="0" w:right="0" w:firstLine="0" w:firstLineChars="0"/>
              <w:jc w:val="left"/>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3.2 预测计算过程</w:t>
            </w:r>
          </w:p>
          <w:p w14:paraId="03430F20">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eastAsia="宋体"/>
                <w:color w:val="auto"/>
                <w:lang w:val="en-US" w:eastAsia="zh-CN"/>
              </w:rPr>
            </w:pPr>
            <w:r>
              <w:rPr>
                <w:rFonts w:hint="default" w:ascii="Times New Roman" w:hAnsi="Times New Roman" w:eastAsia="宋体" w:cs="Times New Roman"/>
                <w:b/>
                <w:bCs/>
                <w:snapToGrid w:val="0"/>
                <w:color w:val="auto"/>
                <w:kern w:val="0"/>
                <w:sz w:val="24"/>
                <w:szCs w:val="24"/>
                <w:lang w:val="en-US" w:eastAsia="zh-CN" w:bidi="ar-SA"/>
              </w:rPr>
              <w:t>表4-</w:t>
            </w:r>
            <w:r>
              <w:rPr>
                <w:rFonts w:hint="eastAsia" w:cs="Times New Roman"/>
                <w:b/>
                <w:bCs/>
                <w:snapToGrid w:val="0"/>
                <w:color w:val="auto"/>
                <w:kern w:val="0"/>
                <w:sz w:val="24"/>
                <w:szCs w:val="24"/>
                <w:lang w:val="en-US" w:eastAsia="zh-CN" w:bidi="ar-SA"/>
              </w:rPr>
              <w:t>8</w:t>
            </w:r>
            <w:r>
              <w:rPr>
                <w:rFonts w:hint="default" w:ascii="Times New Roman" w:hAnsi="Times New Roman" w:eastAsia="宋体" w:cs="Times New Roman"/>
                <w:b/>
                <w:bCs/>
                <w:snapToGrid w:val="0"/>
                <w:color w:val="auto"/>
                <w:kern w:val="0"/>
                <w:sz w:val="24"/>
                <w:szCs w:val="24"/>
                <w:lang w:val="en-US" w:eastAsia="zh-CN" w:bidi="ar-SA"/>
              </w:rPr>
              <w:t xml:space="preserve">  项目主要噪声源强调查清单（室外声源）表 单位：dB（A）  </w:t>
            </w:r>
            <w:r>
              <w:rPr>
                <w:rFonts w:hint="default" w:ascii="Times New Roman" w:hAnsi="Times New Roman" w:cs="Times New Roman"/>
                <w:color w:val="auto"/>
                <w:lang w:val="en-US" w:eastAsia="zh-CN"/>
              </w:rPr>
              <w:t xml:space="preserve">  </w:t>
            </w:r>
            <w:r>
              <w:rPr>
                <w:rFonts w:hint="eastAsia"/>
                <w:color w:val="auto"/>
                <w:lang w:val="en-US" w:eastAsia="zh-CN"/>
              </w:rPr>
              <w:t xml:space="preserve">                                    </w:t>
            </w:r>
          </w:p>
          <w:tbl>
            <w:tblPr>
              <w:tblStyle w:val="26"/>
              <w:tblW w:w="12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189"/>
              <w:gridCol w:w="1593"/>
              <w:gridCol w:w="1747"/>
              <w:gridCol w:w="1643"/>
              <w:gridCol w:w="1985"/>
              <w:gridCol w:w="1499"/>
            </w:tblGrid>
            <w:tr w14:paraId="2656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3" w:type="dxa"/>
                  <w:vMerge w:val="restart"/>
                  <w:vAlign w:val="center"/>
                </w:tcPr>
                <w:p w14:paraId="5AC8D731">
                  <w:pPr>
                    <w:pStyle w:val="3"/>
                    <w:bidi w:val="0"/>
                    <w:jc w:val="center"/>
                    <w:rPr>
                      <w:rFonts w:hint="default"/>
                      <w:b/>
                      <w:bCs w:val="0"/>
                    </w:rPr>
                  </w:pPr>
                  <w:r>
                    <w:rPr>
                      <w:rFonts w:hint="default"/>
                      <w:b/>
                      <w:bCs w:val="0"/>
                    </w:rPr>
                    <w:t>设备名称</w:t>
                  </w:r>
                </w:p>
              </w:tc>
              <w:tc>
                <w:tcPr>
                  <w:tcW w:w="2189" w:type="dxa"/>
                  <w:vAlign w:val="center"/>
                </w:tcPr>
                <w:p w14:paraId="07A8DC87">
                  <w:pPr>
                    <w:pStyle w:val="3"/>
                    <w:bidi w:val="0"/>
                    <w:jc w:val="center"/>
                    <w:rPr>
                      <w:rFonts w:hint="default"/>
                      <w:b/>
                      <w:bCs w:val="0"/>
                    </w:rPr>
                  </w:pPr>
                  <w:r>
                    <w:rPr>
                      <w:rFonts w:hint="eastAsia"/>
                      <w:b/>
                      <w:bCs w:val="0"/>
                      <w:lang w:val="en-US" w:eastAsia="zh-CN"/>
                    </w:rPr>
                    <w:t>声源源强</w:t>
                  </w:r>
                </w:p>
              </w:tc>
              <w:tc>
                <w:tcPr>
                  <w:tcW w:w="4983" w:type="dxa"/>
                  <w:gridSpan w:val="3"/>
                  <w:vAlign w:val="center"/>
                </w:tcPr>
                <w:p w14:paraId="052E7A26">
                  <w:pPr>
                    <w:pStyle w:val="3"/>
                    <w:bidi w:val="0"/>
                    <w:jc w:val="center"/>
                    <w:rPr>
                      <w:rFonts w:hint="default"/>
                      <w:b/>
                      <w:bCs w:val="0"/>
                      <w:lang w:val="en-US"/>
                    </w:rPr>
                  </w:pPr>
                  <w:r>
                    <w:rPr>
                      <w:rFonts w:hint="eastAsia"/>
                      <w:b/>
                      <w:bCs w:val="0"/>
                      <w:lang w:val="en-US" w:eastAsia="zh-CN"/>
                    </w:rPr>
                    <w:t>空间相对位置/m*</w:t>
                  </w:r>
                </w:p>
              </w:tc>
              <w:tc>
                <w:tcPr>
                  <w:tcW w:w="1985" w:type="dxa"/>
                  <w:vAlign w:val="center"/>
                </w:tcPr>
                <w:p w14:paraId="189019D1">
                  <w:pPr>
                    <w:pStyle w:val="3"/>
                    <w:bidi w:val="0"/>
                    <w:jc w:val="center"/>
                    <w:rPr>
                      <w:rFonts w:hint="default"/>
                      <w:b/>
                      <w:bCs w:val="0"/>
                    </w:rPr>
                  </w:pPr>
                  <w:r>
                    <w:rPr>
                      <w:rFonts w:hint="eastAsia"/>
                      <w:b/>
                      <w:bCs w:val="0"/>
                      <w:lang w:val="en-US" w:eastAsia="zh-CN"/>
                    </w:rPr>
                    <w:t>声源控制措施</w:t>
                  </w:r>
                </w:p>
              </w:tc>
              <w:tc>
                <w:tcPr>
                  <w:tcW w:w="1499" w:type="dxa"/>
                  <w:vAlign w:val="center"/>
                </w:tcPr>
                <w:p w14:paraId="466DF537">
                  <w:pPr>
                    <w:pStyle w:val="3"/>
                    <w:bidi w:val="0"/>
                    <w:jc w:val="center"/>
                    <w:rPr>
                      <w:rFonts w:hint="default"/>
                      <w:b/>
                      <w:bCs w:val="0"/>
                    </w:rPr>
                  </w:pPr>
                  <w:r>
                    <w:rPr>
                      <w:rFonts w:hint="eastAsia"/>
                      <w:b/>
                      <w:bCs w:val="0"/>
                      <w:lang w:val="en-US" w:eastAsia="zh-CN"/>
                    </w:rPr>
                    <w:t>运行时段</w:t>
                  </w:r>
                </w:p>
              </w:tc>
            </w:tr>
            <w:tr w14:paraId="117F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3" w:type="dxa"/>
                  <w:vMerge w:val="continue"/>
                  <w:vAlign w:val="center"/>
                </w:tcPr>
                <w:p w14:paraId="01140117">
                  <w:pPr>
                    <w:pStyle w:val="3"/>
                    <w:bidi w:val="0"/>
                    <w:jc w:val="center"/>
                    <w:rPr>
                      <w:rFonts w:hint="default"/>
                    </w:rPr>
                  </w:pPr>
                </w:p>
              </w:tc>
              <w:tc>
                <w:tcPr>
                  <w:tcW w:w="2189" w:type="dxa"/>
                  <w:vAlign w:val="center"/>
                </w:tcPr>
                <w:p w14:paraId="5C4C7B31">
                  <w:pPr>
                    <w:pStyle w:val="3"/>
                    <w:bidi w:val="0"/>
                    <w:jc w:val="center"/>
                    <w:rPr>
                      <w:rFonts w:hint="default"/>
                      <w:b/>
                      <w:bCs w:val="0"/>
                    </w:rPr>
                  </w:pPr>
                  <w:r>
                    <w:rPr>
                      <w:rFonts w:hint="eastAsia"/>
                      <w:b/>
                      <w:bCs w:val="0"/>
                      <w:lang w:val="en-US" w:eastAsia="zh-CN"/>
                    </w:rPr>
                    <w:t>声功率级</w:t>
                  </w:r>
                </w:p>
              </w:tc>
              <w:tc>
                <w:tcPr>
                  <w:tcW w:w="1593" w:type="dxa"/>
                  <w:vAlign w:val="center"/>
                </w:tcPr>
                <w:p w14:paraId="6079214B">
                  <w:pPr>
                    <w:pStyle w:val="3"/>
                    <w:bidi w:val="0"/>
                    <w:jc w:val="center"/>
                    <w:rPr>
                      <w:rFonts w:hint="default"/>
                      <w:b/>
                      <w:bCs w:val="0"/>
                    </w:rPr>
                  </w:pPr>
                  <w:r>
                    <w:rPr>
                      <w:rFonts w:hint="default"/>
                      <w:b/>
                      <w:bCs w:val="0"/>
                    </w:rPr>
                    <w:t>X</w:t>
                  </w:r>
                </w:p>
              </w:tc>
              <w:tc>
                <w:tcPr>
                  <w:tcW w:w="1747" w:type="dxa"/>
                  <w:vAlign w:val="center"/>
                </w:tcPr>
                <w:p w14:paraId="2F90F6FA">
                  <w:pPr>
                    <w:pStyle w:val="3"/>
                    <w:bidi w:val="0"/>
                    <w:jc w:val="center"/>
                    <w:rPr>
                      <w:rFonts w:hint="default"/>
                      <w:b/>
                      <w:bCs w:val="0"/>
                    </w:rPr>
                  </w:pPr>
                  <w:r>
                    <w:rPr>
                      <w:rFonts w:hint="default"/>
                      <w:b/>
                      <w:bCs w:val="0"/>
                    </w:rPr>
                    <w:t>Y</w:t>
                  </w:r>
                </w:p>
              </w:tc>
              <w:tc>
                <w:tcPr>
                  <w:tcW w:w="1643" w:type="dxa"/>
                  <w:vAlign w:val="center"/>
                </w:tcPr>
                <w:p w14:paraId="2B185588">
                  <w:pPr>
                    <w:pStyle w:val="3"/>
                    <w:bidi w:val="0"/>
                    <w:jc w:val="center"/>
                    <w:rPr>
                      <w:rFonts w:hint="default"/>
                      <w:b/>
                      <w:bCs w:val="0"/>
                    </w:rPr>
                  </w:pPr>
                  <w:r>
                    <w:rPr>
                      <w:rFonts w:hint="eastAsia"/>
                      <w:b/>
                      <w:bCs w:val="0"/>
                      <w:lang w:val="en-US" w:eastAsia="zh-CN"/>
                    </w:rPr>
                    <w:t>高度</w:t>
                  </w:r>
                </w:p>
              </w:tc>
              <w:tc>
                <w:tcPr>
                  <w:tcW w:w="1985" w:type="dxa"/>
                  <w:vMerge w:val="restart"/>
                  <w:vAlign w:val="center"/>
                </w:tcPr>
                <w:p w14:paraId="7DB3F227">
                  <w:pPr>
                    <w:pStyle w:val="3"/>
                    <w:bidi w:val="0"/>
                    <w:jc w:val="center"/>
                    <w:rPr>
                      <w:rFonts w:hint="default"/>
                      <w:lang w:val="en-US" w:eastAsia="zh-CN"/>
                    </w:rPr>
                  </w:pPr>
                  <w:r>
                    <w:rPr>
                      <w:rFonts w:hint="eastAsia"/>
                      <w:lang w:val="en-US" w:eastAsia="zh-CN"/>
                    </w:rPr>
                    <w:t>基础减振、距离衰减等</w:t>
                  </w:r>
                </w:p>
              </w:tc>
              <w:tc>
                <w:tcPr>
                  <w:tcW w:w="1499" w:type="dxa"/>
                  <w:vMerge w:val="restart"/>
                  <w:vAlign w:val="center"/>
                </w:tcPr>
                <w:p w14:paraId="15173F7E">
                  <w:pPr>
                    <w:pStyle w:val="3"/>
                    <w:bidi w:val="0"/>
                    <w:jc w:val="center"/>
                    <w:rPr>
                      <w:rFonts w:hint="default"/>
                      <w:lang w:val="en-US" w:eastAsia="zh-CN"/>
                    </w:rPr>
                  </w:pPr>
                  <w:r>
                    <w:rPr>
                      <w:rFonts w:hint="eastAsia"/>
                      <w:lang w:val="en-US" w:eastAsia="zh-CN"/>
                    </w:rPr>
                    <w:t>全时段</w:t>
                  </w:r>
                </w:p>
              </w:tc>
            </w:tr>
            <w:tr w14:paraId="6451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3" w:type="dxa"/>
                  <w:vAlign w:val="center"/>
                </w:tcPr>
                <w:p w14:paraId="62D23FED">
                  <w:pPr>
                    <w:pStyle w:val="3"/>
                    <w:bidi w:val="0"/>
                    <w:jc w:val="center"/>
                    <w:rPr>
                      <w:rFonts w:hint="default"/>
                      <w:lang w:val="en-US" w:eastAsia="zh-CN"/>
                    </w:rPr>
                  </w:pPr>
                  <w:r>
                    <w:rPr>
                      <w:rFonts w:hint="eastAsia"/>
                      <w:lang w:val="en-US" w:eastAsia="zh-CN"/>
                    </w:rPr>
                    <w:t>风机</w:t>
                  </w:r>
                </w:p>
              </w:tc>
              <w:tc>
                <w:tcPr>
                  <w:tcW w:w="2189" w:type="dxa"/>
                  <w:vAlign w:val="center"/>
                </w:tcPr>
                <w:p w14:paraId="7E465B8D">
                  <w:pPr>
                    <w:pStyle w:val="3"/>
                    <w:bidi w:val="0"/>
                    <w:jc w:val="center"/>
                    <w:rPr>
                      <w:rFonts w:hint="default"/>
                      <w:lang w:val="en-US" w:eastAsia="zh-CN"/>
                    </w:rPr>
                  </w:pPr>
                  <w:r>
                    <w:rPr>
                      <w:rFonts w:hint="eastAsia"/>
                      <w:lang w:val="en-US" w:eastAsia="zh-CN"/>
                    </w:rPr>
                    <w:t>75</w:t>
                  </w:r>
                </w:p>
              </w:tc>
              <w:tc>
                <w:tcPr>
                  <w:tcW w:w="1593" w:type="dxa"/>
                  <w:vAlign w:val="center"/>
                </w:tcPr>
                <w:p w14:paraId="295546B5">
                  <w:pPr>
                    <w:pStyle w:val="3"/>
                    <w:bidi w:val="0"/>
                    <w:jc w:val="center"/>
                    <w:rPr>
                      <w:rFonts w:hint="default"/>
                      <w:lang w:val="en-US" w:eastAsia="zh-CN"/>
                    </w:rPr>
                  </w:pPr>
                  <w:r>
                    <w:rPr>
                      <w:rFonts w:hint="eastAsia"/>
                      <w:lang w:val="en-US" w:eastAsia="zh-CN"/>
                    </w:rPr>
                    <w:t>92</w:t>
                  </w:r>
                </w:p>
              </w:tc>
              <w:tc>
                <w:tcPr>
                  <w:tcW w:w="1747" w:type="dxa"/>
                  <w:vAlign w:val="center"/>
                </w:tcPr>
                <w:p w14:paraId="23985636">
                  <w:pPr>
                    <w:pStyle w:val="3"/>
                    <w:bidi w:val="0"/>
                    <w:jc w:val="center"/>
                    <w:rPr>
                      <w:rFonts w:hint="default"/>
                      <w:lang w:val="en-US" w:eastAsia="zh-CN"/>
                    </w:rPr>
                  </w:pPr>
                  <w:r>
                    <w:rPr>
                      <w:rFonts w:hint="eastAsia"/>
                      <w:lang w:val="en-US" w:eastAsia="zh-CN"/>
                    </w:rPr>
                    <w:t>22</w:t>
                  </w:r>
                </w:p>
              </w:tc>
              <w:tc>
                <w:tcPr>
                  <w:tcW w:w="1643" w:type="dxa"/>
                  <w:vAlign w:val="center"/>
                </w:tcPr>
                <w:p w14:paraId="6A412E2F">
                  <w:pPr>
                    <w:pStyle w:val="3"/>
                    <w:bidi w:val="0"/>
                    <w:jc w:val="center"/>
                    <w:rPr>
                      <w:rFonts w:hint="default"/>
                      <w:lang w:val="en-US" w:eastAsia="zh-CN"/>
                    </w:rPr>
                  </w:pPr>
                  <w:r>
                    <w:rPr>
                      <w:rFonts w:hint="eastAsia"/>
                      <w:lang w:val="en-US" w:eastAsia="zh-CN"/>
                    </w:rPr>
                    <w:t>15</w:t>
                  </w:r>
                </w:p>
              </w:tc>
              <w:tc>
                <w:tcPr>
                  <w:tcW w:w="1985" w:type="dxa"/>
                  <w:vMerge w:val="continue"/>
                  <w:vAlign w:val="center"/>
                </w:tcPr>
                <w:p w14:paraId="05057273">
                  <w:pPr>
                    <w:pStyle w:val="3"/>
                    <w:bidi w:val="0"/>
                    <w:jc w:val="center"/>
                    <w:rPr>
                      <w:rFonts w:hint="eastAsia"/>
                      <w:lang w:val="en-US" w:eastAsia="zh-CN"/>
                    </w:rPr>
                  </w:pPr>
                </w:p>
              </w:tc>
              <w:tc>
                <w:tcPr>
                  <w:tcW w:w="1499" w:type="dxa"/>
                  <w:vMerge w:val="continue"/>
                  <w:vAlign w:val="center"/>
                </w:tcPr>
                <w:p w14:paraId="5CAA0375">
                  <w:pPr>
                    <w:pStyle w:val="3"/>
                    <w:bidi w:val="0"/>
                    <w:jc w:val="center"/>
                    <w:rPr>
                      <w:rFonts w:hint="eastAsia"/>
                      <w:lang w:val="en-US" w:eastAsia="zh-CN"/>
                    </w:rPr>
                  </w:pPr>
                </w:p>
              </w:tc>
            </w:tr>
            <w:tr w14:paraId="2B21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9" w:type="dxa"/>
                  <w:gridSpan w:val="7"/>
                  <w:vAlign w:val="center"/>
                </w:tcPr>
                <w:p w14:paraId="55887648">
                  <w:pPr>
                    <w:pStyle w:val="3"/>
                    <w:bidi w:val="0"/>
                    <w:jc w:val="center"/>
                    <w:rPr>
                      <w:rFonts w:hint="eastAsia"/>
                      <w:lang w:val="en-US" w:eastAsia="zh-CN"/>
                    </w:rPr>
                  </w:pPr>
                  <w:r>
                    <w:rPr>
                      <w:rFonts w:hint="eastAsia"/>
                      <w:lang w:val="en-US" w:eastAsia="zh-CN"/>
                    </w:rPr>
                    <w:t>注：*以厂区西南角为坐标原点</w:t>
                  </w:r>
                  <w:r>
                    <w:rPr>
                      <w:rFonts w:hint="eastAsia" w:cs="Times New Roman"/>
                      <w:b w:val="0"/>
                      <w:bCs w:val="0"/>
                      <w:color w:val="auto"/>
                      <w:sz w:val="21"/>
                      <w:szCs w:val="21"/>
                      <w:lang w:val="en-US" w:eastAsia="zh-CN"/>
                    </w:rPr>
                    <w:t>（经度：116.704905 纬度：33.975366）</w:t>
                  </w:r>
                  <w:r>
                    <w:rPr>
                      <w:rFonts w:hint="eastAsia"/>
                      <w:lang w:val="en-US" w:eastAsia="zh-CN"/>
                    </w:rPr>
                    <w:t>，下同</w:t>
                  </w:r>
                </w:p>
              </w:tc>
            </w:tr>
          </w:tbl>
          <w:p w14:paraId="58FE064F">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宋体" w:cs="Times New Roman"/>
                <w:b/>
                <w:bCs/>
                <w:snapToGrid w:val="0"/>
                <w:color w:val="auto"/>
                <w:kern w:val="0"/>
                <w:sz w:val="24"/>
                <w:szCs w:val="24"/>
                <w:lang w:val="en-US" w:eastAsia="zh-CN" w:bidi="ar-SA"/>
              </w:rPr>
            </w:pPr>
            <w:r>
              <w:rPr>
                <w:rFonts w:hint="eastAsia" w:eastAsia="宋体" w:cs="Times New Roman"/>
                <w:kern w:val="0"/>
                <w:szCs w:val="21"/>
                <w:lang w:val="en-US" w:eastAsia="zh-CN"/>
              </w:rPr>
              <w:tab/>
            </w:r>
            <w:r>
              <w:rPr>
                <w:rFonts w:hint="eastAsia" w:ascii="Times New Roman" w:hAnsi="Times New Roman" w:eastAsia="宋体" w:cs="Times New Roman"/>
                <w:b/>
                <w:bCs/>
                <w:snapToGrid w:val="0"/>
                <w:color w:val="auto"/>
                <w:kern w:val="0"/>
                <w:sz w:val="24"/>
                <w:szCs w:val="24"/>
                <w:lang w:val="en-US" w:eastAsia="zh-CN" w:bidi="ar-SA"/>
              </w:rPr>
              <w:t>表4-</w:t>
            </w:r>
            <w:r>
              <w:rPr>
                <w:rFonts w:hint="eastAsia" w:cs="Times New Roman"/>
                <w:b/>
                <w:bCs/>
                <w:snapToGrid w:val="0"/>
                <w:color w:val="auto"/>
                <w:kern w:val="0"/>
                <w:sz w:val="24"/>
                <w:szCs w:val="24"/>
                <w:lang w:val="en-US" w:eastAsia="zh-CN" w:bidi="ar-SA"/>
              </w:rPr>
              <w:t xml:space="preserve">9  </w:t>
            </w:r>
            <w:r>
              <w:rPr>
                <w:rFonts w:hint="eastAsia" w:ascii="Times New Roman" w:hAnsi="Times New Roman" w:eastAsia="宋体" w:cs="Times New Roman"/>
                <w:b/>
                <w:bCs/>
                <w:snapToGrid w:val="0"/>
                <w:color w:val="auto"/>
                <w:kern w:val="0"/>
                <w:sz w:val="24"/>
                <w:szCs w:val="24"/>
                <w:lang w:val="en-US" w:eastAsia="zh-CN" w:bidi="ar-SA"/>
              </w:rPr>
              <w:t>厂区产噪噪声源强及治理措施（室内</w:t>
            </w:r>
            <w:r>
              <w:rPr>
                <w:rFonts w:hint="eastAsia" w:cs="Times New Roman"/>
                <w:b/>
                <w:bCs/>
                <w:snapToGrid w:val="0"/>
                <w:color w:val="auto"/>
                <w:kern w:val="0"/>
                <w:sz w:val="24"/>
                <w:szCs w:val="24"/>
                <w:lang w:val="en-US" w:eastAsia="zh-CN" w:bidi="ar-SA"/>
              </w:rPr>
              <w:t>声</w:t>
            </w:r>
            <w:r>
              <w:rPr>
                <w:rFonts w:hint="eastAsia" w:ascii="Times New Roman" w:hAnsi="Times New Roman" w:eastAsia="宋体" w:cs="Times New Roman"/>
                <w:b/>
                <w:bCs/>
                <w:snapToGrid w:val="0"/>
                <w:color w:val="auto"/>
                <w:kern w:val="0"/>
                <w:sz w:val="24"/>
                <w:szCs w:val="24"/>
                <w:lang w:val="en-US" w:eastAsia="zh-CN" w:bidi="ar-SA"/>
              </w:rPr>
              <w:t>源）</w:t>
            </w:r>
            <w:r>
              <w:rPr>
                <w:rFonts w:hint="eastAsia" w:eastAsia="宋体" w:cs="Times New Roman"/>
                <w:b/>
                <w:bCs/>
                <w:snapToGrid w:val="0"/>
                <w:color w:val="auto"/>
                <w:kern w:val="0"/>
                <w:sz w:val="24"/>
                <w:szCs w:val="24"/>
                <w:lang w:val="en-US" w:eastAsia="zh-CN" w:bidi="ar-SA"/>
              </w:rPr>
              <w:t xml:space="preserve">  </w:t>
            </w:r>
            <w:r>
              <w:rPr>
                <w:rFonts w:hint="default" w:ascii="Times New Roman" w:hAnsi="Times New Roman" w:eastAsia="宋体" w:cs="Times New Roman"/>
                <w:b/>
                <w:bCs/>
                <w:snapToGrid w:val="0"/>
                <w:color w:val="auto"/>
                <w:kern w:val="0"/>
                <w:sz w:val="24"/>
                <w:szCs w:val="24"/>
                <w:lang w:val="en-US" w:eastAsia="zh-CN" w:bidi="ar-SA"/>
              </w:rPr>
              <w:t>单位：dB（A）</w:t>
            </w:r>
          </w:p>
          <w:tbl>
            <w:tblPr>
              <w:tblStyle w:val="26"/>
              <w:tblW w:w="12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669"/>
              <w:gridCol w:w="889"/>
              <w:gridCol w:w="1160"/>
              <w:gridCol w:w="753"/>
              <w:gridCol w:w="790"/>
              <w:gridCol w:w="691"/>
              <w:gridCol w:w="1113"/>
              <w:gridCol w:w="834"/>
              <w:gridCol w:w="968"/>
              <w:gridCol w:w="716"/>
              <w:gridCol w:w="1031"/>
              <w:gridCol w:w="1392"/>
              <w:gridCol w:w="920"/>
            </w:tblGrid>
            <w:tr w14:paraId="50FD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restart"/>
                  <w:vAlign w:val="center"/>
                </w:tcPr>
                <w:p w14:paraId="6230A09D">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lang w:val="en-US" w:eastAsia="zh-CN"/>
                    </w:rPr>
                  </w:pPr>
                  <w:r>
                    <w:rPr>
                      <w:rFonts w:hint="default" w:ascii="Times New Roman" w:hAnsi="Times New Roman" w:cs="Times New Roman"/>
                      <w:b/>
                      <w:bCs w:val="0"/>
                      <w:color w:val="auto"/>
                      <w:sz w:val="21"/>
                      <w:szCs w:val="21"/>
                      <w:lang w:val="en-US" w:eastAsia="zh-CN"/>
                    </w:rPr>
                    <w:t>序号</w:t>
                  </w:r>
                </w:p>
              </w:tc>
              <w:tc>
                <w:tcPr>
                  <w:tcW w:w="669" w:type="dxa"/>
                  <w:vMerge w:val="restart"/>
                  <w:vAlign w:val="center"/>
                </w:tcPr>
                <w:p w14:paraId="477BDA02">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lang w:val="en-US" w:eastAsia="zh-CN"/>
                    </w:rPr>
                  </w:pPr>
                  <w:r>
                    <w:rPr>
                      <w:rFonts w:hint="default" w:ascii="Times New Roman" w:hAnsi="Times New Roman" w:cs="Times New Roman"/>
                      <w:b/>
                      <w:bCs w:val="0"/>
                      <w:color w:val="auto"/>
                      <w:sz w:val="21"/>
                      <w:szCs w:val="21"/>
                      <w:lang w:val="en-US" w:eastAsia="zh-CN"/>
                    </w:rPr>
                    <w:t>厂房</w:t>
                  </w:r>
                </w:p>
              </w:tc>
              <w:tc>
                <w:tcPr>
                  <w:tcW w:w="889" w:type="dxa"/>
                  <w:vMerge w:val="restart"/>
                  <w:vAlign w:val="center"/>
                </w:tcPr>
                <w:p w14:paraId="4BECA891">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设备名称</w:t>
                  </w:r>
                </w:p>
              </w:tc>
              <w:tc>
                <w:tcPr>
                  <w:tcW w:w="1160" w:type="dxa"/>
                  <w:vAlign w:val="center"/>
                </w:tcPr>
                <w:p w14:paraId="337FB788">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声源源强</w:t>
                  </w:r>
                </w:p>
              </w:tc>
              <w:tc>
                <w:tcPr>
                  <w:tcW w:w="2234" w:type="dxa"/>
                  <w:gridSpan w:val="3"/>
                  <w:vAlign w:val="center"/>
                </w:tcPr>
                <w:p w14:paraId="015133F1">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空间相对位置/m（以厂区西南角为原点）</w:t>
                  </w:r>
                </w:p>
              </w:tc>
              <w:tc>
                <w:tcPr>
                  <w:tcW w:w="1947" w:type="dxa"/>
                  <w:gridSpan w:val="2"/>
                  <w:vMerge w:val="restart"/>
                  <w:vAlign w:val="center"/>
                </w:tcPr>
                <w:p w14:paraId="5114DAFD">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距室内边界距离/m</w:t>
                  </w:r>
                </w:p>
              </w:tc>
              <w:tc>
                <w:tcPr>
                  <w:tcW w:w="968" w:type="dxa"/>
                  <w:vMerge w:val="restart"/>
                  <w:vAlign w:val="center"/>
                </w:tcPr>
                <w:p w14:paraId="241AF86D">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室内边界声级/dB（A）</w:t>
                  </w:r>
                </w:p>
              </w:tc>
              <w:tc>
                <w:tcPr>
                  <w:tcW w:w="716" w:type="dxa"/>
                  <w:vMerge w:val="restart"/>
                  <w:vAlign w:val="center"/>
                </w:tcPr>
                <w:p w14:paraId="1EDA0BB6">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运行时段</w:t>
                  </w:r>
                </w:p>
              </w:tc>
              <w:tc>
                <w:tcPr>
                  <w:tcW w:w="1031" w:type="dxa"/>
                  <w:vMerge w:val="restart"/>
                  <w:vAlign w:val="center"/>
                </w:tcPr>
                <w:p w14:paraId="4F2D64C6">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lang w:val="en-US" w:eastAsia="zh-CN"/>
                    </w:rPr>
                  </w:pPr>
                  <w:r>
                    <w:rPr>
                      <w:rFonts w:hint="default" w:ascii="Times New Roman" w:hAnsi="Times New Roman" w:cs="Times New Roman"/>
                      <w:b/>
                      <w:bCs w:val="0"/>
                      <w:color w:val="auto"/>
                      <w:sz w:val="21"/>
                      <w:szCs w:val="21"/>
                      <w:lang w:val="en-US" w:eastAsia="zh-CN"/>
                    </w:rPr>
                    <w:t>建筑物插入损失/dB（A）</w:t>
                  </w:r>
                </w:p>
              </w:tc>
              <w:tc>
                <w:tcPr>
                  <w:tcW w:w="2312" w:type="dxa"/>
                  <w:gridSpan w:val="2"/>
                  <w:vAlign w:val="center"/>
                </w:tcPr>
                <w:p w14:paraId="39B150E8">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lang w:val="en-US" w:eastAsia="zh-CN"/>
                    </w:rPr>
                  </w:pPr>
                  <w:r>
                    <w:rPr>
                      <w:rFonts w:hint="default" w:ascii="Times New Roman" w:hAnsi="Times New Roman" w:cs="Times New Roman"/>
                      <w:b/>
                      <w:bCs w:val="0"/>
                      <w:color w:val="auto"/>
                      <w:sz w:val="21"/>
                      <w:szCs w:val="21"/>
                      <w:lang w:val="en-US" w:eastAsia="zh-CN"/>
                    </w:rPr>
                    <w:t>建筑物外噪声</w:t>
                  </w:r>
                </w:p>
              </w:tc>
            </w:tr>
            <w:tr w14:paraId="229C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continue"/>
                  <w:vAlign w:val="center"/>
                </w:tcPr>
                <w:p w14:paraId="222A77B0">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tc>
              <w:tc>
                <w:tcPr>
                  <w:tcW w:w="669" w:type="dxa"/>
                  <w:vMerge w:val="continue"/>
                  <w:vAlign w:val="center"/>
                </w:tcPr>
                <w:p w14:paraId="0F6F5E21">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tc>
              <w:tc>
                <w:tcPr>
                  <w:tcW w:w="889" w:type="dxa"/>
                  <w:vMerge w:val="continue"/>
                  <w:vAlign w:val="center"/>
                </w:tcPr>
                <w:p w14:paraId="0012D5FE">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tc>
              <w:tc>
                <w:tcPr>
                  <w:tcW w:w="1160" w:type="dxa"/>
                  <w:vAlign w:val="center"/>
                </w:tcPr>
                <w:p w14:paraId="6A7FEBB8">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声功率级/dB（A）</w:t>
                  </w:r>
                </w:p>
              </w:tc>
              <w:tc>
                <w:tcPr>
                  <w:tcW w:w="753" w:type="dxa"/>
                  <w:vAlign w:val="center"/>
                </w:tcPr>
                <w:p w14:paraId="1C97BFB4">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X</w:t>
                  </w:r>
                </w:p>
              </w:tc>
              <w:tc>
                <w:tcPr>
                  <w:tcW w:w="790" w:type="dxa"/>
                  <w:vAlign w:val="center"/>
                </w:tcPr>
                <w:p w14:paraId="48A33405">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Y</w:t>
                  </w:r>
                </w:p>
              </w:tc>
              <w:tc>
                <w:tcPr>
                  <w:tcW w:w="691" w:type="dxa"/>
                  <w:vAlign w:val="center"/>
                </w:tcPr>
                <w:p w14:paraId="5D79841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高度（m）</w:t>
                  </w:r>
                </w:p>
              </w:tc>
              <w:tc>
                <w:tcPr>
                  <w:tcW w:w="1947" w:type="dxa"/>
                  <w:gridSpan w:val="2"/>
                  <w:vMerge w:val="continue"/>
                  <w:vAlign w:val="center"/>
                </w:tcPr>
                <w:p w14:paraId="0FBCF7FC">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tc>
              <w:tc>
                <w:tcPr>
                  <w:tcW w:w="968" w:type="dxa"/>
                  <w:vMerge w:val="continue"/>
                  <w:vAlign w:val="center"/>
                </w:tcPr>
                <w:p w14:paraId="07AB2485">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tc>
              <w:tc>
                <w:tcPr>
                  <w:tcW w:w="716" w:type="dxa"/>
                  <w:vMerge w:val="continue"/>
                  <w:vAlign w:val="center"/>
                </w:tcPr>
                <w:p w14:paraId="2E496E57">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tc>
              <w:tc>
                <w:tcPr>
                  <w:tcW w:w="1031" w:type="dxa"/>
                  <w:vMerge w:val="continue"/>
                  <w:vAlign w:val="center"/>
                </w:tcPr>
                <w:p w14:paraId="1D832E1E">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tc>
              <w:tc>
                <w:tcPr>
                  <w:tcW w:w="1392" w:type="dxa"/>
                  <w:vAlign w:val="center"/>
                </w:tcPr>
                <w:p w14:paraId="0E9F100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声压级/dB（A）</w:t>
                  </w:r>
                </w:p>
              </w:tc>
              <w:tc>
                <w:tcPr>
                  <w:tcW w:w="920" w:type="dxa"/>
                  <w:vAlign w:val="center"/>
                </w:tcPr>
                <w:p w14:paraId="6E91A7B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lang w:val="en-US" w:eastAsia="zh-CN"/>
                    </w:rPr>
                    <w:t>建筑物外距离/m</w:t>
                  </w:r>
                </w:p>
              </w:tc>
            </w:tr>
            <w:tr w14:paraId="3AF5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restart"/>
                  <w:vAlign w:val="center"/>
                </w:tcPr>
                <w:p w14:paraId="587944FD">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w:t>
                  </w:r>
                </w:p>
              </w:tc>
              <w:tc>
                <w:tcPr>
                  <w:tcW w:w="669" w:type="dxa"/>
                  <w:vMerge w:val="restart"/>
                  <w:vAlign w:val="center"/>
                </w:tcPr>
                <w:p w14:paraId="4C1EDF95">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生产车间</w:t>
                  </w:r>
                </w:p>
                <w:p w14:paraId="622630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lang w:val="en-US" w:eastAsia="zh-CN"/>
                    </w:rPr>
                  </w:pPr>
                </w:p>
              </w:tc>
              <w:tc>
                <w:tcPr>
                  <w:tcW w:w="889" w:type="dxa"/>
                  <w:vMerge w:val="restart"/>
                  <w:vAlign w:val="center"/>
                </w:tcPr>
                <w:p w14:paraId="21A9D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水泥稳定土拌合站</w:t>
                  </w:r>
                </w:p>
              </w:tc>
              <w:tc>
                <w:tcPr>
                  <w:tcW w:w="1160" w:type="dxa"/>
                  <w:vMerge w:val="restart"/>
                  <w:vAlign w:val="center"/>
                </w:tcPr>
                <w:p w14:paraId="09B35870">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80</w:t>
                  </w:r>
                </w:p>
              </w:tc>
              <w:tc>
                <w:tcPr>
                  <w:tcW w:w="753" w:type="dxa"/>
                  <w:vMerge w:val="restart"/>
                  <w:vAlign w:val="center"/>
                </w:tcPr>
                <w:p w14:paraId="2B5F3856">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r>
                    <w:rPr>
                      <w:rFonts w:hint="eastAsia"/>
                      <w:color w:val="auto"/>
                      <w:lang w:val="en-US" w:eastAsia="zh-CN"/>
                    </w:rPr>
                    <w:t>110</w:t>
                  </w:r>
                </w:p>
              </w:tc>
              <w:tc>
                <w:tcPr>
                  <w:tcW w:w="790" w:type="dxa"/>
                  <w:vMerge w:val="restart"/>
                  <w:vAlign w:val="center"/>
                </w:tcPr>
                <w:p w14:paraId="111678B5">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r>
                    <w:rPr>
                      <w:rFonts w:hint="eastAsia"/>
                      <w:color w:val="auto"/>
                      <w:lang w:val="en-US" w:eastAsia="zh-CN"/>
                    </w:rPr>
                    <w:t>43</w:t>
                  </w:r>
                </w:p>
              </w:tc>
              <w:tc>
                <w:tcPr>
                  <w:tcW w:w="691" w:type="dxa"/>
                  <w:vMerge w:val="restart"/>
                  <w:vAlign w:val="center"/>
                </w:tcPr>
                <w:p w14:paraId="3C83C0A0">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r>
                    <w:rPr>
                      <w:rFonts w:hint="eastAsia"/>
                      <w:color w:val="auto"/>
                      <w:lang w:val="en-US" w:eastAsia="zh-CN"/>
                    </w:rPr>
                    <w:t>1.5</w:t>
                  </w:r>
                </w:p>
              </w:tc>
              <w:tc>
                <w:tcPr>
                  <w:tcW w:w="1113" w:type="dxa"/>
                  <w:vAlign w:val="center"/>
                </w:tcPr>
                <w:p w14:paraId="0456AB22">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东</w:t>
                  </w:r>
                </w:p>
              </w:tc>
              <w:tc>
                <w:tcPr>
                  <w:tcW w:w="834" w:type="dxa"/>
                  <w:vAlign w:val="center"/>
                </w:tcPr>
                <w:p w14:paraId="56959A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94.0 </w:t>
                  </w:r>
                </w:p>
              </w:tc>
              <w:tc>
                <w:tcPr>
                  <w:tcW w:w="968" w:type="dxa"/>
                  <w:vAlign w:val="center"/>
                </w:tcPr>
                <w:p w14:paraId="416214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32.5 </w:t>
                  </w:r>
                </w:p>
              </w:tc>
              <w:tc>
                <w:tcPr>
                  <w:tcW w:w="716" w:type="dxa"/>
                  <w:vMerge w:val="restart"/>
                  <w:vAlign w:val="center"/>
                </w:tcPr>
                <w:p w14:paraId="3BF962C1">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昼</w:t>
                  </w:r>
                  <w:r>
                    <w:rPr>
                      <w:rFonts w:hint="eastAsia" w:ascii="Times New Roman" w:hAnsi="Times New Roman" w:eastAsia="宋体" w:cs="Times New Roman"/>
                      <w:b w:val="0"/>
                      <w:bCs/>
                      <w:color w:val="auto"/>
                      <w:sz w:val="21"/>
                      <w:szCs w:val="21"/>
                      <w:lang w:val="en-US" w:eastAsia="zh-CN"/>
                    </w:rPr>
                    <w:t>夜12小时</w:t>
                  </w:r>
                </w:p>
                <w:p w14:paraId="7D7362BB">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031" w:type="dxa"/>
                  <w:vMerge w:val="restart"/>
                  <w:vAlign w:val="center"/>
                </w:tcPr>
                <w:p w14:paraId="0C0D7971">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5</w:t>
                  </w:r>
                </w:p>
              </w:tc>
              <w:tc>
                <w:tcPr>
                  <w:tcW w:w="1392" w:type="dxa"/>
                  <w:vAlign w:val="center"/>
                </w:tcPr>
                <w:p w14:paraId="49C443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22.5 </w:t>
                  </w:r>
                </w:p>
              </w:tc>
              <w:tc>
                <w:tcPr>
                  <w:tcW w:w="920" w:type="dxa"/>
                  <w:vMerge w:val="restart"/>
                  <w:vAlign w:val="center"/>
                </w:tcPr>
                <w:p w14:paraId="6AD4A499">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w:t>
                  </w:r>
                </w:p>
              </w:tc>
            </w:tr>
            <w:tr w14:paraId="44C3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continue"/>
                  <w:vAlign w:val="center"/>
                </w:tcPr>
                <w:p w14:paraId="73539701">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669" w:type="dxa"/>
                  <w:vMerge w:val="continue"/>
                  <w:vAlign w:val="center"/>
                </w:tcPr>
                <w:p w14:paraId="505B230F">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889" w:type="dxa"/>
                  <w:vMerge w:val="continue"/>
                  <w:vAlign w:val="center"/>
                </w:tcPr>
                <w:p w14:paraId="162EC438">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160" w:type="dxa"/>
                  <w:vMerge w:val="continue"/>
                  <w:vAlign w:val="center"/>
                </w:tcPr>
                <w:p w14:paraId="0CD0F97A">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753" w:type="dxa"/>
                  <w:vMerge w:val="continue"/>
                  <w:vAlign w:val="center"/>
                </w:tcPr>
                <w:p w14:paraId="7AD24F0C">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790" w:type="dxa"/>
                  <w:vMerge w:val="continue"/>
                  <w:vAlign w:val="center"/>
                </w:tcPr>
                <w:p w14:paraId="2FD542DF">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691" w:type="dxa"/>
                  <w:vMerge w:val="continue"/>
                  <w:vAlign w:val="center"/>
                </w:tcPr>
                <w:p w14:paraId="1B57C0AA">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1113" w:type="dxa"/>
                  <w:vAlign w:val="center"/>
                </w:tcPr>
                <w:p w14:paraId="0D4F9A74">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南</w:t>
                  </w:r>
                </w:p>
              </w:tc>
              <w:tc>
                <w:tcPr>
                  <w:tcW w:w="834" w:type="dxa"/>
                  <w:vAlign w:val="center"/>
                </w:tcPr>
                <w:p w14:paraId="0E05F5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43.0 </w:t>
                  </w:r>
                </w:p>
              </w:tc>
              <w:tc>
                <w:tcPr>
                  <w:tcW w:w="968" w:type="dxa"/>
                  <w:vAlign w:val="center"/>
                </w:tcPr>
                <w:p w14:paraId="5C8417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39.3 </w:t>
                  </w:r>
                </w:p>
              </w:tc>
              <w:tc>
                <w:tcPr>
                  <w:tcW w:w="716" w:type="dxa"/>
                  <w:vMerge w:val="continue"/>
                  <w:vAlign w:val="center"/>
                </w:tcPr>
                <w:p w14:paraId="16028507">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031" w:type="dxa"/>
                  <w:vMerge w:val="continue"/>
                  <w:vAlign w:val="center"/>
                </w:tcPr>
                <w:p w14:paraId="5A261D28">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392" w:type="dxa"/>
                  <w:vAlign w:val="center"/>
                </w:tcPr>
                <w:p w14:paraId="5FA5F3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29.3 </w:t>
                  </w:r>
                </w:p>
              </w:tc>
              <w:tc>
                <w:tcPr>
                  <w:tcW w:w="920" w:type="dxa"/>
                  <w:vMerge w:val="continue"/>
                  <w:vAlign w:val="center"/>
                </w:tcPr>
                <w:p w14:paraId="661A41DD">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r>
            <w:tr w14:paraId="6BE3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continue"/>
                  <w:vAlign w:val="center"/>
                </w:tcPr>
                <w:p w14:paraId="36A6CDD5">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669" w:type="dxa"/>
                  <w:vMerge w:val="continue"/>
                  <w:vAlign w:val="center"/>
                </w:tcPr>
                <w:p w14:paraId="35DD9806">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889" w:type="dxa"/>
                  <w:vMerge w:val="continue"/>
                  <w:vAlign w:val="center"/>
                </w:tcPr>
                <w:p w14:paraId="75884206">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160" w:type="dxa"/>
                  <w:vMerge w:val="continue"/>
                  <w:vAlign w:val="center"/>
                </w:tcPr>
                <w:p w14:paraId="46EB7CFF">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753" w:type="dxa"/>
                  <w:vMerge w:val="continue"/>
                  <w:vAlign w:val="center"/>
                </w:tcPr>
                <w:p w14:paraId="0F775E5E">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790" w:type="dxa"/>
                  <w:vMerge w:val="continue"/>
                  <w:vAlign w:val="center"/>
                </w:tcPr>
                <w:p w14:paraId="423010F6">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691" w:type="dxa"/>
                  <w:vMerge w:val="continue"/>
                  <w:vAlign w:val="center"/>
                </w:tcPr>
                <w:p w14:paraId="43F46D31">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1113" w:type="dxa"/>
                  <w:vAlign w:val="center"/>
                </w:tcPr>
                <w:p w14:paraId="3219E9F9">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西</w:t>
                  </w:r>
                </w:p>
              </w:tc>
              <w:tc>
                <w:tcPr>
                  <w:tcW w:w="834" w:type="dxa"/>
                  <w:vAlign w:val="center"/>
                </w:tcPr>
                <w:p w14:paraId="4368E3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110.0 </w:t>
                  </w:r>
                </w:p>
              </w:tc>
              <w:tc>
                <w:tcPr>
                  <w:tcW w:w="968" w:type="dxa"/>
                  <w:vAlign w:val="center"/>
                </w:tcPr>
                <w:p w14:paraId="529369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31.2 </w:t>
                  </w:r>
                </w:p>
              </w:tc>
              <w:tc>
                <w:tcPr>
                  <w:tcW w:w="716" w:type="dxa"/>
                  <w:vMerge w:val="continue"/>
                  <w:vAlign w:val="center"/>
                </w:tcPr>
                <w:p w14:paraId="2D167F5F">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031" w:type="dxa"/>
                  <w:vMerge w:val="continue"/>
                  <w:vAlign w:val="center"/>
                </w:tcPr>
                <w:p w14:paraId="424B97D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392" w:type="dxa"/>
                  <w:vAlign w:val="center"/>
                </w:tcPr>
                <w:p w14:paraId="0146F0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21.2 </w:t>
                  </w:r>
                </w:p>
              </w:tc>
              <w:tc>
                <w:tcPr>
                  <w:tcW w:w="920" w:type="dxa"/>
                  <w:vMerge w:val="continue"/>
                  <w:vAlign w:val="center"/>
                </w:tcPr>
                <w:p w14:paraId="28AC85A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r>
            <w:tr w14:paraId="7845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continue"/>
                  <w:vAlign w:val="center"/>
                </w:tcPr>
                <w:p w14:paraId="536B62F2">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669" w:type="dxa"/>
                  <w:vMerge w:val="continue"/>
                  <w:vAlign w:val="center"/>
                </w:tcPr>
                <w:p w14:paraId="2F52B1D8">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889" w:type="dxa"/>
                  <w:vMerge w:val="continue"/>
                  <w:vAlign w:val="center"/>
                </w:tcPr>
                <w:p w14:paraId="0E2FFBB7">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160" w:type="dxa"/>
                  <w:vMerge w:val="continue"/>
                  <w:vAlign w:val="center"/>
                </w:tcPr>
                <w:p w14:paraId="17C6543D">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753" w:type="dxa"/>
                  <w:vMerge w:val="continue"/>
                  <w:vAlign w:val="center"/>
                </w:tcPr>
                <w:p w14:paraId="27F54942">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790" w:type="dxa"/>
                  <w:vMerge w:val="continue"/>
                  <w:vAlign w:val="center"/>
                </w:tcPr>
                <w:p w14:paraId="4EC239B8">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691" w:type="dxa"/>
                  <w:vMerge w:val="continue"/>
                  <w:vAlign w:val="center"/>
                </w:tcPr>
                <w:p w14:paraId="03BA54EC">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1113" w:type="dxa"/>
                  <w:vAlign w:val="center"/>
                </w:tcPr>
                <w:p w14:paraId="0B19DCE2">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北</w:t>
                  </w:r>
                </w:p>
              </w:tc>
              <w:tc>
                <w:tcPr>
                  <w:tcW w:w="834" w:type="dxa"/>
                  <w:vAlign w:val="center"/>
                </w:tcPr>
                <w:p w14:paraId="22B04C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24.0 </w:t>
                  </w:r>
                </w:p>
              </w:tc>
              <w:tc>
                <w:tcPr>
                  <w:tcW w:w="968" w:type="dxa"/>
                  <w:vAlign w:val="center"/>
                </w:tcPr>
                <w:p w14:paraId="4BD6AD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44.4 </w:t>
                  </w:r>
                </w:p>
              </w:tc>
              <w:tc>
                <w:tcPr>
                  <w:tcW w:w="716" w:type="dxa"/>
                  <w:vMerge w:val="continue"/>
                  <w:vAlign w:val="center"/>
                </w:tcPr>
                <w:p w14:paraId="2E2B726A">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031" w:type="dxa"/>
                  <w:vMerge w:val="continue"/>
                  <w:vAlign w:val="center"/>
                </w:tcPr>
                <w:p w14:paraId="0140194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392" w:type="dxa"/>
                  <w:vAlign w:val="center"/>
                </w:tcPr>
                <w:p w14:paraId="490DCA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34.4 </w:t>
                  </w:r>
                </w:p>
              </w:tc>
              <w:tc>
                <w:tcPr>
                  <w:tcW w:w="920" w:type="dxa"/>
                  <w:vMerge w:val="continue"/>
                  <w:vAlign w:val="center"/>
                </w:tcPr>
                <w:p w14:paraId="65E5DCD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r>
            <w:tr w14:paraId="669B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restart"/>
                  <w:vAlign w:val="center"/>
                </w:tcPr>
                <w:p w14:paraId="5B39DF2E">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w:t>
                  </w:r>
                </w:p>
              </w:tc>
              <w:tc>
                <w:tcPr>
                  <w:tcW w:w="669" w:type="dxa"/>
                  <w:vMerge w:val="continue"/>
                  <w:vAlign w:val="center"/>
                </w:tcPr>
                <w:p w14:paraId="239DA000">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889" w:type="dxa"/>
                  <w:vMerge w:val="restart"/>
                  <w:vAlign w:val="center"/>
                </w:tcPr>
                <w:p w14:paraId="40F71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螺旋输送机</w:t>
                  </w:r>
                </w:p>
              </w:tc>
              <w:tc>
                <w:tcPr>
                  <w:tcW w:w="1160" w:type="dxa"/>
                  <w:vMerge w:val="restart"/>
                  <w:vAlign w:val="center"/>
                </w:tcPr>
                <w:p w14:paraId="4AC206D7">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80</w:t>
                  </w:r>
                </w:p>
              </w:tc>
              <w:tc>
                <w:tcPr>
                  <w:tcW w:w="753" w:type="dxa"/>
                  <w:vMerge w:val="restart"/>
                  <w:vAlign w:val="center"/>
                </w:tcPr>
                <w:p w14:paraId="0F9531F6">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r>
                    <w:rPr>
                      <w:rFonts w:hint="eastAsia"/>
                      <w:color w:val="auto"/>
                      <w:lang w:val="en-US" w:eastAsia="zh-CN"/>
                    </w:rPr>
                    <w:t>112</w:t>
                  </w:r>
                </w:p>
              </w:tc>
              <w:tc>
                <w:tcPr>
                  <w:tcW w:w="790" w:type="dxa"/>
                  <w:vMerge w:val="restart"/>
                  <w:vAlign w:val="center"/>
                </w:tcPr>
                <w:p w14:paraId="4A3F0045">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r>
                    <w:rPr>
                      <w:rFonts w:hint="eastAsia"/>
                      <w:color w:val="auto"/>
                      <w:lang w:val="en-US" w:eastAsia="zh-CN"/>
                    </w:rPr>
                    <w:t>43</w:t>
                  </w:r>
                </w:p>
              </w:tc>
              <w:tc>
                <w:tcPr>
                  <w:tcW w:w="691" w:type="dxa"/>
                  <w:vMerge w:val="restart"/>
                  <w:vAlign w:val="center"/>
                </w:tcPr>
                <w:p w14:paraId="316C0C2F">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r>
                    <w:rPr>
                      <w:rFonts w:hint="eastAsia"/>
                      <w:color w:val="auto"/>
                      <w:lang w:val="en-US" w:eastAsia="zh-CN"/>
                    </w:rPr>
                    <w:t>1.5</w:t>
                  </w:r>
                </w:p>
              </w:tc>
              <w:tc>
                <w:tcPr>
                  <w:tcW w:w="1113" w:type="dxa"/>
                  <w:vAlign w:val="center"/>
                </w:tcPr>
                <w:p w14:paraId="441E0B48">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东</w:t>
                  </w:r>
                </w:p>
              </w:tc>
              <w:tc>
                <w:tcPr>
                  <w:tcW w:w="834" w:type="dxa"/>
                  <w:vAlign w:val="center"/>
                </w:tcPr>
                <w:p w14:paraId="001502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92.0 </w:t>
                  </w:r>
                </w:p>
              </w:tc>
              <w:tc>
                <w:tcPr>
                  <w:tcW w:w="968" w:type="dxa"/>
                  <w:vAlign w:val="center"/>
                </w:tcPr>
                <w:p w14:paraId="3A611C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32.7 </w:t>
                  </w:r>
                </w:p>
              </w:tc>
              <w:tc>
                <w:tcPr>
                  <w:tcW w:w="716" w:type="dxa"/>
                  <w:vMerge w:val="continue"/>
                  <w:vAlign w:val="center"/>
                </w:tcPr>
                <w:p w14:paraId="6FEF2542">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031" w:type="dxa"/>
                  <w:vMerge w:val="continue"/>
                  <w:vAlign w:val="center"/>
                </w:tcPr>
                <w:p w14:paraId="52D55B7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392" w:type="dxa"/>
                  <w:vAlign w:val="center"/>
                </w:tcPr>
                <w:p w14:paraId="364388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22.7 </w:t>
                  </w:r>
                </w:p>
              </w:tc>
              <w:tc>
                <w:tcPr>
                  <w:tcW w:w="920" w:type="dxa"/>
                  <w:vMerge w:val="restart"/>
                  <w:vAlign w:val="center"/>
                </w:tcPr>
                <w:p w14:paraId="3D4980B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w:t>
                  </w:r>
                </w:p>
              </w:tc>
            </w:tr>
            <w:tr w14:paraId="2978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continue"/>
                  <w:vAlign w:val="center"/>
                </w:tcPr>
                <w:p w14:paraId="53337020">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669" w:type="dxa"/>
                  <w:vMerge w:val="continue"/>
                  <w:vAlign w:val="center"/>
                </w:tcPr>
                <w:p w14:paraId="67417B3E">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889" w:type="dxa"/>
                  <w:vMerge w:val="continue"/>
                  <w:vAlign w:val="center"/>
                </w:tcPr>
                <w:p w14:paraId="1797B4E9">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160" w:type="dxa"/>
                  <w:vMerge w:val="continue"/>
                  <w:vAlign w:val="center"/>
                </w:tcPr>
                <w:p w14:paraId="0759CF5A">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753" w:type="dxa"/>
                  <w:vMerge w:val="continue"/>
                  <w:vAlign w:val="center"/>
                </w:tcPr>
                <w:p w14:paraId="55233F43">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790" w:type="dxa"/>
                  <w:vMerge w:val="continue"/>
                  <w:vAlign w:val="center"/>
                </w:tcPr>
                <w:p w14:paraId="75D2DD54">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691" w:type="dxa"/>
                  <w:vMerge w:val="continue"/>
                  <w:vAlign w:val="center"/>
                </w:tcPr>
                <w:p w14:paraId="4461568F">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1113" w:type="dxa"/>
                  <w:vAlign w:val="center"/>
                </w:tcPr>
                <w:p w14:paraId="735A7505">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南</w:t>
                  </w:r>
                </w:p>
              </w:tc>
              <w:tc>
                <w:tcPr>
                  <w:tcW w:w="834" w:type="dxa"/>
                  <w:vAlign w:val="center"/>
                </w:tcPr>
                <w:p w14:paraId="7FB331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43.0 </w:t>
                  </w:r>
                </w:p>
              </w:tc>
              <w:tc>
                <w:tcPr>
                  <w:tcW w:w="968" w:type="dxa"/>
                  <w:vAlign w:val="center"/>
                </w:tcPr>
                <w:p w14:paraId="6BBD28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39.3 </w:t>
                  </w:r>
                </w:p>
              </w:tc>
              <w:tc>
                <w:tcPr>
                  <w:tcW w:w="716" w:type="dxa"/>
                  <w:vMerge w:val="continue"/>
                  <w:vAlign w:val="center"/>
                </w:tcPr>
                <w:p w14:paraId="78D0B9D7">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031" w:type="dxa"/>
                  <w:vMerge w:val="continue"/>
                  <w:vAlign w:val="center"/>
                </w:tcPr>
                <w:p w14:paraId="421FB15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392" w:type="dxa"/>
                  <w:vAlign w:val="center"/>
                </w:tcPr>
                <w:p w14:paraId="3E05E8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29.3 </w:t>
                  </w:r>
                </w:p>
              </w:tc>
              <w:tc>
                <w:tcPr>
                  <w:tcW w:w="920" w:type="dxa"/>
                  <w:vMerge w:val="continue"/>
                  <w:vAlign w:val="center"/>
                </w:tcPr>
                <w:p w14:paraId="753F7BB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r>
            <w:tr w14:paraId="20E3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continue"/>
                  <w:vAlign w:val="center"/>
                </w:tcPr>
                <w:p w14:paraId="4ABE934F">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669" w:type="dxa"/>
                  <w:vMerge w:val="continue"/>
                  <w:vAlign w:val="center"/>
                </w:tcPr>
                <w:p w14:paraId="6408DC9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889" w:type="dxa"/>
                  <w:vMerge w:val="continue"/>
                  <w:vAlign w:val="center"/>
                </w:tcPr>
                <w:p w14:paraId="591272D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160" w:type="dxa"/>
                  <w:vMerge w:val="continue"/>
                  <w:vAlign w:val="center"/>
                </w:tcPr>
                <w:p w14:paraId="7D9B528A">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753" w:type="dxa"/>
                  <w:vMerge w:val="continue"/>
                  <w:vAlign w:val="center"/>
                </w:tcPr>
                <w:p w14:paraId="61374329">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790" w:type="dxa"/>
                  <w:vMerge w:val="continue"/>
                  <w:vAlign w:val="center"/>
                </w:tcPr>
                <w:p w14:paraId="7903C0A8">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691" w:type="dxa"/>
                  <w:vMerge w:val="continue"/>
                  <w:vAlign w:val="center"/>
                </w:tcPr>
                <w:p w14:paraId="23167AD8">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1113" w:type="dxa"/>
                  <w:vAlign w:val="center"/>
                </w:tcPr>
                <w:p w14:paraId="0115F667">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西</w:t>
                  </w:r>
                </w:p>
              </w:tc>
              <w:tc>
                <w:tcPr>
                  <w:tcW w:w="834" w:type="dxa"/>
                  <w:vAlign w:val="center"/>
                </w:tcPr>
                <w:p w14:paraId="1B424F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112.0 </w:t>
                  </w:r>
                </w:p>
              </w:tc>
              <w:tc>
                <w:tcPr>
                  <w:tcW w:w="968" w:type="dxa"/>
                  <w:vAlign w:val="center"/>
                </w:tcPr>
                <w:p w14:paraId="2AE46C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31.0 </w:t>
                  </w:r>
                </w:p>
              </w:tc>
              <w:tc>
                <w:tcPr>
                  <w:tcW w:w="716" w:type="dxa"/>
                  <w:vMerge w:val="continue"/>
                  <w:vAlign w:val="center"/>
                </w:tcPr>
                <w:p w14:paraId="27691E34">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031" w:type="dxa"/>
                  <w:vMerge w:val="continue"/>
                  <w:vAlign w:val="center"/>
                </w:tcPr>
                <w:p w14:paraId="6065742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392" w:type="dxa"/>
                  <w:vAlign w:val="center"/>
                </w:tcPr>
                <w:p w14:paraId="217DED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21.0 </w:t>
                  </w:r>
                </w:p>
              </w:tc>
              <w:tc>
                <w:tcPr>
                  <w:tcW w:w="920" w:type="dxa"/>
                  <w:vMerge w:val="continue"/>
                  <w:vAlign w:val="center"/>
                </w:tcPr>
                <w:p w14:paraId="7CC3B90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r>
            <w:tr w14:paraId="044E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continue"/>
                  <w:vAlign w:val="center"/>
                </w:tcPr>
                <w:p w14:paraId="51A43D4F">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669" w:type="dxa"/>
                  <w:vMerge w:val="continue"/>
                  <w:vAlign w:val="center"/>
                </w:tcPr>
                <w:p w14:paraId="58DACB7C">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889" w:type="dxa"/>
                  <w:vMerge w:val="continue"/>
                  <w:vAlign w:val="center"/>
                </w:tcPr>
                <w:p w14:paraId="4D14970D">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160" w:type="dxa"/>
                  <w:vMerge w:val="continue"/>
                  <w:vAlign w:val="center"/>
                </w:tcPr>
                <w:p w14:paraId="7CF6F42F">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753" w:type="dxa"/>
                  <w:vMerge w:val="continue"/>
                  <w:vAlign w:val="center"/>
                </w:tcPr>
                <w:p w14:paraId="36FDE2C2">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790" w:type="dxa"/>
                  <w:vMerge w:val="continue"/>
                  <w:vAlign w:val="center"/>
                </w:tcPr>
                <w:p w14:paraId="7ED0BE66">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691" w:type="dxa"/>
                  <w:vMerge w:val="continue"/>
                  <w:vAlign w:val="center"/>
                </w:tcPr>
                <w:p w14:paraId="7D0F81CD">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p>
              </w:tc>
              <w:tc>
                <w:tcPr>
                  <w:tcW w:w="1113" w:type="dxa"/>
                  <w:vAlign w:val="center"/>
                </w:tcPr>
                <w:p w14:paraId="49ED6419">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北</w:t>
                  </w:r>
                </w:p>
              </w:tc>
              <w:tc>
                <w:tcPr>
                  <w:tcW w:w="834" w:type="dxa"/>
                  <w:vAlign w:val="center"/>
                </w:tcPr>
                <w:p w14:paraId="2EF32E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24.0 </w:t>
                  </w:r>
                </w:p>
              </w:tc>
              <w:tc>
                <w:tcPr>
                  <w:tcW w:w="968" w:type="dxa"/>
                  <w:vAlign w:val="center"/>
                </w:tcPr>
                <w:p w14:paraId="6FD910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44.4 </w:t>
                  </w:r>
                </w:p>
              </w:tc>
              <w:tc>
                <w:tcPr>
                  <w:tcW w:w="716" w:type="dxa"/>
                  <w:vMerge w:val="continue"/>
                  <w:vAlign w:val="center"/>
                </w:tcPr>
                <w:p w14:paraId="0D4422E4">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031" w:type="dxa"/>
                  <w:vMerge w:val="continue"/>
                  <w:vAlign w:val="center"/>
                </w:tcPr>
                <w:p w14:paraId="43259FB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392" w:type="dxa"/>
                  <w:vAlign w:val="center"/>
                </w:tcPr>
                <w:p w14:paraId="6D7FF1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34.4 </w:t>
                  </w:r>
                </w:p>
              </w:tc>
              <w:tc>
                <w:tcPr>
                  <w:tcW w:w="920" w:type="dxa"/>
                  <w:vMerge w:val="continue"/>
                  <w:vAlign w:val="center"/>
                </w:tcPr>
                <w:p w14:paraId="46A4B67F">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r>
            <w:tr w14:paraId="064A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restart"/>
                  <w:vAlign w:val="center"/>
                </w:tcPr>
                <w:p w14:paraId="042F278C">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w:t>
                  </w:r>
                </w:p>
              </w:tc>
              <w:tc>
                <w:tcPr>
                  <w:tcW w:w="669" w:type="dxa"/>
                  <w:vMerge w:val="continue"/>
                  <w:vAlign w:val="center"/>
                </w:tcPr>
                <w:p w14:paraId="5DA39C99">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889" w:type="dxa"/>
                  <w:vMerge w:val="restart"/>
                  <w:vAlign w:val="center"/>
                </w:tcPr>
                <w:p w14:paraId="0CFD12F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水泵</w:t>
                  </w:r>
                </w:p>
              </w:tc>
              <w:tc>
                <w:tcPr>
                  <w:tcW w:w="1160" w:type="dxa"/>
                  <w:vMerge w:val="restart"/>
                  <w:vAlign w:val="center"/>
                </w:tcPr>
                <w:p w14:paraId="258BC4FF">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80</w:t>
                  </w:r>
                </w:p>
              </w:tc>
              <w:tc>
                <w:tcPr>
                  <w:tcW w:w="753" w:type="dxa"/>
                  <w:vMerge w:val="restart"/>
                  <w:vAlign w:val="center"/>
                </w:tcPr>
                <w:p w14:paraId="20DE4071">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r>
                    <w:rPr>
                      <w:rFonts w:hint="eastAsia"/>
                      <w:color w:val="auto"/>
                      <w:lang w:val="en-US" w:eastAsia="zh-CN"/>
                    </w:rPr>
                    <w:t>115</w:t>
                  </w:r>
                </w:p>
              </w:tc>
              <w:tc>
                <w:tcPr>
                  <w:tcW w:w="790" w:type="dxa"/>
                  <w:vMerge w:val="restart"/>
                  <w:vAlign w:val="center"/>
                </w:tcPr>
                <w:p w14:paraId="4654E9D4">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r>
                    <w:rPr>
                      <w:rFonts w:hint="eastAsia"/>
                      <w:color w:val="auto"/>
                      <w:lang w:val="en-US" w:eastAsia="zh-CN"/>
                    </w:rPr>
                    <w:t>43</w:t>
                  </w:r>
                </w:p>
              </w:tc>
              <w:tc>
                <w:tcPr>
                  <w:tcW w:w="691" w:type="dxa"/>
                  <w:vMerge w:val="restart"/>
                  <w:vAlign w:val="center"/>
                </w:tcPr>
                <w:p w14:paraId="049C8358">
                  <w:pPr>
                    <w:pStyle w:val="3"/>
                    <w:pageBreakBefore w:val="0"/>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r>
                    <w:rPr>
                      <w:rFonts w:hint="eastAsia"/>
                      <w:color w:val="auto"/>
                      <w:lang w:val="en-US" w:eastAsia="zh-CN"/>
                    </w:rPr>
                    <w:t>1</w:t>
                  </w:r>
                </w:p>
              </w:tc>
              <w:tc>
                <w:tcPr>
                  <w:tcW w:w="1113" w:type="dxa"/>
                  <w:vAlign w:val="center"/>
                </w:tcPr>
                <w:p w14:paraId="55C36E62">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东</w:t>
                  </w:r>
                </w:p>
              </w:tc>
              <w:tc>
                <w:tcPr>
                  <w:tcW w:w="834" w:type="dxa"/>
                  <w:vAlign w:val="center"/>
                </w:tcPr>
                <w:p w14:paraId="08F710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110.0 </w:t>
                  </w:r>
                </w:p>
              </w:tc>
              <w:tc>
                <w:tcPr>
                  <w:tcW w:w="968" w:type="dxa"/>
                  <w:vAlign w:val="center"/>
                </w:tcPr>
                <w:p w14:paraId="2D0FC8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31.2 </w:t>
                  </w:r>
                </w:p>
              </w:tc>
              <w:tc>
                <w:tcPr>
                  <w:tcW w:w="716" w:type="dxa"/>
                  <w:vMerge w:val="continue"/>
                  <w:vAlign w:val="center"/>
                </w:tcPr>
                <w:p w14:paraId="5666E3E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031" w:type="dxa"/>
                  <w:vMerge w:val="continue"/>
                  <w:vAlign w:val="center"/>
                </w:tcPr>
                <w:p w14:paraId="523DA2F0">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392" w:type="dxa"/>
                  <w:vAlign w:val="center"/>
                </w:tcPr>
                <w:p w14:paraId="74BCF3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21.2 </w:t>
                  </w:r>
                </w:p>
              </w:tc>
              <w:tc>
                <w:tcPr>
                  <w:tcW w:w="920" w:type="dxa"/>
                  <w:vMerge w:val="restart"/>
                  <w:vAlign w:val="center"/>
                </w:tcPr>
                <w:p w14:paraId="52F372AC">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1</w:t>
                  </w:r>
                </w:p>
              </w:tc>
            </w:tr>
            <w:tr w14:paraId="63EE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continue"/>
                  <w:vAlign w:val="center"/>
                </w:tcPr>
                <w:p w14:paraId="4ACCF939">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lang w:val="en-US" w:eastAsia="zh-CN"/>
                    </w:rPr>
                  </w:pPr>
                </w:p>
              </w:tc>
              <w:tc>
                <w:tcPr>
                  <w:tcW w:w="669" w:type="dxa"/>
                  <w:vMerge w:val="continue"/>
                  <w:vAlign w:val="center"/>
                </w:tcPr>
                <w:p w14:paraId="010A1ED7">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889" w:type="dxa"/>
                  <w:vMerge w:val="continue"/>
                  <w:vAlign w:val="center"/>
                </w:tcPr>
                <w:p w14:paraId="74C0496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lang w:val="en-US" w:eastAsia="zh-CN"/>
                    </w:rPr>
                  </w:pPr>
                </w:p>
              </w:tc>
              <w:tc>
                <w:tcPr>
                  <w:tcW w:w="1160" w:type="dxa"/>
                  <w:vMerge w:val="continue"/>
                  <w:vAlign w:val="center"/>
                </w:tcPr>
                <w:p w14:paraId="366311DD">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753" w:type="dxa"/>
                  <w:vMerge w:val="continue"/>
                  <w:vAlign w:val="center"/>
                </w:tcPr>
                <w:p w14:paraId="4AE7D33C">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790" w:type="dxa"/>
                  <w:vMerge w:val="continue"/>
                  <w:vAlign w:val="center"/>
                </w:tcPr>
                <w:p w14:paraId="7873DB55">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691" w:type="dxa"/>
                  <w:vMerge w:val="continue"/>
                  <w:vAlign w:val="center"/>
                </w:tcPr>
                <w:p w14:paraId="6FED6DC1">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113" w:type="dxa"/>
                  <w:vAlign w:val="center"/>
                </w:tcPr>
                <w:p w14:paraId="068B23D9">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南</w:t>
                  </w:r>
                </w:p>
              </w:tc>
              <w:tc>
                <w:tcPr>
                  <w:tcW w:w="834" w:type="dxa"/>
                  <w:vAlign w:val="center"/>
                </w:tcPr>
                <w:p w14:paraId="2C4075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43.0 </w:t>
                  </w:r>
                </w:p>
              </w:tc>
              <w:tc>
                <w:tcPr>
                  <w:tcW w:w="968" w:type="dxa"/>
                  <w:vAlign w:val="center"/>
                </w:tcPr>
                <w:p w14:paraId="57B2BC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39.3 </w:t>
                  </w:r>
                </w:p>
              </w:tc>
              <w:tc>
                <w:tcPr>
                  <w:tcW w:w="716" w:type="dxa"/>
                  <w:vMerge w:val="continue"/>
                  <w:vAlign w:val="center"/>
                </w:tcPr>
                <w:p w14:paraId="208589C0">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031" w:type="dxa"/>
                  <w:vMerge w:val="continue"/>
                  <w:vAlign w:val="center"/>
                </w:tcPr>
                <w:p w14:paraId="577D7556">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392" w:type="dxa"/>
                  <w:vAlign w:val="center"/>
                </w:tcPr>
                <w:p w14:paraId="70BA19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29.3 </w:t>
                  </w:r>
                </w:p>
              </w:tc>
              <w:tc>
                <w:tcPr>
                  <w:tcW w:w="920" w:type="dxa"/>
                  <w:vMerge w:val="continue"/>
                  <w:vAlign w:val="center"/>
                </w:tcPr>
                <w:p w14:paraId="1653382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r>
            <w:tr w14:paraId="0E4C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continue"/>
                  <w:vAlign w:val="center"/>
                </w:tcPr>
                <w:p w14:paraId="758DA87F">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lang w:val="en-US" w:eastAsia="zh-CN"/>
                    </w:rPr>
                  </w:pPr>
                </w:p>
              </w:tc>
              <w:tc>
                <w:tcPr>
                  <w:tcW w:w="669" w:type="dxa"/>
                  <w:vMerge w:val="continue"/>
                  <w:vAlign w:val="center"/>
                </w:tcPr>
                <w:p w14:paraId="7CE8BAAC">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889" w:type="dxa"/>
                  <w:vMerge w:val="continue"/>
                  <w:vAlign w:val="center"/>
                </w:tcPr>
                <w:p w14:paraId="47EF2F05">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lang w:val="en-US" w:eastAsia="zh-CN"/>
                    </w:rPr>
                  </w:pPr>
                </w:p>
              </w:tc>
              <w:tc>
                <w:tcPr>
                  <w:tcW w:w="1160" w:type="dxa"/>
                  <w:vMerge w:val="continue"/>
                  <w:vAlign w:val="center"/>
                </w:tcPr>
                <w:p w14:paraId="6FF93B4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753" w:type="dxa"/>
                  <w:vMerge w:val="continue"/>
                  <w:vAlign w:val="center"/>
                </w:tcPr>
                <w:p w14:paraId="0C501EE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790" w:type="dxa"/>
                  <w:vMerge w:val="continue"/>
                  <w:vAlign w:val="center"/>
                </w:tcPr>
                <w:p w14:paraId="7EB53D96">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691" w:type="dxa"/>
                  <w:vMerge w:val="continue"/>
                  <w:vAlign w:val="center"/>
                </w:tcPr>
                <w:p w14:paraId="064324A8">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113" w:type="dxa"/>
                  <w:vAlign w:val="center"/>
                </w:tcPr>
                <w:p w14:paraId="44C2E1FF">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西</w:t>
                  </w:r>
                </w:p>
              </w:tc>
              <w:tc>
                <w:tcPr>
                  <w:tcW w:w="834" w:type="dxa"/>
                  <w:vAlign w:val="center"/>
                </w:tcPr>
                <w:p w14:paraId="76C62F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115.0 </w:t>
                  </w:r>
                </w:p>
              </w:tc>
              <w:tc>
                <w:tcPr>
                  <w:tcW w:w="968" w:type="dxa"/>
                  <w:vAlign w:val="center"/>
                </w:tcPr>
                <w:p w14:paraId="2F012B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30.8 </w:t>
                  </w:r>
                </w:p>
              </w:tc>
              <w:tc>
                <w:tcPr>
                  <w:tcW w:w="716" w:type="dxa"/>
                  <w:vMerge w:val="continue"/>
                  <w:vAlign w:val="center"/>
                </w:tcPr>
                <w:p w14:paraId="6BED4576">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031" w:type="dxa"/>
                  <w:vMerge w:val="continue"/>
                  <w:vAlign w:val="center"/>
                </w:tcPr>
                <w:p w14:paraId="5EF3515A">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392" w:type="dxa"/>
                  <w:vAlign w:val="center"/>
                </w:tcPr>
                <w:p w14:paraId="5861B8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20.8 </w:t>
                  </w:r>
                </w:p>
              </w:tc>
              <w:tc>
                <w:tcPr>
                  <w:tcW w:w="920" w:type="dxa"/>
                  <w:vMerge w:val="continue"/>
                  <w:vAlign w:val="center"/>
                </w:tcPr>
                <w:p w14:paraId="4160DA98">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r>
            <w:tr w14:paraId="2A70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3" w:type="dxa"/>
                  <w:vMerge w:val="continue"/>
                  <w:vAlign w:val="center"/>
                </w:tcPr>
                <w:p w14:paraId="6779B0D4">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lang w:val="en-US" w:eastAsia="zh-CN"/>
                    </w:rPr>
                  </w:pPr>
                </w:p>
              </w:tc>
              <w:tc>
                <w:tcPr>
                  <w:tcW w:w="669" w:type="dxa"/>
                  <w:vMerge w:val="continue"/>
                  <w:vAlign w:val="center"/>
                </w:tcPr>
                <w:p w14:paraId="5660CBA4">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889" w:type="dxa"/>
                  <w:vMerge w:val="continue"/>
                  <w:vAlign w:val="center"/>
                </w:tcPr>
                <w:p w14:paraId="0C9EDE82">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lang w:val="en-US" w:eastAsia="zh-CN"/>
                    </w:rPr>
                  </w:pPr>
                </w:p>
              </w:tc>
              <w:tc>
                <w:tcPr>
                  <w:tcW w:w="1160" w:type="dxa"/>
                  <w:vMerge w:val="continue"/>
                  <w:vAlign w:val="center"/>
                </w:tcPr>
                <w:p w14:paraId="5557F29D">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753" w:type="dxa"/>
                  <w:vMerge w:val="continue"/>
                  <w:vAlign w:val="center"/>
                </w:tcPr>
                <w:p w14:paraId="663E3BCE">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790" w:type="dxa"/>
                  <w:vMerge w:val="continue"/>
                  <w:vAlign w:val="center"/>
                </w:tcPr>
                <w:p w14:paraId="7BDA82F6">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691" w:type="dxa"/>
                  <w:vMerge w:val="continue"/>
                  <w:vAlign w:val="center"/>
                </w:tcPr>
                <w:p w14:paraId="080DB2F4">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113" w:type="dxa"/>
                  <w:vAlign w:val="center"/>
                </w:tcPr>
                <w:p w14:paraId="4CF27869">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北</w:t>
                  </w:r>
                </w:p>
              </w:tc>
              <w:tc>
                <w:tcPr>
                  <w:tcW w:w="834" w:type="dxa"/>
                  <w:vAlign w:val="center"/>
                </w:tcPr>
                <w:p w14:paraId="18A75C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24.0 </w:t>
                  </w:r>
                </w:p>
              </w:tc>
              <w:tc>
                <w:tcPr>
                  <w:tcW w:w="968" w:type="dxa"/>
                  <w:vAlign w:val="center"/>
                </w:tcPr>
                <w:p w14:paraId="6BD4E8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44.4 </w:t>
                  </w:r>
                </w:p>
              </w:tc>
              <w:tc>
                <w:tcPr>
                  <w:tcW w:w="716" w:type="dxa"/>
                  <w:vMerge w:val="continue"/>
                  <w:vAlign w:val="center"/>
                </w:tcPr>
                <w:p w14:paraId="52D2496A">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031" w:type="dxa"/>
                  <w:vMerge w:val="continue"/>
                  <w:vAlign w:val="center"/>
                </w:tcPr>
                <w:p w14:paraId="4A8AD154">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1392" w:type="dxa"/>
                  <w:vAlign w:val="center"/>
                </w:tcPr>
                <w:p w14:paraId="4916E2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34.4 </w:t>
                  </w:r>
                </w:p>
              </w:tc>
              <w:tc>
                <w:tcPr>
                  <w:tcW w:w="920" w:type="dxa"/>
                  <w:vMerge w:val="continue"/>
                  <w:vAlign w:val="center"/>
                </w:tcPr>
                <w:p w14:paraId="64B4AE7A">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lang w:val="en-US" w:eastAsia="zh-CN"/>
                    </w:rPr>
                  </w:pPr>
                </w:p>
              </w:tc>
            </w:tr>
          </w:tbl>
          <w:p w14:paraId="038C3F9F">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宋体" w:cs="Times New Roman"/>
                <w:b/>
                <w:bCs/>
                <w:snapToGrid w:val="0"/>
                <w:color w:val="auto"/>
                <w:kern w:val="0"/>
                <w:sz w:val="24"/>
                <w:szCs w:val="24"/>
                <w:lang w:val="en-US" w:eastAsia="zh-CN" w:bidi="ar-SA"/>
              </w:rPr>
            </w:pPr>
            <w:r>
              <w:rPr>
                <w:rFonts w:hint="eastAsia" w:ascii="Times New Roman" w:hAnsi="Times New Roman" w:eastAsia="宋体" w:cs="Times New Roman"/>
                <w:b/>
                <w:bCs/>
                <w:snapToGrid w:val="0"/>
                <w:color w:val="auto"/>
                <w:kern w:val="0"/>
                <w:sz w:val="24"/>
                <w:szCs w:val="24"/>
                <w:lang w:val="en-US" w:eastAsia="zh-CN" w:bidi="ar-SA"/>
              </w:rPr>
              <w:t>表4-</w:t>
            </w:r>
            <w:r>
              <w:rPr>
                <w:rFonts w:hint="eastAsia" w:cs="Times New Roman"/>
                <w:b/>
                <w:bCs/>
                <w:snapToGrid w:val="0"/>
                <w:color w:val="auto"/>
                <w:kern w:val="0"/>
                <w:sz w:val="24"/>
                <w:szCs w:val="24"/>
                <w:lang w:val="en-US" w:eastAsia="zh-CN" w:bidi="ar-SA"/>
              </w:rPr>
              <w:t xml:space="preserve">10 </w:t>
            </w:r>
            <w:r>
              <w:rPr>
                <w:rFonts w:hint="eastAsia" w:ascii="Times New Roman" w:hAnsi="Times New Roman" w:eastAsia="宋体" w:cs="Times New Roman"/>
                <w:b/>
                <w:bCs/>
                <w:snapToGrid w:val="0"/>
                <w:color w:val="auto"/>
                <w:kern w:val="0"/>
                <w:sz w:val="24"/>
                <w:szCs w:val="24"/>
                <w:lang w:val="en-US" w:eastAsia="zh-CN" w:bidi="ar-SA"/>
              </w:rPr>
              <w:t xml:space="preserve"> 厂区产噪噪声源</w:t>
            </w:r>
            <w:r>
              <w:rPr>
                <w:rFonts w:hint="eastAsia" w:ascii="宋体" w:hAnsi="宋体" w:eastAsia="宋体" w:cs="宋体"/>
                <w:b/>
                <w:bCs/>
                <w:snapToGrid w:val="0"/>
                <w:color w:val="auto"/>
                <w:kern w:val="0"/>
                <w:sz w:val="24"/>
                <w:szCs w:val="24"/>
                <w:lang w:val="en-US" w:eastAsia="zh-CN" w:bidi="ar-SA"/>
              </w:rPr>
              <w:t>贡献值预测</w:t>
            </w:r>
          </w:p>
          <w:tbl>
            <w:tblPr>
              <w:tblStyle w:val="26"/>
              <w:tblW w:w="12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171"/>
              <w:gridCol w:w="1369"/>
              <w:gridCol w:w="1342"/>
              <w:gridCol w:w="1231"/>
              <w:gridCol w:w="1238"/>
              <w:gridCol w:w="996"/>
              <w:gridCol w:w="1062"/>
              <w:gridCol w:w="1049"/>
              <w:gridCol w:w="970"/>
              <w:gridCol w:w="1243"/>
            </w:tblGrid>
            <w:tr w14:paraId="789E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Merge w:val="restart"/>
                  <w:vAlign w:val="center"/>
                </w:tcPr>
                <w:p w14:paraId="6DA119AE">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lang w:val="en-US" w:eastAsia="zh-CN"/>
                    </w:rPr>
                  </w:pPr>
                  <w:r>
                    <w:rPr>
                      <w:rFonts w:hint="eastAsia" w:cs="Times New Roman"/>
                      <w:b/>
                      <w:bCs w:val="0"/>
                      <w:color w:val="auto"/>
                      <w:lang w:val="en-US" w:eastAsia="zh-CN"/>
                    </w:rPr>
                    <w:t>声源名称</w:t>
                  </w:r>
                </w:p>
              </w:tc>
              <w:tc>
                <w:tcPr>
                  <w:tcW w:w="1171" w:type="dxa"/>
                  <w:vMerge w:val="restart"/>
                  <w:vAlign w:val="center"/>
                </w:tcPr>
                <w:p w14:paraId="43696722">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lang w:val="en-US" w:eastAsia="zh-CN"/>
                    </w:rPr>
                  </w:pPr>
                  <w:r>
                    <w:rPr>
                      <w:rFonts w:hint="eastAsia" w:cs="Times New Roman"/>
                      <w:b/>
                      <w:bCs w:val="0"/>
                      <w:color w:val="auto"/>
                      <w:lang w:val="en-US" w:eastAsia="zh-CN"/>
                    </w:rPr>
                    <w:t>1m处噪声源强</w:t>
                  </w:r>
                  <w:r>
                    <w:rPr>
                      <w:rFonts w:hint="default" w:ascii="Times New Roman" w:hAnsi="Times New Roman" w:cs="Times New Roman"/>
                      <w:b/>
                      <w:bCs w:val="0"/>
                      <w:color w:val="auto"/>
                      <w:lang w:val="en-US" w:eastAsia="zh-CN"/>
                    </w:rPr>
                    <w:t>dB（A）</w:t>
                  </w:r>
                </w:p>
              </w:tc>
              <w:tc>
                <w:tcPr>
                  <w:tcW w:w="5180" w:type="dxa"/>
                  <w:gridSpan w:val="4"/>
                  <w:vAlign w:val="center"/>
                </w:tcPr>
                <w:p w14:paraId="49C0699E">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lang w:val="en-US"/>
                    </w:rPr>
                  </w:pPr>
                  <w:r>
                    <w:rPr>
                      <w:rFonts w:hint="eastAsia" w:cs="Times New Roman"/>
                      <w:b/>
                      <w:bCs w:val="0"/>
                      <w:color w:val="auto"/>
                      <w:lang w:val="en-US" w:eastAsia="zh-CN"/>
                    </w:rPr>
                    <w:t>预测参数</w:t>
                  </w:r>
                </w:p>
              </w:tc>
              <w:tc>
                <w:tcPr>
                  <w:tcW w:w="4077" w:type="dxa"/>
                  <w:gridSpan w:val="4"/>
                  <w:vAlign w:val="center"/>
                </w:tcPr>
                <w:p w14:paraId="419A19DA">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lang w:val="en-US" w:eastAsia="zh-CN"/>
                    </w:rPr>
                  </w:pPr>
                  <w:r>
                    <w:rPr>
                      <w:rFonts w:hint="eastAsia" w:cs="Times New Roman"/>
                      <w:b/>
                      <w:bCs w:val="0"/>
                      <w:color w:val="auto"/>
                      <w:lang w:val="en-US" w:eastAsia="zh-CN"/>
                    </w:rPr>
                    <w:t>厂界噪声贡献值L</w:t>
                  </w:r>
                  <w:r>
                    <w:rPr>
                      <w:rFonts w:hint="eastAsia" w:cs="Times New Roman"/>
                      <w:b/>
                      <w:bCs w:val="0"/>
                      <w:color w:val="auto"/>
                      <w:vertAlign w:val="subscript"/>
                      <w:lang w:val="en-US" w:eastAsia="zh-CN"/>
                    </w:rPr>
                    <w:t>A</w:t>
                  </w:r>
                  <w:r>
                    <w:rPr>
                      <w:rFonts w:hint="eastAsia" w:cs="Times New Roman"/>
                      <w:b/>
                      <w:bCs w:val="0"/>
                      <w:color w:val="auto"/>
                      <w:lang w:val="en-US" w:eastAsia="zh-CN"/>
                    </w:rPr>
                    <w:t>（r）</w:t>
                  </w:r>
                </w:p>
              </w:tc>
              <w:tc>
                <w:tcPr>
                  <w:tcW w:w="1243" w:type="dxa"/>
                  <w:vMerge w:val="restart"/>
                  <w:vAlign w:val="center"/>
                </w:tcPr>
                <w:p w14:paraId="2EC682EF">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lang w:val="en-US" w:eastAsia="zh-CN"/>
                    </w:rPr>
                  </w:pPr>
                  <w:r>
                    <w:rPr>
                      <w:rFonts w:hint="eastAsia" w:cs="Times New Roman"/>
                      <w:b/>
                      <w:bCs w:val="0"/>
                      <w:color w:val="auto"/>
                      <w:lang w:val="en-US" w:eastAsia="zh-CN"/>
                    </w:rPr>
                    <w:t>备注</w:t>
                  </w:r>
                </w:p>
              </w:tc>
            </w:tr>
            <w:tr w14:paraId="0000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Merge w:val="continue"/>
                  <w:vAlign w:val="center"/>
                </w:tcPr>
                <w:p w14:paraId="2C189B2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rPr>
                  </w:pPr>
                </w:p>
              </w:tc>
              <w:tc>
                <w:tcPr>
                  <w:tcW w:w="1171" w:type="dxa"/>
                  <w:vMerge w:val="continue"/>
                  <w:vAlign w:val="center"/>
                </w:tcPr>
                <w:p w14:paraId="6B89B29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rPr>
                  </w:pPr>
                </w:p>
              </w:tc>
              <w:tc>
                <w:tcPr>
                  <w:tcW w:w="1369" w:type="dxa"/>
                  <w:vAlign w:val="center"/>
                </w:tcPr>
                <w:p w14:paraId="742F57F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lang w:val="en-US" w:eastAsia="zh-CN"/>
                    </w:rPr>
                  </w:pPr>
                  <w:r>
                    <w:rPr>
                      <w:rFonts w:hint="eastAsia" w:cs="Times New Roman"/>
                      <w:b/>
                      <w:bCs w:val="0"/>
                      <w:color w:val="auto"/>
                      <w:lang w:val="en-US" w:eastAsia="zh-CN"/>
                    </w:rPr>
                    <w:t>东</w:t>
                  </w:r>
                  <w:r>
                    <w:rPr>
                      <w:rFonts w:hint="default" w:ascii="Times New Roman" w:hAnsi="Times New Roman" w:cs="Times New Roman"/>
                      <w:b/>
                      <w:bCs w:val="0"/>
                      <w:color w:val="auto"/>
                      <w:lang w:val="en-US" w:eastAsia="zh-CN"/>
                    </w:rPr>
                    <w:t>（m）</w:t>
                  </w:r>
                </w:p>
              </w:tc>
              <w:tc>
                <w:tcPr>
                  <w:tcW w:w="1342" w:type="dxa"/>
                  <w:vAlign w:val="center"/>
                </w:tcPr>
                <w:p w14:paraId="31B4FFA4">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rPr>
                  </w:pPr>
                  <w:r>
                    <w:rPr>
                      <w:rFonts w:hint="eastAsia" w:cs="Times New Roman"/>
                      <w:b/>
                      <w:bCs w:val="0"/>
                      <w:color w:val="auto"/>
                      <w:lang w:val="en-US" w:eastAsia="zh-CN"/>
                    </w:rPr>
                    <w:t>南</w:t>
                  </w:r>
                  <w:r>
                    <w:rPr>
                      <w:rFonts w:hint="default" w:ascii="Times New Roman" w:hAnsi="Times New Roman" w:cs="Times New Roman"/>
                      <w:b/>
                      <w:bCs w:val="0"/>
                      <w:color w:val="auto"/>
                      <w:lang w:val="en-US" w:eastAsia="zh-CN"/>
                    </w:rPr>
                    <w:t>（m）</w:t>
                  </w:r>
                </w:p>
              </w:tc>
              <w:tc>
                <w:tcPr>
                  <w:tcW w:w="1231" w:type="dxa"/>
                  <w:vAlign w:val="center"/>
                </w:tcPr>
                <w:p w14:paraId="25831BF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rPr>
                  </w:pPr>
                  <w:r>
                    <w:rPr>
                      <w:rFonts w:hint="eastAsia" w:cs="Times New Roman"/>
                      <w:b/>
                      <w:bCs w:val="0"/>
                      <w:color w:val="auto"/>
                      <w:lang w:val="en-US" w:eastAsia="zh-CN"/>
                    </w:rPr>
                    <w:t>西</w:t>
                  </w:r>
                  <w:r>
                    <w:rPr>
                      <w:rFonts w:hint="default" w:ascii="Times New Roman" w:hAnsi="Times New Roman" w:cs="Times New Roman"/>
                      <w:b/>
                      <w:bCs w:val="0"/>
                      <w:color w:val="auto"/>
                      <w:lang w:val="en-US" w:eastAsia="zh-CN"/>
                    </w:rPr>
                    <w:t>（m）</w:t>
                  </w:r>
                </w:p>
              </w:tc>
              <w:tc>
                <w:tcPr>
                  <w:tcW w:w="1238" w:type="dxa"/>
                  <w:vAlign w:val="center"/>
                </w:tcPr>
                <w:p w14:paraId="792F1A24">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rPr>
                  </w:pPr>
                  <w:r>
                    <w:rPr>
                      <w:rFonts w:hint="eastAsia" w:cs="Times New Roman"/>
                      <w:b/>
                      <w:bCs w:val="0"/>
                      <w:color w:val="auto"/>
                      <w:lang w:val="en-US" w:eastAsia="zh-CN"/>
                    </w:rPr>
                    <w:t>北</w:t>
                  </w:r>
                  <w:r>
                    <w:rPr>
                      <w:rFonts w:hint="default" w:ascii="Times New Roman" w:hAnsi="Times New Roman" w:cs="Times New Roman"/>
                      <w:b/>
                      <w:bCs w:val="0"/>
                      <w:color w:val="auto"/>
                      <w:lang w:val="en-US" w:eastAsia="zh-CN"/>
                    </w:rPr>
                    <w:t>（m）</w:t>
                  </w:r>
                </w:p>
              </w:tc>
              <w:tc>
                <w:tcPr>
                  <w:tcW w:w="996" w:type="dxa"/>
                  <w:vAlign w:val="center"/>
                </w:tcPr>
                <w:p w14:paraId="4E8DFFEB">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val="0"/>
                      <w:color w:val="auto"/>
                    </w:rPr>
                  </w:pPr>
                  <w:r>
                    <w:rPr>
                      <w:rFonts w:hint="eastAsia" w:cs="Times New Roman"/>
                      <w:b/>
                      <w:bCs w:val="0"/>
                      <w:color w:val="auto"/>
                      <w:lang w:val="en-US" w:eastAsia="zh-CN"/>
                    </w:rPr>
                    <w:t>东</w:t>
                  </w:r>
                </w:p>
              </w:tc>
              <w:tc>
                <w:tcPr>
                  <w:tcW w:w="1062" w:type="dxa"/>
                  <w:vAlign w:val="center"/>
                </w:tcPr>
                <w:p w14:paraId="2440C9C7">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val="0"/>
                      <w:color w:val="auto"/>
                    </w:rPr>
                  </w:pPr>
                  <w:r>
                    <w:rPr>
                      <w:rFonts w:hint="eastAsia" w:cs="Times New Roman"/>
                      <w:b/>
                      <w:bCs w:val="0"/>
                      <w:color w:val="auto"/>
                      <w:lang w:val="en-US" w:eastAsia="zh-CN"/>
                    </w:rPr>
                    <w:t>南</w:t>
                  </w:r>
                </w:p>
              </w:tc>
              <w:tc>
                <w:tcPr>
                  <w:tcW w:w="1049" w:type="dxa"/>
                  <w:vAlign w:val="center"/>
                </w:tcPr>
                <w:p w14:paraId="7A211BC9">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val="0"/>
                      <w:color w:val="auto"/>
                    </w:rPr>
                  </w:pPr>
                  <w:r>
                    <w:rPr>
                      <w:rFonts w:hint="eastAsia" w:cs="Times New Roman"/>
                      <w:b/>
                      <w:bCs w:val="0"/>
                      <w:color w:val="auto"/>
                      <w:lang w:val="en-US" w:eastAsia="zh-CN"/>
                    </w:rPr>
                    <w:t>西</w:t>
                  </w:r>
                </w:p>
              </w:tc>
              <w:tc>
                <w:tcPr>
                  <w:tcW w:w="970" w:type="dxa"/>
                  <w:vAlign w:val="center"/>
                </w:tcPr>
                <w:p w14:paraId="56BD3855">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val="0"/>
                      <w:color w:val="auto"/>
                    </w:rPr>
                  </w:pPr>
                  <w:r>
                    <w:rPr>
                      <w:rFonts w:hint="eastAsia" w:cs="Times New Roman"/>
                      <w:b/>
                      <w:bCs w:val="0"/>
                      <w:color w:val="auto"/>
                      <w:lang w:val="en-US" w:eastAsia="zh-CN"/>
                    </w:rPr>
                    <w:t>北</w:t>
                  </w:r>
                </w:p>
              </w:tc>
              <w:tc>
                <w:tcPr>
                  <w:tcW w:w="1243" w:type="dxa"/>
                  <w:vMerge w:val="continue"/>
                  <w:vAlign w:val="center"/>
                </w:tcPr>
                <w:p w14:paraId="2DA07741">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rPr>
                  </w:pPr>
                </w:p>
              </w:tc>
            </w:tr>
            <w:tr w14:paraId="6459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Merge w:val="restart"/>
                  <w:vAlign w:val="center"/>
                </w:tcPr>
                <w:p w14:paraId="3BE05E8C">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生产车间</w:t>
                  </w:r>
                </w:p>
              </w:tc>
              <w:tc>
                <w:tcPr>
                  <w:tcW w:w="1171" w:type="dxa"/>
                  <w:vMerge w:val="restart"/>
                  <w:vAlign w:val="center"/>
                </w:tcPr>
                <w:p w14:paraId="22DC5A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38.9</w:t>
                  </w:r>
                </w:p>
              </w:tc>
              <w:tc>
                <w:tcPr>
                  <w:tcW w:w="1369" w:type="dxa"/>
                  <w:vAlign w:val="center"/>
                </w:tcPr>
                <w:p w14:paraId="0B62F0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r=45</w:t>
                  </w:r>
                </w:p>
              </w:tc>
              <w:tc>
                <w:tcPr>
                  <w:tcW w:w="1342" w:type="dxa"/>
                  <w:vAlign w:val="center"/>
                </w:tcPr>
                <w:p w14:paraId="7DF07E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r=8</w:t>
                  </w:r>
                </w:p>
              </w:tc>
              <w:tc>
                <w:tcPr>
                  <w:tcW w:w="1231" w:type="dxa"/>
                  <w:vAlign w:val="center"/>
                </w:tcPr>
                <w:p w14:paraId="3ACF33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r=7</w:t>
                  </w:r>
                </w:p>
              </w:tc>
              <w:tc>
                <w:tcPr>
                  <w:tcW w:w="1238" w:type="dxa"/>
                  <w:vAlign w:val="center"/>
                </w:tcPr>
                <w:p w14:paraId="3D7357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r=29</w:t>
                  </w:r>
                </w:p>
              </w:tc>
              <w:tc>
                <w:tcPr>
                  <w:tcW w:w="996" w:type="dxa"/>
                  <w:vMerge w:val="restart"/>
                  <w:vAlign w:val="center"/>
                </w:tcPr>
                <w:p w14:paraId="05A1B170">
                  <w:pPr>
                    <w:pStyle w:val="3"/>
                    <w:pageBreakBefore w:val="0"/>
                    <w:kinsoku/>
                    <w:wordWrap/>
                    <w:overflowPunct/>
                    <w:topLinePunct w:val="0"/>
                    <w:autoSpaceDE/>
                    <w:autoSpaceDN/>
                    <w:bidi w:val="0"/>
                    <w:snapToGrid/>
                    <w:spacing w:line="240" w:lineRule="auto"/>
                    <w:jc w:val="center"/>
                    <w:rPr>
                      <w:rFonts w:hint="default"/>
                      <w:lang w:val="en-US" w:eastAsia="zh-CN"/>
                    </w:rPr>
                  </w:pPr>
                  <w:r>
                    <w:rPr>
                      <w:rFonts w:hint="eastAsia"/>
                      <w:lang w:val="en-US" w:eastAsia="zh-CN"/>
                    </w:rPr>
                    <w:t>31.6</w:t>
                  </w:r>
                </w:p>
              </w:tc>
              <w:tc>
                <w:tcPr>
                  <w:tcW w:w="1062" w:type="dxa"/>
                  <w:vMerge w:val="restart"/>
                  <w:vAlign w:val="center"/>
                </w:tcPr>
                <w:p w14:paraId="6170A071">
                  <w:pPr>
                    <w:pStyle w:val="3"/>
                    <w:pageBreakBefore w:val="0"/>
                    <w:kinsoku/>
                    <w:wordWrap/>
                    <w:overflowPunct/>
                    <w:topLinePunct w:val="0"/>
                    <w:autoSpaceDE/>
                    <w:autoSpaceDN/>
                    <w:bidi w:val="0"/>
                    <w:snapToGrid/>
                    <w:spacing w:line="240" w:lineRule="auto"/>
                    <w:jc w:val="center"/>
                    <w:rPr>
                      <w:rFonts w:hint="default"/>
                      <w:lang w:val="en-US" w:eastAsia="zh-CN"/>
                    </w:rPr>
                  </w:pPr>
                  <w:r>
                    <w:rPr>
                      <w:rFonts w:hint="eastAsia"/>
                      <w:lang w:val="en-US" w:eastAsia="zh-CN"/>
                    </w:rPr>
                    <w:t>26.7</w:t>
                  </w:r>
                </w:p>
              </w:tc>
              <w:tc>
                <w:tcPr>
                  <w:tcW w:w="1049" w:type="dxa"/>
                  <w:vMerge w:val="restart"/>
                  <w:vAlign w:val="center"/>
                </w:tcPr>
                <w:p w14:paraId="40C23C54">
                  <w:pPr>
                    <w:pStyle w:val="3"/>
                    <w:pageBreakBefore w:val="0"/>
                    <w:kinsoku/>
                    <w:wordWrap/>
                    <w:overflowPunct/>
                    <w:topLinePunct w:val="0"/>
                    <w:autoSpaceDE/>
                    <w:autoSpaceDN/>
                    <w:bidi w:val="0"/>
                    <w:snapToGrid/>
                    <w:spacing w:line="240" w:lineRule="auto"/>
                    <w:jc w:val="center"/>
                    <w:rPr>
                      <w:rFonts w:hint="default"/>
                      <w:lang w:val="en-US" w:eastAsia="zh-CN"/>
                    </w:rPr>
                  </w:pPr>
                  <w:r>
                    <w:rPr>
                      <w:rFonts w:hint="eastAsia"/>
                      <w:lang w:val="en-US" w:eastAsia="zh-CN"/>
                    </w:rPr>
                    <w:t>31.6</w:t>
                  </w:r>
                </w:p>
              </w:tc>
              <w:tc>
                <w:tcPr>
                  <w:tcW w:w="970" w:type="dxa"/>
                  <w:vMerge w:val="restart"/>
                  <w:vAlign w:val="center"/>
                </w:tcPr>
                <w:p w14:paraId="79463515">
                  <w:pPr>
                    <w:pStyle w:val="3"/>
                    <w:pageBreakBefore w:val="0"/>
                    <w:kinsoku/>
                    <w:wordWrap/>
                    <w:overflowPunct/>
                    <w:topLinePunct w:val="0"/>
                    <w:autoSpaceDE/>
                    <w:autoSpaceDN/>
                    <w:bidi w:val="0"/>
                    <w:snapToGrid/>
                    <w:spacing w:line="240" w:lineRule="auto"/>
                    <w:jc w:val="center"/>
                    <w:rPr>
                      <w:rFonts w:hint="default"/>
                      <w:lang w:val="en-US" w:eastAsia="zh-CN"/>
                    </w:rPr>
                  </w:pPr>
                  <w:r>
                    <w:rPr>
                      <w:rFonts w:hint="eastAsia"/>
                      <w:lang w:val="en-US" w:eastAsia="zh-CN"/>
                    </w:rPr>
                    <w:t>26.7</w:t>
                  </w:r>
                </w:p>
              </w:tc>
              <w:tc>
                <w:tcPr>
                  <w:tcW w:w="1243" w:type="dxa"/>
                  <w:vMerge w:val="restart"/>
                  <w:vAlign w:val="center"/>
                </w:tcPr>
                <w:p w14:paraId="71CAE26C">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面源</w:t>
                  </w:r>
                </w:p>
              </w:tc>
            </w:tr>
            <w:tr w14:paraId="78D7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Merge w:val="continue"/>
                  <w:vAlign w:val="center"/>
                </w:tcPr>
                <w:p w14:paraId="33594B02">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lang w:val="en-US" w:eastAsia="zh-CN"/>
                    </w:rPr>
                  </w:pPr>
                </w:p>
              </w:tc>
              <w:tc>
                <w:tcPr>
                  <w:tcW w:w="1171" w:type="dxa"/>
                  <w:vMerge w:val="continue"/>
                  <w:vAlign w:val="center"/>
                </w:tcPr>
                <w:p w14:paraId="10B34F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369" w:type="dxa"/>
                  <w:vAlign w:val="center"/>
                </w:tcPr>
                <w:p w14:paraId="52F86D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a=9</w:t>
                  </w:r>
                </w:p>
              </w:tc>
              <w:tc>
                <w:tcPr>
                  <w:tcW w:w="1342" w:type="dxa"/>
                  <w:vAlign w:val="center"/>
                </w:tcPr>
                <w:p w14:paraId="48AA9B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a=9</w:t>
                  </w:r>
                </w:p>
              </w:tc>
              <w:tc>
                <w:tcPr>
                  <w:tcW w:w="1231" w:type="dxa"/>
                  <w:vAlign w:val="center"/>
                </w:tcPr>
                <w:p w14:paraId="2F78AC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a=9</w:t>
                  </w:r>
                </w:p>
              </w:tc>
              <w:tc>
                <w:tcPr>
                  <w:tcW w:w="1238" w:type="dxa"/>
                  <w:vAlign w:val="center"/>
                </w:tcPr>
                <w:p w14:paraId="4FDE64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a=9</w:t>
                  </w:r>
                </w:p>
              </w:tc>
              <w:tc>
                <w:tcPr>
                  <w:tcW w:w="996" w:type="dxa"/>
                  <w:vMerge w:val="continue"/>
                  <w:vAlign w:val="center"/>
                </w:tcPr>
                <w:p w14:paraId="5FA293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062" w:type="dxa"/>
                  <w:vMerge w:val="continue"/>
                  <w:vAlign w:val="center"/>
                </w:tcPr>
                <w:p w14:paraId="22B45C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049" w:type="dxa"/>
                  <w:vMerge w:val="continue"/>
                  <w:vAlign w:val="center"/>
                </w:tcPr>
                <w:p w14:paraId="611A6C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970" w:type="dxa"/>
                  <w:vMerge w:val="continue"/>
                  <w:vAlign w:val="center"/>
                </w:tcPr>
                <w:p w14:paraId="1780F0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243" w:type="dxa"/>
                  <w:vMerge w:val="continue"/>
                  <w:vAlign w:val="center"/>
                </w:tcPr>
                <w:p w14:paraId="29D47FF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lang w:val="en-US" w:eastAsia="zh-CN"/>
                    </w:rPr>
                  </w:pPr>
                </w:p>
              </w:tc>
            </w:tr>
            <w:tr w14:paraId="72C7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78" w:type="dxa"/>
                  <w:vMerge w:val="continue"/>
                  <w:vAlign w:val="center"/>
                </w:tcPr>
                <w:p w14:paraId="0077C5CD">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lang w:val="en-US" w:eastAsia="zh-CN"/>
                    </w:rPr>
                  </w:pPr>
                </w:p>
              </w:tc>
              <w:tc>
                <w:tcPr>
                  <w:tcW w:w="1171" w:type="dxa"/>
                  <w:vMerge w:val="continue"/>
                  <w:vAlign w:val="center"/>
                </w:tcPr>
                <w:p w14:paraId="31FBEB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369" w:type="dxa"/>
                  <w:vAlign w:val="center"/>
                </w:tcPr>
                <w:p w14:paraId="13FCE0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b=48</w:t>
                  </w:r>
                </w:p>
              </w:tc>
              <w:tc>
                <w:tcPr>
                  <w:tcW w:w="1342" w:type="dxa"/>
                  <w:vAlign w:val="center"/>
                </w:tcPr>
                <w:p w14:paraId="1BE141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b=48</w:t>
                  </w:r>
                </w:p>
              </w:tc>
              <w:tc>
                <w:tcPr>
                  <w:tcW w:w="1231" w:type="dxa"/>
                  <w:vAlign w:val="center"/>
                </w:tcPr>
                <w:p w14:paraId="5ECDAD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b=48</w:t>
                  </w:r>
                </w:p>
              </w:tc>
              <w:tc>
                <w:tcPr>
                  <w:tcW w:w="1238" w:type="dxa"/>
                  <w:vAlign w:val="center"/>
                </w:tcPr>
                <w:p w14:paraId="6ABA63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b=148</w:t>
                  </w:r>
                </w:p>
              </w:tc>
              <w:tc>
                <w:tcPr>
                  <w:tcW w:w="996" w:type="dxa"/>
                  <w:vMerge w:val="continue"/>
                  <w:vAlign w:val="center"/>
                </w:tcPr>
                <w:p w14:paraId="7DAEF2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062" w:type="dxa"/>
                  <w:vMerge w:val="continue"/>
                  <w:vAlign w:val="center"/>
                </w:tcPr>
                <w:p w14:paraId="536D04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049" w:type="dxa"/>
                  <w:vMerge w:val="continue"/>
                  <w:vAlign w:val="center"/>
                </w:tcPr>
                <w:p w14:paraId="54EFAF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970" w:type="dxa"/>
                  <w:vMerge w:val="continue"/>
                  <w:vAlign w:val="center"/>
                </w:tcPr>
                <w:p w14:paraId="2A5D70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243" w:type="dxa"/>
                  <w:vMerge w:val="continue"/>
                  <w:vAlign w:val="center"/>
                </w:tcPr>
                <w:p w14:paraId="232A62DD">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lang w:val="en-US" w:eastAsia="zh-CN"/>
                    </w:rPr>
                  </w:pPr>
                </w:p>
              </w:tc>
            </w:tr>
            <w:tr w14:paraId="24CF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Merge w:val="continue"/>
                  <w:vAlign w:val="center"/>
                </w:tcPr>
                <w:p w14:paraId="69691AE2">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lang w:val="en-US" w:eastAsia="zh-CN"/>
                    </w:rPr>
                  </w:pPr>
                </w:p>
              </w:tc>
              <w:tc>
                <w:tcPr>
                  <w:tcW w:w="1171" w:type="dxa"/>
                  <w:vMerge w:val="continue"/>
                  <w:vAlign w:val="center"/>
                </w:tcPr>
                <w:p w14:paraId="01B105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369" w:type="dxa"/>
                  <w:vAlign w:val="center"/>
                </w:tcPr>
                <w:p w14:paraId="172205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default" w:cs="Times New Roman"/>
                      <w:b w:val="0"/>
                      <w:bCs/>
                      <w:color w:val="auto"/>
                      <w:sz w:val="21"/>
                      <w:szCs w:val="21"/>
                      <w:lang w:val="en-US" w:eastAsia="zh-CN"/>
                    </w:rPr>
                    <w:t>a/π</w:t>
                  </w:r>
                  <w:r>
                    <w:rPr>
                      <w:rFonts w:hint="eastAsia" w:cs="Times New Roman"/>
                      <w:b w:val="0"/>
                      <w:bCs/>
                      <w:color w:val="auto"/>
                      <w:sz w:val="21"/>
                      <w:szCs w:val="21"/>
                      <w:lang w:val="en-US" w:eastAsia="zh-CN"/>
                    </w:rPr>
                    <w:t>=2.866</w:t>
                  </w:r>
                </w:p>
              </w:tc>
              <w:tc>
                <w:tcPr>
                  <w:tcW w:w="1342" w:type="dxa"/>
                  <w:vAlign w:val="center"/>
                </w:tcPr>
                <w:p w14:paraId="4410322E">
                  <w:pPr>
                    <w:pStyle w:val="3"/>
                    <w:pageBreakBefore w:val="0"/>
                    <w:kinsoku/>
                    <w:wordWrap/>
                    <w:overflowPunct/>
                    <w:topLinePunct w:val="0"/>
                    <w:autoSpaceDE/>
                    <w:autoSpaceDN/>
                    <w:bidi w:val="0"/>
                    <w:snapToGrid/>
                    <w:spacing w:line="240" w:lineRule="auto"/>
                    <w:jc w:val="center"/>
                    <w:rPr>
                      <w:rFonts w:hint="default"/>
                      <w:lang w:val="en-US" w:eastAsia="zh-CN"/>
                    </w:rPr>
                  </w:pPr>
                  <w:r>
                    <w:rPr>
                      <w:rFonts w:hint="default"/>
                      <w:lang w:val="en-US" w:eastAsia="zh-CN"/>
                    </w:rPr>
                    <w:t>a/π</w:t>
                  </w:r>
                  <w:r>
                    <w:rPr>
                      <w:rFonts w:hint="eastAsia"/>
                      <w:lang w:val="en-US" w:eastAsia="zh-CN"/>
                    </w:rPr>
                    <w:t>=2.866</w:t>
                  </w:r>
                </w:p>
              </w:tc>
              <w:tc>
                <w:tcPr>
                  <w:tcW w:w="1231" w:type="dxa"/>
                  <w:vAlign w:val="center"/>
                </w:tcPr>
                <w:p w14:paraId="04F0AA68">
                  <w:pPr>
                    <w:pStyle w:val="3"/>
                    <w:pageBreakBefore w:val="0"/>
                    <w:kinsoku/>
                    <w:wordWrap/>
                    <w:overflowPunct/>
                    <w:topLinePunct w:val="0"/>
                    <w:autoSpaceDE/>
                    <w:autoSpaceDN/>
                    <w:bidi w:val="0"/>
                    <w:snapToGrid/>
                    <w:spacing w:line="240" w:lineRule="auto"/>
                    <w:jc w:val="center"/>
                    <w:rPr>
                      <w:rFonts w:hint="default"/>
                      <w:lang w:val="en-US" w:eastAsia="zh-CN"/>
                    </w:rPr>
                  </w:pPr>
                  <w:r>
                    <w:rPr>
                      <w:rFonts w:hint="default"/>
                      <w:lang w:val="en-US" w:eastAsia="zh-CN"/>
                    </w:rPr>
                    <w:t>a/π</w:t>
                  </w:r>
                  <w:r>
                    <w:rPr>
                      <w:rFonts w:hint="eastAsia"/>
                      <w:lang w:val="en-US" w:eastAsia="zh-CN"/>
                    </w:rPr>
                    <w:t>=2.866</w:t>
                  </w:r>
                </w:p>
              </w:tc>
              <w:tc>
                <w:tcPr>
                  <w:tcW w:w="1238" w:type="dxa"/>
                  <w:vAlign w:val="center"/>
                </w:tcPr>
                <w:p w14:paraId="48DFD7FB">
                  <w:pPr>
                    <w:pStyle w:val="3"/>
                    <w:pageBreakBefore w:val="0"/>
                    <w:kinsoku/>
                    <w:wordWrap/>
                    <w:overflowPunct/>
                    <w:topLinePunct w:val="0"/>
                    <w:autoSpaceDE/>
                    <w:autoSpaceDN/>
                    <w:bidi w:val="0"/>
                    <w:snapToGrid/>
                    <w:spacing w:line="240" w:lineRule="auto"/>
                    <w:jc w:val="center"/>
                    <w:rPr>
                      <w:rFonts w:hint="default"/>
                      <w:lang w:val="en-US" w:eastAsia="zh-CN"/>
                    </w:rPr>
                  </w:pPr>
                  <w:r>
                    <w:rPr>
                      <w:rFonts w:hint="default"/>
                      <w:lang w:val="en-US" w:eastAsia="zh-CN"/>
                    </w:rPr>
                    <w:t>a/π</w:t>
                  </w:r>
                  <w:r>
                    <w:rPr>
                      <w:rFonts w:hint="eastAsia"/>
                      <w:lang w:val="en-US" w:eastAsia="zh-CN"/>
                    </w:rPr>
                    <w:t>=2.866</w:t>
                  </w:r>
                </w:p>
              </w:tc>
              <w:tc>
                <w:tcPr>
                  <w:tcW w:w="996" w:type="dxa"/>
                  <w:vMerge w:val="continue"/>
                  <w:vAlign w:val="center"/>
                </w:tcPr>
                <w:p w14:paraId="485444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062" w:type="dxa"/>
                  <w:vMerge w:val="continue"/>
                  <w:vAlign w:val="center"/>
                </w:tcPr>
                <w:p w14:paraId="250578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049" w:type="dxa"/>
                  <w:vMerge w:val="continue"/>
                  <w:vAlign w:val="center"/>
                </w:tcPr>
                <w:p w14:paraId="4C1A84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970" w:type="dxa"/>
                  <w:vMerge w:val="continue"/>
                  <w:vAlign w:val="center"/>
                </w:tcPr>
                <w:p w14:paraId="3DBE64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243" w:type="dxa"/>
                  <w:vMerge w:val="continue"/>
                  <w:vAlign w:val="center"/>
                </w:tcPr>
                <w:p w14:paraId="60463E60">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lang w:val="en-US" w:eastAsia="zh-CN"/>
                    </w:rPr>
                  </w:pPr>
                </w:p>
              </w:tc>
            </w:tr>
            <w:tr w14:paraId="3DA5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Merge w:val="continue"/>
                  <w:vAlign w:val="center"/>
                </w:tcPr>
                <w:p w14:paraId="18C4B4FE">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lang w:val="en-US" w:eastAsia="zh-CN"/>
                    </w:rPr>
                  </w:pPr>
                </w:p>
              </w:tc>
              <w:tc>
                <w:tcPr>
                  <w:tcW w:w="1171" w:type="dxa"/>
                  <w:vMerge w:val="continue"/>
                  <w:vAlign w:val="center"/>
                </w:tcPr>
                <w:p w14:paraId="3CAB1F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369" w:type="dxa"/>
                  <w:vAlign w:val="center"/>
                </w:tcPr>
                <w:p w14:paraId="460CE7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default" w:cs="Times New Roman"/>
                      <w:b w:val="0"/>
                      <w:bCs/>
                      <w:color w:val="auto"/>
                      <w:sz w:val="21"/>
                      <w:szCs w:val="21"/>
                      <w:lang w:val="en-US" w:eastAsia="zh-CN"/>
                    </w:rPr>
                    <w:t>b/π</w:t>
                  </w:r>
                  <w:r>
                    <w:rPr>
                      <w:rFonts w:hint="eastAsia" w:cs="Times New Roman"/>
                      <w:b w:val="0"/>
                      <w:bCs/>
                      <w:color w:val="auto"/>
                      <w:sz w:val="21"/>
                      <w:szCs w:val="21"/>
                      <w:lang w:val="en-US" w:eastAsia="zh-CN"/>
                    </w:rPr>
                    <w:t>=15.287</w:t>
                  </w:r>
                </w:p>
              </w:tc>
              <w:tc>
                <w:tcPr>
                  <w:tcW w:w="1342" w:type="dxa"/>
                  <w:vAlign w:val="center"/>
                </w:tcPr>
                <w:p w14:paraId="5E8928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b/π=47.134</w:t>
                  </w:r>
                </w:p>
              </w:tc>
              <w:tc>
                <w:tcPr>
                  <w:tcW w:w="1231" w:type="dxa"/>
                  <w:vAlign w:val="center"/>
                </w:tcPr>
                <w:p w14:paraId="2ED5E6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b/π=15.287</w:t>
                  </w:r>
                </w:p>
              </w:tc>
              <w:tc>
                <w:tcPr>
                  <w:tcW w:w="1238" w:type="dxa"/>
                  <w:vAlign w:val="center"/>
                </w:tcPr>
                <w:p w14:paraId="6A17F3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default" w:cs="Times New Roman"/>
                      <w:b w:val="0"/>
                      <w:bCs/>
                      <w:color w:val="auto"/>
                      <w:sz w:val="21"/>
                      <w:szCs w:val="21"/>
                      <w:lang w:val="en-US" w:eastAsia="zh-CN"/>
                    </w:rPr>
                    <w:t>b/π</w:t>
                  </w:r>
                  <w:r>
                    <w:rPr>
                      <w:rFonts w:hint="eastAsia" w:cs="Times New Roman"/>
                      <w:b w:val="0"/>
                      <w:bCs/>
                      <w:color w:val="auto"/>
                      <w:sz w:val="21"/>
                      <w:szCs w:val="21"/>
                      <w:lang w:val="en-US" w:eastAsia="zh-CN"/>
                    </w:rPr>
                    <w:t>=47.134</w:t>
                  </w:r>
                </w:p>
              </w:tc>
              <w:tc>
                <w:tcPr>
                  <w:tcW w:w="996" w:type="dxa"/>
                  <w:vMerge w:val="continue"/>
                  <w:vAlign w:val="center"/>
                </w:tcPr>
                <w:p w14:paraId="452976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062" w:type="dxa"/>
                  <w:vMerge w:val="continue"/>
                  <w:vAlign w:val="center"/>
                </w:tcPr>
                <w:p w14:paraId="6E65CA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049" w:type="dxa"/>
                  <w:vMerge w:val="continue"/>
                  <w:vAlign w:val="center"/>
                </w:tcPr>
                <w:p w14:paraId="14F3DB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970" w:type="dxa"/>
                  <w:vMerge w:val="continue"/>
                  <w:vAlign w:val="center"/>
                </w:tcPr>
                <w:p w14:paraId="4D4CF2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p>
              </w:tc>
              <w:tc>
                <w:tcPr>
                  <w:tcW w:w="1243" w:type="dxa"/>
                  <w:vMerge w:val="continue"/>
                  <w:vAlign w:val="center"/>
                </w:tcPr>
                <w:p w14:paraId="1EFA4396">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lang w:val="en-US" w:eastAsia="zh-CN"/>
                    </w:rPr>
                  </w:pPr>
                </w:p>
              </w:tc>
            </w:tr>
            <w:tr w14:paraId="2140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14:paraId="5E757EB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风机</w:t>
                  </w:r>
                </w:p>
              </w:tc>
              <w:tc>
                <w:tcPr>
                  <w:tcW w:w="1171" w:type="dxa"/>
                  <w:vAlign w:val="center"/>
                </w:tcPr>
                <w:p w14:paraId="119DEF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75</w:t>
                  </w:r>
                </w:p>
              </w:tc>
              <w:tc>
                <w:tcPr>
                  <w:tcW w:w="1369" w:type="dxa"/>
                  <w:vAlign w:val="center"/>
                </w:tcPr>
                <w:p w14:paraId="583A67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sz w:val="21"/>
                      <w:szCs w:val="21"/>
                      <w:lang w:val="en-US" w:eastAsia="zh-CN"/>
                    </w:rPr>
                    <w:t>r=87</w:t>
                  </w:r>
                </w:p>
              </w:tc>
              <w:tc>
                <w:tcPr>
                  <w:tcW w:w="1342" w:type="dxa"/>
                  <w:vAlign w:val="center"/>
                </w:tcPr>
                <w:p w14:paraId="34793C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sz w:val="21"/>
                      <w:szCs w:val="21"/>
                      <w:lang w:val="en-US" w:eastAsia="zh-CN"/>
                    </w:rPr>
                    <w:t>r=55</w:t>
                  </w:r>
                </w:p>
              </w:tc>
              <w:tc>
                <w:tcPr>
                  <w:tcW w:w="1231" w:type="dxa"/>
                  <w:vAlign w:val="center"/>
                </w:tcPr>
                <w:p w14:paraId="21D4AD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sz w:val="21"/>
                      <w:szCs w:val="21"/>
                      <w:lang w:val="en-US" w:eastAsia="zh-CN"/>
                    </w:rPr>
                    <w:t>r=115</w:t>
                  </w:r>
                </w:p>
              </w:tc>
              <w:tc>
                <w:tcPr>
                  <w:tcW w:w="1238" w:type="dxa"/>
                  <w:vAlign w:val="center"/>
                </w:tcPr>
                <w:p w14:paraId="59304C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sz w:val="21"/>
                      <w:szCs w:val="21"/>
                      <w:lang w:val="en-US" w:eastAsia="zh-CN"/>
                    </w:rPr>
                    <w:t>r=22</w:t>
                  </w:r>
                </w:p>
              </w:tc>
              <w:tc>
                <w:tcPr>
                  <w:tcW w:w="996" w:type="dxa"/>
                  <w:vAlign w:val="center"/>
                </w:tcPr>
                <w:p w14:paraId="7C10D37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cs="Times New Roman"/>
                      <w:b w:val="0"/>
                      <w:bCs/>
                      <w:color w:val="auto"/>
                      <w:sz w:val="21"/>
                      <w:szCs w:val="21"/>
                      <w:lang w:val="en-US" w:eastAsia="zh-CN"/>
                    </w:rPr>
                  </w:pPr>
                  <w:r>
                    <w:rPr>
                      <w:rFonts w:hint="eastAsia" w:cs="Times New Roman"/>
                      <w:i w:val="0"/>
                      <w:iCs w:val="0"/>
                      <w:color w:val="auto"/>
                      <w:kern w:val="0"/>
                      <w:sz w:val="22"/>
                      <w:szCs w:val="22"/>
                      <w:u w:val="none"/>
                      <w:lang w:val="en-US" w:eastAsia="zh-CN" w:bidi="ar"/>
                    </w:rPr>
                    <w:t>36.2</w:t>
                  </w:r>
                  <w:r>
                    <w:rPr>
                      <w:rFonts w:hint="default" w:ascii="Times New Roman" w:hAnsi="Times New Roman" w:eastAsia="宋体" w:cs="Times New Roman"/>
                      <w:i w:val="0"/>
                      <w:iCs w:val="0"/>
                      <w:color w:val="auto"/>
                      <w:kern w:val="0"/>
                      <w:sz w:val="22"/>
                      <w:szCs w:val="22"/>
                      <w:u w:val="none"/>
                      <w:lang w:val="en-US" w:eastAsia="zh-CN" w:bidi="ar"/>
                    </w:rPr>
                    <w:t xml:space="preserve"> </w:t>
                  </w:r>
                </w:p>
              </w:tc>
              <w:tc>
                <w:tcPr>
                  <w:tcW w:w="1062" w:type="dxa"/>
                  <w:vAlign w:val="center"/>
                </w:tcPr>
                <w:p w14:paraId="12B4853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cs="Times New Roman"/>
                      <w:b w:val="0"/>
                      <w:bCs/>
                      <w:color w:val="auto"/>
                      <w:sz w:val="21"/>
                      <w:szCs w:val="21"/>
                      <w:lang w:val="en-US" w:eastAsia="zh-CN"/>
                    </w:rPr>
                  </w:pPr>
                  <w:r>
                    <w:rPr>
                      <w:rFonts w:hint="eastAsia" w:cs="Times New Roman"/>
                      <w:i w:val="0"/>
                      <w:iCs w:val="0"/>
                      <w:color w:val="auto"/>
                      <w:kern w:val="0"/>
                      <w:sz w:val="22"/>
                      <w:szCs w:val="22"/>
                      <w:u w:val="none"/>
                      <w:lang w:val="en-US" w:eastAsia="zh-CN" w:bidi="ar"/>
                    </w:rPr>
                    <w:t>40.2</w:t>
                  </w:r>
                </w:p>
              </w:tc>
              <w:tc>
                <w:tcPr>
                  <w:tcW w:w="1049" w:type="dxa"/>
                  <w:vAlign w:val="center"/>
                </w:tcPr>
                <w:p w14:paraId="333B7C07">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cs="Times New Roman"/>
                      <w:b w:val="0"/>
                      <w:bCs/>
                      <w:color w:val="auto"/>
                      <w:sz w:val="21"/>
                      <w:szCs w:val="21"/>
                      <w:lang w:val="en-US" w:eastAsia="zh-CN"/>
                    </w:rPr>
                  </w:pPr>
                  <w:r>
                    <w:rPr>
                      <w:rFonts w:hint="eastAsia" w:cs="Times New Roman"/>
                      <w:i w:val="0"/>
                      <w:iCs w:val="0"/>
                      <w:color w:val="auto"/>
                      <w:kern w:val="0"/>
                      <w:sz w:val="22"/>
                      <w:szCs w:val="22"/>
                      <w:u w:val="none"/>
                      <w:lang w:val="en-US" w:eastAsia="zh-CN" w:bidi="ar"/>
                    </w:rPr>
                    <w:t>33.8</w:t>
                  </w:r>
                </w:p>
              </w:tc>
              <w:tc>
                <w:tcPr>
                  <w:tcW w:w="970" w:type="dxa"/>
                  <w:vAlign w:val="center"/>
                </w:tcPr>
                <w:p w14:paraId="6DB77C8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cs="Times New Roman"/>
                      <w:b w:val="0"/>
                      <w:bCs/>
                      <w:color w:val="auto"/>
                      <w:sz w:val="21"/>
                      <w:szCs w:val="21"/>
                      <w:lang w:val="en-US" w:eastAsia="zh-CN"/>
                    </w:rPr>
                  </w:pPr>
                  <w:r>
                    <w:rPr>
                      <w:rFonts w:hint="eastAsia" w:cs="Times New Roman"/>
                      <w:i w:val="0"/>
                      <w:iCs w:val="0"/>
                      <w:color w:val="auto"/>
                      <w:kern w:val="0"/>
                      <w:sz w:val="22"/>
                      <w:szCs w:val="22"/>
                      <w:u w:val="none"/>
                      <w:lang w:val="en-US" w:eastAsia="zh-CN" w:bidi="ar"/>
                    </w:rPr>
                    <w:t>45.2</w:t>
                  </w:r>
                </w:p>
              </w:tc>
              <w:tc>
                <w:tcPr>
                  <w:tcW w:w="1243" w:type="dxa"/>
                  <w:vAlign w:val="center"/>
                </w:tcPr>
                <w:p w14:paraId="6FBF1D93">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b w:val="0"/>
                      <w:bCs/>
                      <w:color w:val="auto"/>
                      <w:lang w:val="en-US" w:eastAsia="zh-CN"/>
                    </w:rPr>
                  </w:pPr>
                  <w:r>
                    <w:rPr>
                      <w:rFonts w:hint="eastAsia" w:cs="Times New Roman"/>
                      <w:b w:val="0"/>
                      <w:bCs/>
                      <w:color w:val="auto"/>
                      <w:lang w:val="en-US" w:eastAsia="zh-CN"/>
                    </w:rPr>
                    <w:t>点源</w:t>
                  </w:r>
                </w:p>
              </w:tc>
            </w:tr>
            <w:tr w14:paraId="5438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 w:type="dxa"/>
                  <w:vAlign w:val="center"/>
                </w:tcPr>
                <w:p w14:paraId="60712A04">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w:t>
                  </w:r>
                </w:p>
              </w:tc>
              <w:tc>
                <w:tcPr>
                  <w:tcW w:w="1171" w:type="dxa"/>
                  <w:vAlign w:val="center"/>
                </w:tcPr>
                <w:p w14:paraId="4E76F1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1369" w:type="dxa"/>
                  <w:vAlign w:val="center"/>
                </w:tcPr>
                <w:p w14:paraId="66E0B1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1342" w:type="dxa"/>
                  <w:vAlign w:val="center"/>
                </w:tcPr>
                <w:p w14:paraId="31C0EB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1231" w:type="dxa"/>
                  <w:vAlign w:val="center"/>
                </w:tcPr>
                <w:p w14:paraId="7376F7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1238" w:type="dxa"/>
                  <w:vAlign w:val="center"/>
                </w:tcPr>
                <w:p w14:paraId="643AD9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996" w:type="dxa"/>
                  <w:vAlign w:val="center"/>
                </w:tcPr>
                <w:p w14:paraId="63948FB4">
                  <w:pPr>
                    <w:pStyle w:val="3"/>
                    <w:pageBreakBefore w:val="0"/>
                    <w:kinsoku/>
                    <w:wordWrap/>
                    <w:overflowPunct/>
                    <w:topLinePunct w:val="0"/>
                    <w:autoSpaceDE/>
                    <w:autoSpaceDN/>
                    <w:bidi w:val="0"/>
                    <w:snapToGrid/>
                    <w:spacing w:line="240" w:lineRule="auto"/>
                    <w:jc w:val="center"/>
                    <w:rPr>
                      <w:rFonts w:hint="default"/>
                      <w:b/>
                      <w:bCs w:val="0"/>
                      <w:lang w:val="en-US" w:eastAsia="zh-CN"/>
                    </w:rPr>
                  </w:pPr>
                  <w:r>
                    <w:rPr>
                      <w:rFonts w:hint="eastAsia"/>
                      <w:b/>
                      <w:bCs w:val="0"/>
                      <w:lang w:val="en-US" w:eastAsia="zh-CN"/>
                    </w:rPr>
                    <w:t>37.5</w:t>
                  </w:r>
                </w:p>
              </w:tc>
              <w:tc>
                <w:tcPr>
                  <w:tcW w:w="1062" w:type="dxa"/>
                  <w:vAlign w:val="center"/>
                </w:tcPr>
                <w:p w14:paraId="1F5226A6">
                  <w:pPr>
                    <w:pStyle w:val="3"/>
                    <w:pageBreakBefore w:val="0"/>
                    <w:kinsoku/>
                    <w:wordWrap/>
                    <w:overflowPunct/>
                    <w:topLinePunct w:val="0"/>
                    <w:autoSpaceDE/>
                    <w:autoSpaceDN/>
                    <w:bidi w:val="0"/>
                    <w:snapToGrid/>
                    <w:spacing w:line="240" w:lineRule="auto"/>
                    <w:jc w:val="center"/>
                    <w:rPr>
                      <w:rFonts w:hint="default"/>
                      <w:b/>
                      <w:bCs w:val="0"/>
                      <w:lang w:val="en-US" w:eastAsia="zh-CN"/>
                    </w:rPr>
                  </w:pPr>
                  <w:r>
                    <w:rPr>
                      <w:rFonts w:hint="eastAsia"/>
                      <w:b/>
                      <w:bCs w:val="0"/>
                      <w:lang w:val="en-US" w:eastAsia="zh-CN"/>
                    </w:rPr>
                    <w:t>40.4</w:t>
                  </w:r>
                </w:p>
              </w:tc>
              <w:tc>
                <w:tcPr>
                  <w:tcW w:w="1049" w:type="dxa"/>
                  <w:vAlign w:val="center"/>
                </w:tcPr>
                <w:p w14:paraId="48B0705B">
                  <w:pPr>
                    <w:pStyle w:val="3"/>
                    <w:pageBreakBefore w:val="0"/>
                    <w:kinsoku/>
                    <w:wordWrap/>
                    <w:overflowPunct/>
                    <w:topLinePunct w:val="0"/>
                    <w:autoSpaceDE/>
                    <w:autoSpaceDN/>
                    <w:bidi w:val="0"/>
                    <w:snapToGrid/>
                    <w:spacing w:line="240" w:lineRule="auto"/>
                    <w:jc w:val="center"/>
                    <w:rPr>
                      <w:rFonts w:hint="default"/>
                      <w:b/>
                      <w:bCs w:val="0"/>
                      <w:lang w:val="en-US" w:eastAsia="zh-CN"/>
                    </w:rPr>
                  </w:pPr>
                  <w:r>
                    <w:rPr>
                      <w:rFonts w:hint="eastAsia"/>
                      <w:b/>
                      <w:bCs w:val="0"/>
                      <w:lang w:val="en-US" w:eastAsia="zh-CN"/>
                    </w:rPr>
                    <w:t>35.9</w:t>
                  </w:r>
                </w:p>
              </w:tc>
              <w:tc>
                <w:tcPr>
                  <w:tcW w:w="970" w:type="dxa"/>
                  <w:vAlign w:val="center"/>
                </w:tcPr>
                <w:p w14:paraId="08CC510A">
                  <w:pPr>
                    <w:pStyle w:val="3"/>
                    <w:pageBreakBefore w:val="0"/>
                    <w:kinsoku/>
                    <w:wordWrap/>
                    <w:overflowPunct/>
                    <w:topLinePunct w:val="0"/>
                    <w:autoSpaceDE/>
                    <w:autoSpaceDN/>
                    <w:bidi w:val="0"/>
                    <w:snapToGrid/>
                    <w:spacing w:line="240" w:lineRule="auto"/>
                    <w:jc w:val="center"/>
                    <w:rPr>
                      <w:rFonts w:hint="default"/>
                      <w:b/>
                      <w:bCs w:val="0"/>
                      <w:lang w:val="en-US" w:eastAsia="zh-CN"/>
                    </w:rPr>
                  </w:pPr>
                  <w:r>
                    <w:rPr>
                      <w:rFonts w:hint="eastAsia"/>
                      <w:b/>
                      <w:bCs w:val="0"/>
                      <w:lang w:val="en-US" w:eastAsia="zh-CN"/>
                    </w:rPr>
                    <w:t>45.2</w:t>
                  </w:r>
                </w:p>
              </w:tc>
              <w:tc>
                <w:tcPr>
                  <w:tcW w:w="1243" w:type="dxa"/>
                  <w:vAlign w:val="center"/>
                </w:tcPr>
                <w:p w14:paraId="0F6A25FE">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b w:val="0"/>
                      <w:bCs/>
                      <w:color w:val="auto"/>
                      <w:lang w:val="en-US" w:eastAsia="zh-CN"/>
                    </w:rPr>
                  </w:pPr>
                  <w:r>
                    <w:rPr>
                      <w:rFonts w:hint="eastAsia" w:cs="Times New Roman"/>
                      <w:b w:val="0"/>
                      <w:bCs/>
                      <w:color w:val="auto"/>
                      <w:lang w:val="en-US" w:eastAsia="zh-CN"/>
                    </w:rPr>
                    <w:t>/</w:t>
                  </w:r>
                </w:p>
              </w:tc>
            </w:tr>
          </w:tbl>
          <w:p w14:paraId="774961BF">
            <w:pPr>
              <w:autoSpaceDE w:val="0"/>
              <w:autoSpaceDN w:val="0"/>
              <w:spacing w:line="460" w:lineRule="exact"/>
              <w:ind w:firstLine="0" w:firstLineChars="0"/>
              <w:jc w:val="center"/>
              <w:rPr>
                <w:rFonts w:ascii="宋体" w:hAnsi="宋体" w:cs="宋体"/>
                <w:color w:val="auto"/>
                <w:kern w:val="0"/>
                <w:szCs w:val="21"/>
              </w:rPr>
            </w:pPr>
          </w:p>
        </w:tc>
      </w:tr>
    </w:tbl>
    <w:p w14:paraId="7BA1EE26">
      <w:pPr>
        <w:pStyle w:val="12"/>
        <w:sectPr>
          <w:pgSz w:w="16840" w:h="11907" w:orient="landscape"/>
          <w:pgMar w:top="1531" w:right="1701" w:bottom="1531" w:left="2127" w:header="851" w:footer="851" w:gutter="0"/>
          <w:pgNumType w:fmt="decimal"/>
          <w:cols w:space="720" w:num="1"/>
          <w:docGrid w:linePitch="312" w:charSpace="0"/>
        </w:sectPr>
      </w:pPr>
    </w:p>
    <w:tbl>
      <w:tblPr>
        <w:tblStyle w:val="26"/>
        <w:tblW w:w="90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2"/>
        <w:gridCol w:w="8687"/>
      </w:tblGrid>
      <w:tr w14:paraId="75EF8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dxa"/>
            <w:vAlign w:val="center"/>
          </w:tcPr>
          <w:p w14:paraId="7EADEF7C">
            <w:pPr>
              <w:spacing w:line="460" w:lineRule="exact"/>
              <w:ind w:firstLine="0" w:firstLineChars="0"/>
              <w:jc w:val="center"/>
              <w:rPr>
                <w:rFonts w:ascii="宋体" w:hAnsi="宋体" w:cs="宋体"/>
                <w:color w:val="auto"/>
                <w:kern w:val="0"/>
                <w:szCs w:val="21"/>
              </w:rPr>
            </w:pPr>
          </w:p>
        </w:tc>
        <w:tc>
          <w:tcPr>
            <w:tcW w:w="8687" w:type="dxa"/>
            <w:vAlign w:val="center"/>
          </w:tcPr>
          <w:p w14:paraId="4316E83A">
            <w:pPr>
              <w:keepNext w:val="0"/>
              <w:keepLines w:val="0"/>
              <w:pageBreakBefore w:val="0"/>
              <w:widowControl w:val="0"/>
              <w:suppressLineNumbers w:val="0"/>
              <w:kinsoku/>
              <w:overflowPunct/>
              <w:topLinePunct w:val="0"/>
              <w:autoSpaceDE/>
              <w:autoSpaceDN/>
              <w:bidi w:val="0"/>
              <w:adjustRightInd/>
              <w:snapToGrid/>
              <w:spacing w:beforeAutospacing="0" w:afterAutospacing="0" w:line="360" w:lineRule="auto"/>
              <w:ind w:left="0" w:leftChars="0" w:right="0" w:firstLine="0" w:firstLineChars="0"/>
              <w:textAlignment w:val="auto"/>
              <w:rPr>
                <w:rFonts w:hint="default"/>
                <w:b/>
                <w:bCs/>
                <w:color w:val="auto"/>
              </w:rPr>
            </w:pPr>
            <w:r>
              <w:rPr>
                <w:rFonts w:hint="eastAsia"/>
                <w:b/>
                <w:bCs/>
                <w:color w:val="auto"/>
                <w:lang w:val="en-US" w:eastAsia="zh-CN"/>
              </w:rPr>
              <w:t>3.3</w:t>
            </w:r>
            <w:r>
              <w:rPr>
                <w:rFonts w:hint="default"/>
                <w:b/>
                <w:bCs/>
                <w:color w:val="auto"/>
              </w:rPr>
              <w:t>噪声预测结果</w:t>
            </w:r>
          </w:p>
          <w:p w14:paraId="36685E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default" w:eastAsia="宋体"/>
                <w:color w:val="auto"/>
                <w:lang w:val="en-US" w:eastAsia="zh-CN"/>
              </w:rPr>
            </w:pPr>
            <w:r>
              <w:rPr>
                <w:rFonts w:hint="default" w:eastAsia="宋体"/>
                <w:color w:val="auto"/>
                <w:lang w:val="en-US" w:eastAsia="zh-CN"/>
              </w:rPr>
              <w:t>在考虑各噪声经过减振、隔声等降噪措施后，根据噪声预测模式，将有关参数代入公式计算，预测工程噪声源对各预测点的影响</w:t>
            </w:r>
            <w:r>
              <w:rPr>
                <w:rFonts w:hint="eastAsia"/>
                <w:color w:val="auto"/>
                <w:lang w:val="en-US" w:eastAsia="zh-CN"/>
              </w:rPr>
              <w:t>。</w:t>
            </w:r>
          </w:p>
          <w:p w14:paraId="2D5363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color w:val="auto"/>
              </w:rPr>
            </w:pPr>
            <w:r>
              <w:rPr>
                <w:b/>
                <w:color w:val="auto"/>
              </w:rPr>
              <w:t>表</w:t>
            </w:r>
            <w:r>
              <w:rPr>
                <w:rFonts w:hint="eastAsia"/>
                <w:b/>
                <w:color w:val="auto"/>
              </w:rPr>
              <w:t>4-</w:t>
            </w:r>
            <w:r>
              <w:rPr>
                <w:rFonts w:hint="eastAsia"/>
                <w:b/>
                <w:color w:val="auto"/>
                <w:lang w:val="en-US" w:eastAsia="zh-CN"/>
              </w:rPr>
              <w:t>11</w:t>
            </w:r>
            <w:r>
              <w:rPr>
                <w:rFonts w:hint="eastAsia"/>
                <w:b/>
                <w:color w:val="auto"/>
              </w:rPr>
              <w:t xml:space="preserve">  </w:t>
            </w:r>
            <w:r>
              <w:rPr>
                <w:b/>
                <w:color w:val="auto"/>
              </w:rPr>
              <w:t>噪声预测结果</w:t>
            </w:r>
            <w:r>
              <w:rPr>
                <w:rFonts w:hint="eastAsia"/>
                <w:b/>
                <w:color w:val="auto"/>
              </w:rPr>
              <w:t xml:space="preserve">  </w:t>
            </w:r>
            <w:r>
              <w:rPr>
                <w:b/>
                <w:color w:val="auto"/>
              </w:rPr>
              <w:t>单位：dB</w:t>
            </w:r>
            <w:r>
              <w:rPr>
                <w:rFonts w:hint="eastAsia"/>
                <w:b/>
                <w:color w:val="auto"/>
              </w:rPr>
              <w:t>（</w:t>
            </w:r>
            <w:r>
              <w:rPr>
                <w:b/>
                <w:color w:val="auto"/>
              </w:rPr>
              <w:t>A</w:t>
            </w:r>
            <w:r>
              <w:rPr>
                <w:rFonts w:hint="eastAsia"/>
                <w:b/>
                <w:color w:val="auto"/>
              </w:rP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3098"/>
              <w:gridCol w:w="3316"/>
            </w:tblGrid>
            <w:tr w14:paraId="23B7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8" w:type="dxa"/>
                  <w:vAlign w:val="center"/>
                </w:tcPr>
                <w:p w14:paraId="3AADA843">
                  <w:pPr>
                    <w:spacing w:line="240" w:lineRule="auto"/>
                    <w:ind w:firstLine="0" w:firstLineChars="0"/>
                    <w:jc w:val="center"/>
                    <w:rPr>
                      <w:b/>
                      <w:bCs/>
                      <w:color w:val="auto"/>
                      <w:sz w:val="21"/>
                      <w:szCs w:val="21"/>
                    </w:rPr>
                  </w:pPr>
                  <w:r>
                    <w:rPr>
                      <w:rFonts w:hint="eastAsia"/>
                      <w:b/>
                      <w:bCs/>
                      <w:color w:val="auto"/>
                      <w:sz w:val="21"/>
                      <w:szCs w:val="21"/>
                    </w:rPr>
                    <w:t>昼/夜</w:t>
                  </w:r>
                </w:p>
              </w:tc>
              <w:tc>
                <w:tcPr>
                  <w:tcW w:w="1737" w:type="dxa"/>
                  <w:vAlign w:val="center"/>
                </w:tcPr>
                <w:p w14:paraId="2B0702EF">
                  <w:pPr>
                    <w:spacing w:line="240" w:lineRule="auto"/>
                    <w:ind w:firstLine="0" w:firstLineChars="0"/>
                    <w:jc w:val="center"/>
                    <w:rPr>
                      <w:b/>
                      <w:bCs/>
                      <w:color w:val="auto"/>
                      <w:sz w:val="21"/>
                      <w:szCs w:val="21"/>
                    </w:rPr>
                  </w:pPr>
                  <w:r>
                    <w:rPr>
                      <w:b/>
                      <w:bCs/>
                      <w:color w:val="auto"/>
                      <w:sz w:val="21"/>
                      <w:szCs w:val="21"/>
                    </w:rPr>
                    <w:t>预测点</w:t>
                  </w:r>
                </w:p>
              </w:tc>
              <w:tc>
                <w:tcPr>
                  <w:tcW w:w="1859" w:type="dxa"/>
                  <w:vAlign w:val="center"/>
                </w:tcPr>
                <w:p w14:paraId="28F80A8F">
                  <w:pPr>
                    <w:spacing w:line="240" w:lineRule="auto"/>
                    <w:ind w:firstLine="0" w:firstLineChars="0"/>
                    <w:jc w:val="center"/>
                    <w:rPr>
                      <w:rFonts w:hint="eastAsia" w:eastAsia="宋体"/>
                      <w:b/>
                      <w:bCs/>
                      <w:color w:val="auto"/>
                      <w:sz w:val="21"/>
                      <w:szCs w:val="21"/>
                      <w:lang w:val="en-US" w:eastAsia="zh-CN"/>
                    </w:rPr>
                  </w:pPr>
                  <w:r>
                    <w:rPr>
                      <w:rFonts w:hint="eastAsia"/>
                      <w:b/>
                      <w:bCs/>
                      <w:color w:val="auto"/>
                      <w:sz w:val="21"/>
                      <w:szCs w:val="21"/>
                      <w:lang w:val="en-US" w:eastAsia="zh-CN"/>
                    </w:rPr>
                    <w:t>预测值</w:t>
                  </w:r>
                </w:p>
              </w:tc>
            </w:tr>
            <w:tr w14:paraId="1F63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8" w:type="dxa"/>
                  <w:vMerge w:val="restart"/>
                  <w:vAlign w:val="center"/>
                </w:tcPr>
                <w:p w14:paraId="0CDEA0BD">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昼间</w:t>
                  </w:r>
                </w:p>
              </w:tc>
              <w:tc>
                <w:tcPr>
                  <w:tcW w:w="1737" w:type="dxa"/>
                  <w:vAlign w:val="center"/>
                </w:tcPr>
                <w:p w14:paraId="01B21AD5">
                  <w:pPr>
                    <w:spacing w:line="240" w:lineRule="auto"/>
                    <w:ind w:firstLine="0" w:firstLineChars="0"/>
                    <w:jc w:val="center"/>
                    <w:rPr>
                      <w:color w:val="auto"/>
                      <w:sz w:val="21"/>
                      <w:szCs w:val="21"/>
                    </w:rPr>
                  </w:pPr>
                  <w:r>
                    <w:rPr>
                      <w:color w:val="auto"/>
                      <w:sz w:val="21"/>
                      <w:szCs w:val="21"/>
                    </w:rPr>
                    <w:t>东厂界</w:t>
                  </w:r>
                </w:p>
              </w:tc>
              <w:tc>
                <w:tcPr>
                  <w:tcW w:w="1859" w:type="dxa"/>
                  <w:vAlign w:val="center"/>
                </w:tcPr>
                <w:p w14:paraId="4E8B993A">
                  <w:pPr>
                    <w:widowControl/>
                    <w:spacing w:line="240" w:lineRule="auto"/>
                    <w:ind w:firstLine="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37.5</w:t>
                  </w:r>
                </w:p>
              </w:tc>
            </w:tr>
            <w:tr w14:paraId="3BCC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8" w:type="dxa"/>
                  <w:vMerge w:val="continue"/>
                  <w:vAlign w:val="center"/>
                </w:tcPr>
                <w:p w14:paraId="1E7590C2">
                  <w:pPr>
                    <w:spacing w:line="240" w:lineRule="auto"/>
                    <w:ind w:firstLine="0" w:firstLineChars="0"/>
                    <w:jc w:val="center"/>
                    <w:rPr>
                      <w:color w:val="auto"/>
                      <w:sz w:val="21"/>
                      <w:szCs w:val="21"/>
                    </w:rPr>
                  </w:pPr>
                </w:p>
              </w:tc>
              <w:tc>
                <w:tcPr>
                  <w:tcW w:w="1737" w:type="dxa"/>
                  <w:vAlign w:val="center"/>
                </w:tcPr>
                <w:p w14:paraId="0F8269B3">
                  <w:pPr>
                    <w:spacing w:line="240" w:lineRule="auto"/>
                    <w:ind w:firstLine="0" w:firstLineChars="0"/>
                    <w:jc w:val="center"/>
                    <w:rPr>
                      <w:color w:val="auto"/>
                      <w:sz w:val="21"/>
                      <w:szCs w:val="21"/>
                    </w:rPr>
                  </w:pPr>
                  <w:r>
                    <w:rPr>
                      <w:color w:val="auto"/>
                      <w:sz w:val="21"/>
                      <w:szCs w:val="21"/>
                    </w:rPr>
                    <w:t>南厂界</w:t>
                  </w:r>
                </w:p>
              </w:tc>
              <w:tc>
                <w:tcPr>
                  <w:tcW w:w="1859" w:type="dxa"/>
                  <w:vAlign w:val="center"/>
                </w:tcPr>
                <w:p w14:paraId="651DD130">
                  <w:pPr>
                    <w:widowControl/>
                    <w:spacing w:line="240" w:lineRule="auto"/>
                    <w:ind w:firstLine="0" w:firstLineChars="0"/>
                    <w:jc w:val="center"/>
                    <w:textAlignment w:val="center"/>
                    <w:rPr>
                      <w:rFonts w:hint="default" w:eastAsia="宋体"/>
                      <w:color w:val="auto"/>
                      <w:sz w:val="21"/>
                      <w:szCs w:val="21"/>
                      <w:lang w:val="en-US" w:eastAsia="zh-CN"/>
                    </w:rPr>
                  </w:pPr>
                  <w:r>
                    <w:rPr>
                      <w:rFonts w:hint="eastAsia"/>
                      <w:color w:val="auto"/>
                      <w:sz w:val="21"/>
                      <w:szCs w:val="21"/>
                      <w:lang w:val="en-US" w:eastAsia="zh-CN"/>
                    </w:rPr>
                    <w:t>40.4</w:t>
                  </w:r>
                </w:p>
              </w:tc>
            </w:tr>
            <w:tr w14:paraId="3A55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8" w:type="dxa"/>
                  <w:vMerge w:val="continue"/>
                  <w:vAlign w:val="center"/>
                </w:tcPr>
                <w:p w14:paraId="43CE73F9">
                  <w:pPr>
                    <w:spacing w:line="240" w:lineRule="auto"/>
                    <w:ind w:firstLine="0" w:firstLineChars="0"/>
                    <w:jc w:val="center"/>
                    <w:rPr>
                      <w:color w:val="auto"/>
                      <w:sz w:val="21"/>
                      <w:szCs w:val="21"/>
                    </w:rPr>
                  </w:pPr>
                </w:p>
              </w:tc>
              <w:tc>
                <w:tcPr>
                  <w:tcW w:w="1737" w:type="dxa"/>
                  <w:vAlign w:val="center"/>
                </w:tcPr>
                <w:p w14:paraId="6D706C0D">
                  <w:pPr>
                    <w:spacing w:line="240" w:lineRule="auto"/>
                    <w:ind w:firstLine="0" w:firstLineChars="0"/>
                    <w:jc w:val="center"/>
                    <w:rPr>
                      <w:color w:val="auto"/>
                      <w:sz w:val="21"/>
                      <w:szCs w:val="21"/>
                    </w:rPr>
                  </w:pPr>
                  <w:r>
                    <w:rPr>
                      <w:color w:val="auto"/>
                      <w:sz w:val="21"/>
                      <w:szCs w:val="21"/>
                    </w:rPr>
                    <w:t>西厂界</w:t>
                  </w:r>
                </w:p>
              </w:tc>
              <w:tc>
                <w:tcPr>
                  <w:tcW w:w="1859" w:type="dxa"/>
                  <w:vAlign w:val="center"/>
                </w:tcPr>
                <w:p w14:paraId="70DAE9DA">
                  <w:pPr>
                    <w:widowControl/>
                    <w:spacing w:line="240" w:lineRule="auto"/>
                    <w:ind w:firstLine="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35.9</w:t>
                  </w:r>
                </w:p>
              </w:tc>
            </w:tr>
            <w:tr w14:paraId="7250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8" w:type="dxa"/>
                  <w:vMerge w:val="continue"/>
                  <w:vAlign w:val="center"/>
                </w:tcPr>
                <w:p w14:paraId="688DBC84">
                  <w:pPr>
                    <w:spacing w:line="240" w:lineRule="auto"/>
                    <w:ind w:firstLine="0" w:firstLineChars="0"/>
                    <w:jc w:val="center"/>
                    <w:rPr>
                      <w:color w:val="auto"/>
                      <w:sz w:val="21"/>
                      <w:szCs w:val="21"/>
                    </w:rPr>
                  </w:pPr>
                </w:p>
              </w:tc>
              <w:tc>
                <w:tcPr>
                  <w:tcW w:w="1737" w:type="dxa"/>
                  <w:vAlign w:val="center"/>
                </w:tcPr>
                <w:p w14:paraId="3062F81C">
                  <w:pPr>
                    <w:spacing w:line="240" w:lineRule="auto"/>
                    <w:ind w:firstLine="0" w:firstLineChars="0"/>
                    <w:jc w:val="center"/>
                    <w:rPr>
                      <w:color w:val="auto"/>
                      <w:sz w:val="21"/>
                      <w:szCs w:val="21"/>
                    </w:rPr>
                  </w:pPr>
                  <w:r>
                    <w:rPr>
                      <w:color w:val="auto"/>
                      <w:sz w:val="21"/>
                      <w:szCs w:val="21"/>
                    </w:rPr>
                    <w:t>北厂界</w:t>
                  </w:r>
                </w:p>
              </w:tc>
              <w:tc>
                <w:tcPr>
                  <w:tcW w:w="1859" w:type="dxa"/>
                  <w:vAlign w:val="center"/>
                </w:tcPr>
                <w:p w14:paraId="7386B641">
                  <w:pPr>
                    <w:widowControl/>
                    <w:spacing w:line="240" w:lineRule="auto"/>
                    <w:ind w:firstLine="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45.2</w:t>
                  </w:r>
                </w:p>
              </w:tc>
            </w:tr>
            <w:tr w14:paraId="16D8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8" w:type="dxa"/>
                  <w:vMerge w:val="restart"/>
                  <w:vAlign w:val="center"/>
                </w:tcPr>
                <w:p w14:paraId="1422439B">
                  <w:pPr>
                    <w:spacing w:line="240" w:lineRule="auto"/>
                    <w:ind w:firstLine="0" w:firstLineChars="0"/>
                    <w:jc w:val="center"/>
                    <w:rPr>
                      <w:rFonts w:hint="default"/>
                      <w:color w:val="auto"/>
                      <w:sz w:val="21"/>
                      <w:szCs w:val="21"/>
                      <w:lang w:val="en-US"/>
                    </w:rPr>
                  </w:pPr>
                  <w:r>
                    <w:rPr>
                      <w:rFonts w:hint="eastAsia"/>
                      <w:color w:val="auto"/>
                      <w:sz w:val="21"/>
                      <w:szCs w:val="21"/>
                      <w:lang w:val="en-US" w:eastAsia="zh-CN"/>
                    </w:rPr>
                    <w:t>夜间</w:t>
                  </w:r>
                </w:p>
              </w:tc>
              <w:tc>
                <w:tcPr>
                  <w:tcW w:w="1737" w:type="dxa"/>
                  <w:vAlign w:val="center"/>
                </w:tcPr>
                <w:p w14:paraId="1239419E">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color w:val="auto"/>
                      <w:sz w:val="21"/>
                      <w:szCs w:val="21"/>
                    </w:rPr>
                    <w:t>东厂界</w:t>
                  </w:r>
                </w:p>
              </w:tc>
              <w:tc>
                <w:tcPr>
                  <w:tcW w:w="1859" w:type="dxa"/>
                  <w:vAlign w:val="center"/>
                </w:tcPr>
                <w:p w14:paraId="164B4907">
                  <w:pPr>
                    <w:widowControl/>
                    <w:spacing w:line="240" w:lineRule="auto"/>
                    <w:ind w:firstLine="0" w:firstLineChars="0"/>
                    <w:jc w:val="center"/>
                    <w:textAlignment w:val="center"/>
                    <w:rPr>
                      <w:rFonts w:hint="eastAsia" w:ascii="Times New Roman" w:hAnsi="Times New Roman" w:eastAsia="宋体" w:cs="Times New Roman"/>
                      <w:color w:val="auto"/>
                      <w:kern w:val="0"/>
                      <w:sz w:val="21"/>
                      <w:szCs w:val="21"/>
                      <w:lang w:val="en-US" w:eastAsia="zh-CN" w:bidi="ar"/>
                    </w:rPr>
                  </w:pPr>
                  <w:r>
                    <w:rPr>
                      <w:rFonts w:hint="eastAsia"/>
                      <w:color w:val="auto"/>
                      <w:kern w:val="0"/>
                      <w:sz w:val="21"/>
                      <w:szCs w:val="21"/>
                      <w:lang w:val="en-US" w:eastAsia="zh-CN" w:bidi="ar"/>
                    </w:rPr>
                    <w:t>37.5</w:t>
                  </w:r>
                </w:p>
              </w:tc>
            </w:tr>
            <w:tr w14:paraId="65A8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8" w:type="dxa"/>
                  <w:vMerge w:val="continue"/>
                  <w:vAlign w:val="center"/>
                </w:tcPr>
                <w:p w14:paraId="0AEBBA74">
                  <w:pPr>
                    <w:spacing w:line="240" w:lineRule="auto"/>
                    <w:ind w:firstLine="0" w:firstLineChars="0"/>
                    <w:jc w:val="center"/>
                    <w:rPr>
                      <w:color w:val="auto"/>
                      <w:sz w:val="21"/>
                      <w:szCs w:val="21"/>
                    </w:rPr>
                  </w:pPr>
                </w:p>
              </w:tc>
              <w:tc>
                <w:tcPr>
                  <w:tcW w:w="1737" w:type="dxa"/>
                  <w:vAlign w:val="center"/>
                </w:tcPr>
                <w:p w14:paraId="75C282EA">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color w:val="auto"/>
                      <w:sz w:val="21"/>
                      <w:szCs w:val="21"/>
                    </w:rPr>
                    <w:t>南厂界</w:t>
                  </w:r>
                </w:p>
              </w:tc>
              <w:tc>
                <w:tcPr>
                  <w:tcW w:w="1859" w:type="dxa"/>
                  <w:vAlign w:val="center"/>
                </w:tcPr>
                <w:p w14:paraId="130A7BAA">
                  <w:pPr>
                    <w:widowControl/>
                    <w:spacing w:line="240" w:lineRule="auto"/>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40.4</w:t>
                  </w:r>
                </w:p>
              </w:tc>
            </w:tr>
            <w:tr w14:paraId="2BDE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8" w:type="dxa"/>
                  <w:vMerge w:val="continue"/>
                  <w:vAlign w:val="center"/>
                </w:tcPr>
                <w:p w14:paraId="60BF408A">
                  <w:pPr>
                    <w:spacing w:line="240" w:lineRule="auto"/>
                    <w:ind w:firstLine="0" w:firstLineChars="0"/>
                    <w:jc w:val="center"/>
                    <w:rPr>
                      <w:color w:val="auto"/>
                      <w:sz w:val="21"/>
                      <w:szCs w:val="21"/>
                    </w:rPr>
                  </w:pPr>
                </w:p>
              </w:tc>
              <w:tc>
                <w:tcPr>
                  <w:tcW w:w="1737" w:type="dxa"/>
                  <w:vAlign w:val="center"/>
                </w:tcPr>
                <w:p w14:paraId="152135DC">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color w:val="auto"/>
                      <w:sz w:val="21"/>
                      <w:szCs w:val="21"/>
                    </w:rPr>
                    <w:t>西厂界</w:t>
                  </w:r>
                </w:p>
              </w:tc>
              <w:tc>
                <w:tcPr>
                  <w:tcW w:w="1859" w:type="dxa"/>
                  <w:vAlign w:val="center"/>
                </w:tcPr>
                <w:p w14:paraId="677880A8">
                  <w:pPr>
                    <w:widowControl/>
                    <w:spacing w:line="240" w:lineRule="auto"/>
                    <w:ind w:firstLine="0" w:firstLineChars="0"/>
                    <w:jc w:val="center"/>
                    <w:textAlignment w:val="center"/>
                    <w:rPr>
                      <w:rFonts w:hint="eastAsia" w:ascii="Times New Roman" w:hAnsi="Times New Roman" w:eastAsia="宋体" w:cs="Times New Roman"/>
                      <w:color w:val="auto"/>
                      <w:kern w:val="0"/>
                      <w:sz w:val="21"/>
                      <w:szCs w:val="21"/>
                      <w:lang w:val="en-US" w:eastAsia="zh-CN" w:bidi="ar"/>
                    </w:rPr>
                  </w:pPr>
                  <w:r>
                    <w:rPr>
                      <w:rFonts w:hint="eastAsia"/>
                      <w:color w:val="auto"/>
                      <w:kern w:val="0"/>
                      <w:sz w:val="21"/>
                      <w:szCs w:val="21"/>
                      <w:lang w:val="en-US" w:eastAsia="zh-CN" w:bidi="ar"/>
                    </w:rPr>
                    <w:t>35.9</w:t>
                  </w:r>
                </w:p>
              </w:tc>
            </w:tr>
            <w:tr w14:paraId="4642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8" w:type="dxa"/>
                  <w:vMerge w:val="continue"/>
                  <w:vAlign w:val="center"/>
                </w:tcPr>
                <w:p w14:paraId="00FEBDEC">
                  <w:pPr>
                    <w:spacing w:line="240" w:lineRule="auto"/>
                    <w:ind w:firstLine="0" w:firstLineChars="0"/>
                    <w:jc w:val="center"/>
                    <w:rPr>
                      <w:color w:val="auto"/>
                      <w:sz w:val="21"/>
                      <w:szCs w:val="21"/>
                    </w:rPr>
                  </w:pPr>
                </w:p>
              </w:tc>
              <w:tc>
                <w:tcPr>
                  <w:tcW w:w="1737" w:type="dxa"/>
                  <w:vAlign w:val="center"/>
                </w:tcPr>
                <w:p w14:paraId="6AE804F2">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color w:val="auto"/>
                      <w:sz w:val="21"/>
                      <w:szCs w:val="21"/>
                    </w:rPr>
                    <w:t>北厂界</w:t>
                  </w:r>
                </w:p>
              </w:tc>
              <w:tc>
                <w:tcPr>
                  <w:tcW w:w="1859" w:type="dxa"/>
                  <w:vAlign w:val="center"/>
                </w:tcPr>
                <w:p w14:paraId="744DE5B2">
                  <w:pPr>
                    <w:widowControl/>
                    <w:spacing w:line="240" w:lineRule="auto"/>
                    <w:ind w:firstLine="0" w:firstLineChars="0"/>
                    <w:jc w:val="center"/>
                    <w:textAlignment w:val="center"/>
                    <w:rPr>
                      <w:rFonts w:hint="eastAsia" w:ascii="Times New Roman" w:hAnsi="Times New Roman" w:eastAsia="宋体" w:cs="Times New Roman"/>
                      <w:color w:val="auto"/>
                      <w:kern w:val="0"/>
                      <w:sz w:val="21"/>
                      <w:szCs w:val="21"/>
                      <w:lang w:val="en-US" w:eastAsia="zh-CN" w:bidi="ar"/>
                    </w:rPr>
                  </w:pPr>
                  <w:r>
                    <w:rPr>
                      <w:rFonts w:hint="eastAsia"/>
                      <w:color w:val="auto"/>
                      <w:kern w:val="0"/>
                      <w:sz w:val="21"/>
                      <w:szCs w:val="21"/>
                      <w:lang w:val="en-US" w:eastAsia="zh-CN" w:bidi="ar"/>
                    </w:rPr>
                    <w:t>45.2</w:t>
                  </w:r>
                </w:p>
              </w:tc>
            </w:tr>
          </w:tbl>
          <w:p w14:paraId="0307F499">
            <w:pPr>
              <w:bidi w:val="0"/>
              <w:rPr>
                <w:rFonts w:hint="eastAsia"/>
                <w:color w:val="auto"/>
                <w:lang w:val="en-US" w:eastAsia="zh-CN"/>
              </w:rPr>
            </w:pPr>
            <w:r>
              <w:rPr>
                <w:rFonts w:hint="default"/>
                <w:color w:val="auto"/>
              </w:rPr>
              <w:t>由预测结果可知，</w:t>
            </w:r>
            <w:r>
              <w:rPr>
                <w:rFonts w:hint="eastAsia"/>
                <w:color w:val="auto"/>
                <w:lang w:val="en-US" w:eastAsia="zh-CN"/>
              </w:rPr>
              <w:t>项目</w:t>
            </w:r>
            <w:r>
              <w:rPr>
                <w:rFonts w:hint="default"/>
                <w:color w:val="auto"/>
              </w:rPr>
              <w:t>减振、隔声等降噪措施后</w:t>
            </w:r>
            <w:r>
              <w:rPr>
                <w:rFonts w:hint="eastAsia"/>
                <w:color w:val="auto"/>
                <w:lang w:val="en-US" w:eastAsia="zh-CN"/>
              </w:rPr>
              <w:t>厂界噪声可以满足《声环境质量标准》（GB3096-2008）中2类标准，不会改变区域声环境功能。</w:t>
            </w:r>
          </w:p>
          <w:p w14:paraId="587FFAC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bCs/>
                <w:color w:val="auto"/>
              </w:rPr>
            </w:pPr>
            <w:r>
              <w:rPr>
                <w:rFonts w:hint="eastAsia"/>
                <w:b/>
                <w:bCs/>
                <w:color w:val="auto"/>
              </w:rPr>
              <w:t>3.</w:t>
            </w:r>
            <w:r>
              <w:rPr>
                <w:rFonts w:hint="eastAsia"/>
                <w:b/>
                <w:bCs/>
                <w:color w:val="auto"/>
                <w:lang w:val="en-US" w:eastAsia="zh-CN"/>
              </w:rPr>
              <w:t>4</w:t>
            </w:r>
            <w:r>
              <w:rPr>
                <w:b/>
                <w:bCs/>
                <w:color w:val="auto"/>
              </w:rPr>
              <w:t>噪声治理措施</w:t>
            </w:r>
          </w:p>
          <w:p w14:paraId="6073F21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olor w:val="auto"/>
              </w:rPr>
            </w:pPr>
            <w:r>
              <w:rPr>
                <w:rFonts w:hint="eastAsia"/>
                <w:color w:val="auto"/>
              </w:rPr>
              <w:t>为进一步减小本项目对周边环境的影响，企业应加强噪声的治理，具体治理措施如下：</w:t>
            </w:r>
          </w:p>
          <w:p w14:paraId="097646D7">
            <w:pPr>
              <w:keepNext w:val="0"/>
              <w:keepLines w:val="0"/>
              <w:pageBreakBefore w:val="0"/>
              <w:widowControl w:val="0"/>
              <w:kinsoku/>
              <w:wordWrap/>
              <w:overflowPunct/>
              <w:topLinePunct w:val="0"/>
              <w:autoSpaceDN/>
              <w:bidi w:val="0"/>
              <w:adjustRightInd/>
              <w:snapToGrid/>
              <w:spacing w:line="360" w:lineRule="auto"/>
              <w:ind w:firstLine="480"/>
              <w:textAlignment w:val="auto"/>
              <w:rPr>
                <w:rFonts w:hint="eastAsia"/>
                <w:color w:val="auto"/>
              </w:rPr>
            </w:pPr>
            <w:r>
              <w:rPr>
                <w:rFonts w:hint="eastAsia"/>
                <w:color w:val="auto"/>
              </w:rPr>
              <w:fldChar w:fldCharType="begin"/>
            </w:r>
            <w:r>
              <w:rPr>
                <w:rFonts w:hint="eastAsia"/>
                <w:color w:val="auto"/>
              </w:rPr>
              <w:instrText xml:space="preserve"> = 1 \* GB3 \* MERGEFORMAT </w:instrText>
            </w:r>
            <w:r>
              <w:rPr>
                <w:rFonts w:hint="eastAsia"/>
                <w:color w:val="auto"/>
              </w:rPr>
              <w:fldChar w:fldCharType="separate"/>
            </w:r>
            <w:r>
              <w:rPr>
                <w:rFonts w:hint="eastAsia"/>
                <w:color w:val="auto"/>
              </w:rPr>
              <w:t>①</w:t>
            </w:r>
            <w:r>
              <w:rPr>
                <w:rFonts w:hint="eastAsia"/>
                <w:color w:val="auto"/>
              </w:rPr>
              <w:fldChar w:fldCharType="end"/>
            </w:r>
            <w:r>
              <w:rPr>
                <w:rFonts w:hint="eastAsia"/>
                <w:color w:val="auto"/>
              </w:rPr>
              <w:t>尽量选择低噪声和符合国家噪声标准的生产设备，并进行定期检修维护，使其处于良好运行状态；在设备与地面之间安装减振垫，减少机械振动产生的噪声污染；</w:t>
            </w:r>
          </w:p>
          <w:p w14:paraId="7174A07B">
            <w:pPr>
              <w:keepNext w:val="0"/>
              <w:keepLines w:val="0"/>
              <w:pageBreakBefore w:val="0"/>
              <w:widowControl w:val="0"/>
              <w:kinsoku/>
              <w:wordWrap/>
              <w:overflowPunct/>
              <w:topLinePunct w:val="0"/>
              <w:autoSpaceDN/>
              <w:bidi w:val="0"/>
              <w:adjustRightInd/>
              <w:snapToGrid/>
              <w:spacing w:line="360" w:lineRule="auto"/>
              <w:ind w:firstLine="480"/>
              <w:textAlignment w:val="auto"/>
              <w:rPr>
                <w:color w:val="auto"/>
              </w:rPr>
            </w:pPr>
            <w:r>
              <w:rPr>
                <w:rFonts w:hint="eastAsia"/>
                <w:color w:val="auto"/>
              </w:rPr>
              <w:fldChar w:fldCharType="begin"/>
            </w:r>
            <w:r>
              <w:rPr>
                <w:rFonts w:hint="eastAsia"/>
                <w:color w:val="auto"/>
              </w:rPr>
              <w:instrText xml:space="preserve"> = 2 \* GB3 \* MERGEFORMAT </w:instrText>
            </w:r>
            <w:r>
              <w:rPr>
                <w:rFonts w:hint="eastAsia"/>
                <w:color w:val="auto"/>
              </w:rPr>
              <w:fldChar w:fldCharType="separate"/>
            </w:r>
            <w:r>
              <w:rPr>
                <w:rFonts w:hint="eastAsia"/>
                <w:color w:val="auto"/>
              </w:rPr>
              <w:t>②</w:t>
            </w:r>
            <w:r>
              <w:rPr>
                <w:rFonts w:hint="eastAsia"/>
                <w:color w:val="auto"/>
              </w:rPr>
              <w:fldChar w:fldCharType="end"/>
            </w:r>
            <w:r>
              <w:rPr>
                <w:rFonts w:hint="eastAsia"/>
                <w:color w:val="auto"/>
              </w:rPr>
              <w:t>合理布局，合理布置厂内各功能区的位置及厂区内部设备的位置，将高噪声设备尽量安置在厂区中间位置以增加其距离衰减量，减少对周围环境的影响；</w:t>
            </w:r>
          </w:p>
          <w:p w14:paraId="5D56AAEE">
            <w:pPr>
              <w:keepNext w:val="0"/>
              <w:keepLines w:val="0"/>
              <w:pageBreakBefore w:val="0"/>
              <w:widowControl w:val="0"/>
              <w:kinsoku/>
              <w:wordWrap/>
              <w:overflowPunct/>
              <w:topLinePunct w:val="0"/>
              <w:autoSpaceDN/>
              <w:bidi w:val="0"/>
              <w:adjustRightInd/>
              <w:snapToGrid/>
              <w:spacing w:line="360" w:lineRule="auto"/>
              <w:ind w:firstLine="480"/>
              <w:textAlignment w:val="auto"/>
              <w:rPr>
                <w:color w:val="auto"/>
              </w:rPr>
            </w:pPr>
            <w:r>
              <w:rPr>
                <w:color w:val="auto"/>
              </w:rPr>
              <w:fldChar w:fldCharType="begin"/>
            </w:r>
            <w:r>
              <w:rPr>
                <w:color w:val="auto"/>
              </w:rPr>
              <w:instrText xml:space="preserve"> = 3 \* GB3 \* MERGEFORMAT </w:instrText>
            </w:r>
            <w:r>
              <w:rPr>
                <w:color w:val="auto"/>
              </w:rPr>
              <w:fldChar w:fldCharType="separate"/>
            </w:r>
            <w:r>
              <w:rPr>
                <w:color w:val="auto"/>
              </w:rPr>
              <w:t>③</w:t>
            </w:r>
            <w:r>
              <w:rPr>
                <w:color w:val="auto"/>
              </w:rPr>
              <w:fldChar w:fldCharType="end"/>
            </w:r>
            <w:r>
              <w:rPr>
                <w:color w:val="auto"/>
              </w:rPr>
              <w:t>搞好厂区绿化：据资料显示，密植槐树林带可以使中频率的声音衰减3.5dB（A）/10m，高于30cm的草地可以降低0.7dB（A）/10m；</w:t>
            </w:r>
          </w:p>
          <w:p w14:paraId="795A16EE">
            <w:pPr>
              <w:keepNext w:val="0"/>
              <w:keepLines w:val="0"/>
              <w:pageBreakBefore w:val="0"/>
              <w:widowControl w:val="0"/>
              <w:kinsoku/>
              <w:wordWrap/>
              <w:overflowPunct/>
              <w:topLinePunct w:val="0"/>
              <w:autoSpaceDN/>
              <w:bidi w:val="0"/>
              <w:adjustRightInd/>
              <w:snapToGrid/>
              <w:spacing w:line="360" w:lineRule="auto"/>
              <w:ind w:firstLine="480"/>
              <w:textAlignment w:val="auto"/>
              <w:rPr>
                <w:color w:val="auto"/>
              </w:rPr>
            </w:pPr>
            <w:r>
              <w:rPr>
                <w:color w:val="auto"/>
              </w:rPr>
              <w:fldChar w:fldCharType="begin"/>
            </w:r>
            <w:r>
              <w:rPr>
                <w:color w:val="auto"/>
              </w:rPr>
              <w:instrText xml:space="preserve"> = 4 \* GB3 \* MERGEFORMAT </w:instrText>
            </w:r>
            <w:r>
              <w:rPr>
                <w:color w:val="auto"/>
              </w:rPr>
              <w:fldChar w:fldCharType="separate"/>
            </w:r>
            <w:r>
              <w:rPr>
                <w:color w:val="auto"/>
              </w:rPr>
              <w:t>④</w:t>
            </w:r>
            <w:r>
              <w:rPr>
                <w:color w:val="auto"/>
              </w:rPr>
              <w:fldChar w:fldCharType="end"/>
            </w:r>
            <w:r>
              <w:rPr>
                <w:color w:val="auto"/>
              </w:rPr>
              <w:t>利用好距离衰减，减少对场界外环境的影响；</w:t>
            </w:r>
          </w:p>
          <w:p w14:paraId="1B3F1921">
            <w:pPr>
              <w:keepNext w:val="0"/>
              <w:keepLines w:val="0"/>
              <w:pageBreakBefore w:val="0"/>
              <w:widowControl w:val="0"/>
              <w:kinsoku/>
              <w:wordWrap/>
              <w:overflowPunct/>
              <w:topLinePunct w:val="0"/>
              <w:autoSpaceDN/>
              <w:bidi w:val="0"/>
              <w:adjustRightInd/>
              <w:snapToGrid/>
              <w:spacing w:line="360" w:lineRule="auto"/>
              <w:ind w:firstLine="480"/>
              <w:textAlignment w:val="auto"/>
              <w:rPr>
                <w:rFonts w:hint="eastAsia"/>
                <w:color w:val="auto"/>
              </w:rPr>
            </w:pPr>
            <w:r>
              <w:rPr>
                <w:color w:val="auto"/>
              </w:rPr>
              <w:t>通过以上措施，再经距离衰减和建筑物的阻挡作用，预计场区边界</w:t>
            </w:r>
            <w:r>
              <w:rPr>
                <w:rFonts w:hint="eastAsia"/>
                <w:color w:val="auto"/>
                <w:lang w:eastAsia="zh-CN"/>
              </w:rPr>
              <w:t>昼间</w:t>
            </w:r>
            <w:r>
              <w:rPr>
                <w:color w:val="auto"/>
              </w:rPr>
              <w:t>噪声值能够达到《工业企业厂界环境噪声排放标准》（GB12348-2008）中的</w:t>
            </w:r>
            <w:r>
              <w:rPr>
                <w:rFonts w:hint="eastAsia"/>
                <w:color w:val="auto"/>
                <w:lang w:val="en-US" w:eastAsia="zh-CN"/>
              </w:rPr>
              <w:t>2</w:t>
            </w:r>
            <w:r>
              <w:rPr>
                <w:color w:val="auto"/>
              </w:rPr>
              <w:t>类标准，即昼间6</w:t>
            </w:r>
            <w:r>
              <w:rPr>
                <w:rFonts w:hint="eastAsia"/>
                <w:color w:val="auto"/>
                <w:lang w:val="en-US" w:eastAsia="zh-CN"/>
              </w:rPr>
              <w:t>0</w:t>
            </w:r>
            <w:r>
              <w:rPr>
                <w:color w:val="auto"/>
              </w:rPr>
              <w:t>dB（A）</w:t>
            </w:r>
            <w:r>
              <w:rPr>
                <w:rFonts w:hint="eastAsia"/>
                <w:color w:val="auto"/>
                <w:lang w:eastAsia="zh-CN"/>
              </w:rPr>
              <w:t>、</w:t>
            </w:r>
            <w:r>
              <w:rPr>
                <w:rFonts w:hint="eastAsia"/>
                <w:color w:val="auto"/>
                <w:lang w:val="en-US" w:eastAsia="zh-CN"/>
              </w:rPr>
              <w:t>夜间50</w:t>
            </w:r>
            <w:r>
              <w:rPr>
                <w:color w:val="auto"/>
              </w:rPr>
              <w:t>dB</w:t>
            </w:r>
            <w:r>
              <w:rPr>
                <w:rFonts w:hint="eastAsia"/>
                <w:color w:val="auto"/>
                <w:lang w:val="en-US" w:eastAsia="zh-CN"/>
              </w:rPr>
              <w:t>（</w:t>
            </w:r>
            <w:r>
              <w:rPr>
                <w:color w:val="auto"/>
              </w:rPr>
              <w:t>A</w:t>
            </w:r>
            <w:r>
              <w:rPr>
                <w:rFonts w:hint="eastAsia"/>
                <w:color w:val="auto"/>
                <w:lang w:val="en-US" w:eastAsia="zh-CN"/>
              </w:rPr>
              <w:t>）</w:t>
            </w:r>
            <w:r>
              <w:rPr>
                <w:rFonts w:hint="eastAsia"/>
                <w:color w:val="auto"/>
              </w:rPr>
              <w:t>，本项目噪声对周围声环境影响较小。</w:t>
            </w:r>
          </w:p>
          <w:p w14:paraId="1C8034E5">
            <w:pPr>
              <w:pStyle w:val="9"/>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360" w:lineRule="auto"/>
              <w:ind w:left="0" w:leftChars="0" w:right="0" w:firstLine="0" w:firstLineChars="0"/>
              <w:textAlignment w:val="auto"/>
              <w:rPr>
                <w:rFonts w:hint="default"/>
                <w:b/>
                <w:bCs/>
                <w:color w:val="auto"/>
              </w:rPr>
            </w:pPr>
            <w:r>
              <w:rPr>
                <w:rFonts w:hint="default"/>
                <w:b/>
                <w:bCs/>
                <w:color w:val="auto"/>
              </w:rPr>
              <w:t>3.</w:t>
            </w:r>
            <w:r>
              <w:rPr>
                <w:rFonts w:hint="eastAsia"/>
                <w:b/>
                <w:bCs/>
                <w:color w:val="auto"/>
                <w:lang w:val="en-US" w:eastAsia="zh-CN"/>
              </w:rPr>
              <w:t>5</w:t>
            </w:r>
            <w:r>
              <w:rPr>
                <w:rFonts w:hint="eastAsia"/>
                <w:b/>
                <w:bCs/>
                <w:color w:val="auto"/>
              </w:rPr>
              <w:t>监测计划</w:t>
            </w:r>
          </w:p>
          <w:p w14:paraId="77FE7D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default"/>
                <w:b w:val="0"/>
                <w:bCs w:val="0"/>
                <w:color w:val="auto"/>
              </w:rPr>
            </w:pPr>
            <w:r>
              <w:rPr>
                <w:rFonts w:hint="eastAsia"/>
                <w:b/>
                <w:bCs/>
                <w:color w:val="auto"/>
              </w:rPr>
              <w:t>表</w:t>
            </w:r>
            <w:r>
              <w:rPr>
                <w:rFonts w:hint="default"/>
                <w:b/>
                <w:bCs/>
                <w:color w:val="auto"/>
              </w:rPr>
              <w:t>4-</w:t>
            </w:r>
            <w:r>
              <w:rPr>
                <w:rFonts w:hint="eastAsia"/>
                <w:b/>
                <w:bCs/>
                <w:color w:val="auto"/>
                <w:lang w:val="en-US" w:eastAsia="zh-CN"/>
              </w:rPr>
              <w:t xml:space="preserve">12 </w:t>
            </w:r>
            <w:r>
              <w:rPr>
                <w:rFonts w:hint="default"/>
                <w:b/>
                <w:bCs/>
                <w:color w:val="auto"/>
              </w:rPr>
              <w:t xml:space="preserve"> </w:t>
            </w:r>
            <w:r>
              <w:rPr>
                <w:rFonts w:hint="eastAsia"/>
                <w:b/>
                <w:bCs/>
                <w:color w:val="auto"/>
              </w:rPr>
              <w:t>项目噪声监测计划</w:t>
            </w:r>
          </w:p>
          <w:tbl>
            <w:tblPr>
              <w:tblStyle w:val="26"/>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58"/>
              <w:gridCol w:w="3241"/>
              <w:gridCol w:w="1132"/>
              <w:gridCol w:w="1394"/>
            </w:tblGrid>
            <w:tr w14:paraId="44BC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6" w:type="dxa"/>
                  <w:tcBorders>
                    <w:top w:val="single" w:color="auto" w:sz="4" w:space="0"/>
                    <w:left w:val="single" w:color="auto" w:sz="4" w:space="0"/>
                    <w:bottom w:val="single" w:color="auto" w:sz="4" w:space="0"/>
                    <w:right w:val="single" w:color="auto" w:sz="4" w:space="0"/>
                  </w:tcBorders>
                  <w:vAlign w:val="center"/>
                </w:tcPr>
                <w:p w14:paraId="308B7838">
                  <w:pPr>
                    <w:pStyle w:val="3"/>
                    <w:pageBreakBefore w:val="0"/>
                    <w:kinsoku/>
                    <w:topLinePunct w:val="0"/>
                    <w:bidi w:val="0"/>
                    <w:adjustRightInd/>
                    <w:snapToGrid/>
                    <w:jc w:val="center"/>
                    <w:textAlignment w:val="auto"/>
                    <w:rPr>
                      <w:rFonts w:hint="default"/>
                      <w:b/>
                      <w:bCs/>
                      <w:color w:val="auto"/>
                    </w:rPr>
                  </w:pPr>
                  <w:r>
                    <w:rPr>
                      <w:rFonts w:hint="eastAsia"/>
                      <w:b/>
                      <w:bCs/>
                      <w:color w:val="auto"/>
                    </w:rPr>
                    <w:t>监测点位</w:t>
                  </w:r>
                </w:p>
              </w:tc>
              <w:tc>
                <w:tcPr>
                  <w:tcW w:w="1158" w:type="dxa"/>
                  <w:tcBorders>
                    <w:top w:val="single" w:color="auto" w:sz="4" w:space="0"/>
                    <w:left w:val="single" w:color="auto" w:sz="4" w:space="0"/>
                    <w:bottom w:val="single" w:color="auto" w:sz="4" w:space="0"/>
                    <w:right w:val="single" w:color="auto" w:sz="4" w:space="0"/>
                  </w:tcBorders>
                  <w:vAlign w:val="center"/>
                </w:tcPr>
                <w:p w14:paraId="08B13E47">
                  <w:pPr>
                    <w:pStyle w:val="3"/>
                    <w:pageBreakBefore w:val="0"/>
                    <w:kinsoku/>
                    <w:topLinePunct w:val="0"/>
                    <w:bidi w:val="0"/>
                    <w:adjustRightInd/>
                    <w:snapToGrid/>
                    <w:jc w:val="center"/>
                    <w:textAlignment w:val="auto"/>
                    <w:rPr>
                      <w:rFonts w:hint="default"/>
                      <w:b/>
                      <w:bCs/>
                      <w:color w:val="auto"/>
                    </w:rPr>
                  </w:pPr>
                  <w:r>
                    <w:rPr>
                      <w:rFonts w:hint="eastAsia"/>
                      <w:b/>
                      <w:bCs/>
                      <w:color w:val="auto"/>
                    </w:rPr>
                    <w:t>监测项目</w:t>
                  </w:r>
                </w:p>
              </w:tc>
              <w:tc>
                <w:tcPr>
                  <w:tcW w:w="3241" w:type="dxa"/>
                  <w:tcBorders>
                    <w:top w:val="single" w:color="auto" w:sz="4" w:space="0"/>
                    <w:left w:val="single" w:color="auto" w:sz="4" w:space="0"/>
                    <w:bottom w:val="single" w:color="auto" w:sz="4" w:space="0"/>
                    <w:right w:val="single" w:color="auto" w:sz="4" w:space="0"/>
                  </w:tcBorders>
                  <w:vAlign w:val="center"/>
                </w:tcPr>
                <w:p w14:paraId="3E1D58B1">
                  <w:pPr>
                    <w:pStyle w:val="3"/>
                    <w:pageBreakBefore w:val="0"/>
                    <w:kinsoku/>
                    <w:topLinePunct w:val="0"/>
                    <w:bidi w:val="0"/>
                    <w:adjustRightInd/>
                    <w:snapToGrid/>
                    <w:jc w:val="center"/>
                    <w:textAlignment w:val="auto"/>
                    <w:rPr>
                      <w:rFonts w:hint="default"/>
                      <w:b/>
                      <w:bCs/>
                      <w:color w:val="auto"/>
                    </w:rPr>
                  </w:pPr>
                  <w:r>
                    <w:rPr>
                      <w:rFonts w:hint="eastAsia"/>
                      <w:b/>
                      <w:bCs/>
                      <w:color w:val="auto"/>
                    </w:rPr>
                    <w:t>执行标准</w:t>
                  </w:r>
                </w:p>
              </w:tc>
              <w:tc>
                <w:tcPr>
                  <w:tcW w:w="1132" w:type="dxa"/>
                  <w:tcBorders>
                    <w:top w:val="single" w:color="auto" w:sz="4" w:space="0"/>
                    <w:left w:val="single" w:color="auto" w:sz="4" w:space="0"/>
                    <w:bottom w:val="single" w:color="auto" w:sz="4" w:space="0"/>
                    <w:right w:val="single" w:color="auto" w:sz="4" w:space="0"/>
                  </w:tcBorders>
                  <w:vAlign w:val="center"/>
                </w:tcPr>
                <w:p w14:paraId="51C1B3B9">
                  <w:pPr>
                    <w:pStyle w:val="3"/>
                    <w:pageBreakBefore w:val="0"/>
                    <w:kinsoku/>
                    <w:topLinePunct w:val="0"/>
                    <w:bidi w:val="0"/>
                    <w:adjustRightInd/>
                    <w:snapToGrid/>
                    <w:jc w:val="center"/>
                    <w:textAlignment w:val="auto"/>
                    <w:rPr>
                      <w:rFonts w:hint="default"/>
                      <w:b/>
                      <w:bCs/>
                      <w:color w:val="auto"/>
                    </w:rPr>
                  </w:pPr>
                  <w:r>
                    <w:rPr>
                      <w:rFonts w:hint="eastAsia"/>
                      <w:b/>
                      <w:bCs/>
                      <w:color w:val="auto"/>
                    </w:rPr>
                    <w:t>监测频次</w:t>
                  </w:r>
                </w:p>
              </w:tc>
              <w:tc>
                <w:tcPr>
                  <w:tcW w:w="1394" w:type="dxa"/>
                  <w:tcBorders>
                    <w:top w:val="single" w:color="auto" w:sz="4" w:space="0"/>
                    <w:left w:val="single" w:color="auto" w:sz="4" w:space="0"/>
                    <w:bottom w:val="single" w:color="auto" w:sz="4" w:space="0"/>
                    <w:right w:val="single" w:color="auto" w:sz="4" w:space="0"/>
                  </w:tcBorders>
                  <w:vAlign w:val="center"/>
                </w:tcPr>
                <w:p w14:paraId="089E2184">
                  <w:pPr>
                    <w:pStyle w:val="3"/>
                    <w:pageBreakBefore w:val="0"/>
                    <w:kinsoku/>
                    <w:topLinePunct w:val="0"/>
                    <w:bidi w:val="0"/>
                    <w:adjustRightInd/>
                    <w:snapToGrid/>
                    <w:jc w:val="center"/>
                    <w:textAlignment w:val="auto"/>
                    <w:rPr>
                      <w:rFonts w:hint="default"/>
                      <w:b/>
                      <w:bCs/>
                      <w:color w:val="auto"/>
                    </w:rPr>
                  </w:pPr>
                  <w:r>
                    <w:rPr>
                      <w:rFonts w:hint="eastAsia"/>
                      <w:b/>
                      <w:bCs/>
                      <w:color w:val="auto"/>
                    </w:rPr>
                    <w:t>监测方式</w:t>
                  </w:r>
                </w:p>
              </w:tc>
            </w:tr>
            <w:tr w14:paraId="0A41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6" w:type="dxa"/>
                  <w:tcBorders>
                    <w:top w:val="single" w:color="auto" w:sz="4" w:space="0"/>
                    <w:left w:val="single" w:color="auto" w:sz="4" w:space="0"/>
                    <w:bottom w:val="single" w:color="auto" w:sz="4" w:space="0"/>
                    <w:right w:val="single" w:color="auto" w:sz="4" w:space="0"/>
                  </w:tcBorders>
                  <w:vAlign w:val="center"/>
                </w:tcPr>
                <w:p w14:paraId="0286F32B">
                  <w:pPr>
                    <w:pStyle w:val="3"/>
                    <w:pageBreakBefore w:val="0"/>
                    <w:kinsoku/>
                    <w:topLinePunct w:val="0"/>
                    <w:bidi w:val="0"/>
                    <w:adjustRightInd/>
                    <w:snapToGrid/>
                    <w:jc w:val="center"/>
                    <w:textAlignment w:val="auto"/>
                    <w:rPr>
                      <w:rFonts w:hint="default"/>
                      <w:color w:val="auto"/>
                    </w:rPr>
                  </w:pPr>
                  <w:r>
                    <w:rPr>
                      <w:rFonts w:hint="eastAsia"/>
                      <w:color w:val="auto"/>
                    </w:rPr>
                    <w:t>厂界四周、厂界外</w:t>
                  </w:r>
                  <w:r>
                    <w:rPr>
                      <w:rFonts w:hint="default"/>
                      <w:color w:val="auto"/>
                    </w:rPr>
                    <w:t>1m</w:t>
                  </w:r>
                  <w:r>
                    <w:rPr>
                      <w:rFonts w:hint="eastAsia"/>
                      <w:color w:val="auto"/>
                    </w:rPr>
                    <w:t>处</w:t>
                  </w:r>
                </w:p>
              </w:tc>
              <w:tc>
                <w:tcPr>
                  <w:tcW w:w="1158" w:type="dxa"/>
                  <w:tcBorders>
                    <w:top w:val="single" w:color="auto" w:sz="4" w:space="0"/>
                    <w:left w:val="single" w:color="auto" w:sz="4" w:space="0"/>
                    <w:bottom w:val="single" w:color="auto" w:sz="4" w:space="0"/>
                    <w:right w:val="single" w:color="auto" w:sz="4" w:space="0"/>
                  </w:tcBorders>
                  <w:vAlign w:val="center"/>
                </w:tcPr>
                <w:p w14:paraId="446D676C">
                  <w:pPr>
                    <w:pStyle w:val="3"/>
                    <w:pageBreakBefore w:val="0"/>
                    <w:kinsoku/>
                    <w:topLinePunct w:val="0"/>
                    <w:bidi w:val="0"/>
                    <w:adjustRightInd/>
                    <w:snapToGrid/>
                    <w:jc w:val="center"/>
                    <w:textAlignment w:val="auto"/>
                    <w:rPr>
                      <w:rFonts w:hint="default"/>
                      <w:color w:val="auto"/>
                    </w:rPr>
                  </w:pPr>
                  <w:r>
                    <w:rPr>
                      <w:rFonts w:hint="default"/>
                      <w:color w:val="auto"/>
                    </w:rPr>
                    <w:t>Leq</w:t>
                  </w:r>
                </w:p>
              </w:tc>
              <w:tc>
                <w:tcPr>
                  <w:tcW w:w="3241" w:type="dxa"/>
                  <w:tcBorders>
                    <w:top w:val="single" w:color="auto" w:sz="4" w:space="0"/>
                    <w:left w:val="single" w:color="auto" w:sz="4" w:space="0"/>
                    <w:bottom w:val="single" w:color="auto" w:sz="4" w:space="0"/>
                    <w:right w:val="single" w:color="auto" w:sz="4" w:space="0"/>
                  </w:tcBorders>
                  <w:vAlign w:val="center"/>
                </w:tcPr>
                <w:p w14:paraId="565C4F46">
                  <w:pPr>
                    <w:pStyle w:val="3"/>
                    <w:pageBreakBefore w:val="0"/>
                    <w:kinsoku/>
                    <w:topLinePunct w:val="0"/>
                    <w:bidi w:val="0"/>
                    <w:adjustRightInd/>
                    <w:snapToGrid/>
                    <w:jc w:val="center"/>
                    <w:textAlignment w:val="auto"/>
                    <w:rPr>
                      <w:rFonts w:hint="default"/>
                      <w:color w:val="auto"/>
                    </w:rPr>
                  </w:pPr>
                  <w:r>
                    <w:rPr>
                      <w:rFonts w:hint="eastAsia"/>
                      <w:color w:val="auto"/>
                    </w:rPr>
                    <w:t>《工业企业厂界环境噪声排放标准》（</w:t>
                  </w:r>
                  <w:r>
                    <w:rPr>
                      <w:rFonts w:hint="default"/>
                      <w:color w:val="auto"/>
                    </w:rPr>
                    <w:t>GB12348—2008</w:t>
                  </w:r>
                  <w:r>
                    <w:rPr>
                      <w:rFonts w:hint="eastAsia"/>
                      <w:color w:val="auto"/>
                    </w:rPr>
                    <w:t>）</w:t>
                  </w:r>
                </w:p>
              </w:tc>
              <w:tc>
                <w:tcPr>
                  <w:tcW w:w="1132" w:type="dxa"/>
                  <w:tcBorders>
                    <w:top w:val="single" w:color="auto" w:sz="4" w:space="0"/>
                    <w:left w:val="single" w:color="auto" w:sz="4" w:space="0"/>
                    <w:bottom w:val="single" w:color="auto" w:sz="4" w:space="0"/>
                    <w:right w:val="single" w:color="auto" w:sz="4" w:space="0"/>
                  </w:tcBorders>
                  <w:vAlign w:val="center"/>
                </w:tcPr>
                <w:p w14:paraId="66358218">
                  <w:pPr>
                    <w:pStyle w:val="3"/>
                    <w:pageBreakBefore w:val="0"/>
                    <w:kinsoku/>
                    <w:topLinePunct w:val="0"/>
                    <w:bidi w:val="0"/>
                    <w:adjustRightInd/>
                    <w:snapToGrid/>
                    <w:jc w:val="center"/>
                    <w:textAlignment w:val="auto"/>
                    <w:rPr>
                      <w:rFonts w:hint="default"/>
                      <w:color w:val="auto"/>
                    </w:rPr>
                  </w:pPr>
                  <w:r>
                    <w:rPr>
                      <w:rFonts w:hint="default"/>
                      <w:color w:val="auto"/>
                    </w:rPr>
                    <w:t>1</w:t>
                  </w:r>
                  <w:r>
                    <w:rPr>
                      <w:rFonts w:hint="eastAsia"/>
                      <w:color w:val="auto"/>
                    </w:rPr>
                    <w:t>次</w:t>
                  </w:r>
                  <w:r>
                    <w:rPr>
                      <w:rFonts w:hint="default"/>
                      <w:color w:val="auto"/>
                    </w:rPr>
                    <w:t>/</w:t>
                  </w:r>
                  <w:r>
                    <w:rPr>
                      <w:rFonts w:hint="eastAsia"/>
                      <w:color w:val="auto"/>
                    </w:rPr>
                    <w:t>季</w:t>
                  </w:r>
                </w:p>
              </w:tc>
              <w:tc>
                <w:tcPr>
                  <w:tcW w:w="1394" w:type="dxa"/>
                  <w:tcBorders>
                    <w:top w:val="single" w:color="auto" w:sz="4" w:space="0"/>
                    <w:left w:val="single" w:color="auto" w:sz="4" w:space="0"/>
                    <w:bottom w:val="single" w:color="auto" w:sz="4" w:space="0"/>
                    <w:right w:val="single" w:color="auto" w:sz="4" w:space="0"/>
                  </w:tcBorders>
                  <w:vAlign w:val="center"/>
                </w:tcPr>
                <w:p w14:paraId="1BAEBBBB">
                  <w:pPr>
                    <w:pStyle w:val="3"/>
                    <w:pageBreakBefore w:val="0"/>
                    <w:kinsoku/>
                    <w:topLinePunct w:val="0"/>
                    <w:bidi w:val="0"/>
                    <w:adjustRightInd/>
                    <w:snapToGrid/>
                    <w:jc w:val="center"/>
                    <w:textAlignment w:val="auto"/>
                    <w:rPr>
                      <w:rFonts w:hint="default"/>
                      <w:color w:val="auto"/>
                    </w:rPr>
                  </w:pPr>
                  <w:r>
                    <w:rPr>
                      <w:rFonts w:hint="eastAsia"/>
                      <w:color w:val="auto"/>
                    </w:rPr>
                    <w:t>委托监测</w:t>
                  </w:r>
                </w:p>
              </w:tc>
            </w:tr>
          </w:tbl>
          <w:p w14:paraId="783D3855">
            <w:pPr>
              <w:ind w:firstLine="0" w:firstLineChars="0"/>
              <w:rPr>
                <w:b/>
                <w:bCs/>
                <w:color w:val="auto"/>
              </w:rPr>
            </w:pPr>
            <w:r>
              <w:rPr>
                <w:rFonts w:hint="eastAsia"/>
                <w:b/>
                <w:bCs/>
                <w:color w:val="auto"/>
              </w:rPr>
              <w:t>4、固废影响分析</w:t>
            </w:r>
          </w:p>
          <w:p w14:paraId="7D8781CB">
            <w:pPr>
              <w:ind w:firstLine="480"/>
              <w:rPr>
                <w:color w:val="auto"/>
                <w:lang w:bidi="ar"/>
              </w:rPr>
            </w:pPr>
            <w:r>
              <w:rPr>
                <w:color w:val="auto"/>
                <w:lang w:bidi="ar"/>
              </w:rPr>
              <w:t>项目固体废弃物主要</w:t>
            </w:r>
            <w:r>
              <w:rPr>
                <w:rFonts w:hint="eastAsia"/>
                <w:color w:val="auto"/>
                <w:lang w:bidi="ar"/>
              </w:rPr>
              <w:t>为生活垃圾、沉淀池沉渣、地面清扫粉尘</w:t>
            </w:r>
            <w:r>
              <w:rPr>
                <w:rFonts w:hint="eastAsia"/>
                <w:color w:val="auto"/>
                <w:lang w:eastAsia="zh-CN" w:bidi="ar"/>
              </w:rPr>
              <w:t>、</w:t>
            </w:r>
            <w:r>
              <w:rPr>
                <w:rFonts w:hint="eastAsia"/>
                <w:color w:val="auto"/>
                <w:lang w:val="en-US" w:eastAsia="zh-CN" w:bidi="ar"/>
              </w:rPr>
              <w:t>废机油、废机油桶</w:t>
            </w:r>
            <w:r>
              <w:rPr>
                <w:rFonts w:hint="eastAsia"/>
                <w:color w:val="auto"/>
                <w:lang w:bidi="ar"/>
              </w:rPr>
              <w:t>。</w:t>
            </w:r>
          </w:p>
          <w:p w14:paraId="2970BA98">
            <w:pPr>
              <w:widowControl/>
              <w:ind w:firstLine="482"/>
              <w:rPr>
                <w:b/>
                <w:bCs/>
                <w:color w:val="auto"/>
              </w:rPr>
            </w:pPr>
            <w:r>
              <w:rPr>
                <w:rFonts w:hint="eastAsia"/>
                <w:b/>
                <w:bCs/>
                <w:color w:val="auto"/>
              </w:rPr>
              <w:fldChar w:fldCharType="begin"/>
            </w:r>
            <w:r>
              <w:rPr>
                <w:rFonts w:hint="eastAsia"/>
                <w:b/>
                <w:bCs/>
                <w:color w:val="auto"/>
              </w:rPr>
              <w:instrText xml:space="preserve"> = 1 \* GB3 \* MERGEFORMAT </w:instrText>
            </w:r>
            <w:r>
              <w:rPr>
                <w:rFonts w:hint="eastAsia"/>
                <w:b/>
                <w:bCs/>
                <w:color w:val="auto"/>
              </w:rPr>
              <w:fldChar w:fldCharType="separate"/>
            </w:r>
            <w:r>
              <w:rPr>
                <w:b/>
                <w:bCs/>
                <w:color w:val="auto"/>
              </w:rPr>
              <w:t>①</w:t>
            </w:r>
            <w:r>
              <w:rPr>
                <w:rFonts w:hint="eastAsia"/>
                <w:b/>
                <w:bCs/>
                <w:color w:val="auto"/>
              </w:rPr>
              <w:fldChar w:fldCharType="end"/>
            </w:r>
            <w:r>
              <w:rPr>
                <w:rFonts w:hint="eastAsia"/>
                <w:b/>
                <w:bCs/>
                <w:color w:val="auto"/>
              </w:rPr>
              <w:t>生活垃圾</w:t>
            </w:r>
          </w:p>
          <w:p w14:paraId="6F1A78D4">
            <w:pPr>
              <w:ind w:firstLine="480"/>
              <w:rPr>
                <w:color w:val="auto"/>
                <w:szCs w:val="32"/>
              </w:rPr>
            </w:pPr>
            <w:r>
              <w:rPr>
                <w:rFonts w:hint="eastAsia"/>
                <w:color w:val="auto"/>
              </w:rPr>
              <w:t>本项目新增劳动定员</w:t>
            </w:r>
            <w:r>
              <w:rPr>
                <w:rFonts w:hint="eastAsia"/>
                <w:color w:val="auto"/>
                <w:lang w:val="en-US" w:eastAsia="zh-CN"/>
              </w:rPr>
              <w:t>12</w:t>
            </w:r>
            <w:r>
              <w:rPr>
                <w:rFonts w:hint="eastAsia"/>
                <w:color w:val="auto"/>
              </w:rPr>
              <w:t>人，</w:t>
            </w:r>
            <w:r>
              <w:rPr>
                <w:color w:val="auto"/>
              </w:rPr>
              <w:t>生活垃圾产生量为0.54kg/d·人</w:t>
            </w:r>
            <w:r>
              <w:rPr>
                <w:color w:val="auto"/>
                <w:szCs w:val="32"/>
              </w:rPr>
              <w:t>，</w:t>
            </w:r>
            <w:r>
              <w:rPr>
                <w:rFonts w:hint="eastAsia"/>
                <w:color w:val="auto"/>
                <w:szCs w:val="32"/>
              </w:rPr>
              <w:t>年工作300</w:t>
            </w:r>
            <w:r>
              <w:rPr>
                <w:color w:val="auto"/>
                <w:szCs w:val="32"/>
              </w:rPr>
              <w:t>天，职工生活垃圾产生量</w:t>
            </w:r>
            <w:r>
              <w:rPr>
                <w:rFonts w:hint="eastAsia"/>
                <w:color w:val="auto"/>
                <w:szCs w:val="32"/>
                <w:lang w:val="en-US" w:eastAsia="zh-CN"/>
              </w:rPr>
              <w:t>1.944</w:t>
            </w:r>
            <w:r>
              <w:rPr>
                <w:rFonts w:hint="eastAsia"/>
                <w:color w:val="auto"/>
                <w:szCs w:val="32"/>
              </w:rPr>
              <w:t>t/a。由垃圾桶收集，交由环卫部门清运处理。</w:t>
            </w:r>
          </w:p>
          <w:p w14:paraId="65D268D2">
            <w:pPr>
              <w:ind w:firstLine="482"/>
              <w:rPr>
                <w:b/>
                <w:bCs/>
                <w:color w:val="auto"/>
                <w:lang w:bidi="ar"/>
              </w:rPr>
            </w:pPr>
            <w:r>
              <w:rPr>
                <w:rFonts w:hint="eastAsia"/>
                <w:b/>
                <w:bCs/>
                <w:color w:val="auto"/>
                <w:lang w:bidi="ar"/>
              </w:rPr>
              <w:fldChar w:fldCharType="begin"/>
            </w:r>
            <w:r>
              <w:rPr>
                <w:rFonts w:hint="eastAsia"/>
                <w:b/>
                <w:bCs/>
                <w:color w:val="auto"/>
                <w:lang w:bidi="ar"/>
              </w:rPr>
              <w:instrText xml:space="preserve"> = 2 \* GB3 \* MERGEFORMAT </w:instrText>
            </w:r>
            <w:r>
              <w:rPr>
                <w:rFonts w:hint="eastAsia"/>
                <w:b/>
                <w:bCs/>
                <w:color w:val="auto"/>
                <w:lang w:bidi="ar"/>
              </w:rPr>
              <w:fldChar w:fldCharType="separate"/>
            </w:r>
            <w:r>
              <w:rPr>
                <w:b/>
                <w:bCs/>
                <w:color w:val="auto"/>
              </w:rPr>
              <w:t>②</w:t>
            </w:r>
            <w:r>
              <w:rPr>
                <w:rFonts w:hint="eastAsia"/>
                <w:b/>
                <w:bCs/>
                <w:color w:val="auto"/>
                <w:lang w:bidi="ar"/>
              </w:rPr>
              <w:fldChar w:fldCharType="end"/>
            </w:r>
            <w:r>
              <w:rPr>
                <w:rFonts w:hint="eastAsia"/>
                <w:b/>
                <w:bCs/>
                <w:color w:val="auto"/>
                <w:lang w:bidi="ar"/>
              </w:rPr>
              <w:t>地面清扫粉尘</w:t>
            </w:r>
          </w:p>
          <w:p w14:paraId="19F22A5A">
            <w:pPr>
              <w:ind w:firstLine="480"/>
              <w:rPr>
                <w:color w:val="auto"/>
              </w:rPr>
            </w:pPr>
            <w:r>
              <w:rPr>
                <w:color w:val="auto"/>
              </w:rPr>
              <w:t>本项目</w:t>
            </w:r>
            <w:r>
              <w:rPr>
                <w:rFonts w:hint="eastAsia"/>
                <w:color w:val="auto"/>
              </w:rPr>
              <w:t>在卸料、输送计量投料过程中产生部分地面清扫粉尘</w:t>
            </w:r>
            <w:r>
              <w:rPr>
                <w:rFonts w:hint="eastAsia"/>
                <w:color w:val="auto"/>
                <w:lang w:eastAsia="zh-CN"/>
              </w:rPr>
              <w:t>，</w:t>
            </w:r>
            <w:r>
              <w:rPr>
                <w:rFonts w:hint="eastAsia"/>
                <w:color w:val="auto"/>
                <w:lang w:val="en-US" w:eastAsia="zh-CN"/>
              </w:rPr>
              <w:t>以及安装喷淋装置降尘至地面的粉尘</w:t>
            </w:r>
            <w:r>
              <w:rPr>
                <w:rFonts w:hint="eastAsia"/>
                <w:color w:val="auto"/>
              </w:rPr>
              <w:t>，根据前章可知地面清扫粉尘产生量为</w:t>
            </w:r>
            <w:r>
              <w:rPr>
                <w:rFonts w:hint="eastAsia"/>
                <w:color w:val="auto"/>
                <w:lang w:val="en-US" w:eastAsia="zh-CN"/>
              </w:rPr>
              <w:t>30.232</w:t>
            </w:r>
            <w:r>
              <w:rPr>
                <w:rFonts w:hint="eastAsia"/>
                <w:color w:val="auto"/>
              </w:rPr>
              <w:t>t/a。根据《一般固体废物分类与代码》（GB/T39193-2020），地面清扫粉尘属于“非特定行业生产过程产生的一般固体废物</w:t>
            </w:r>
            <w:r>
              <w:rPr>
                <w:color w:val="auto"/>
              </w:rPr>
              <w:t>——66、工业粉尘——</w:t>
            </w:r>
            <w:r>
              <w:rPr>
                <w:rFonts w:hint="eastAsia"/>
                <w:color w:val="auto"/>
              </w:rPr>
              <w:t>900-999-66”，</w:t>
            </w:r>
            <w:r>
              <w:rPr>
                <w:rFonts w:hint="eastAsia"/>
                <w:color w:val="auto"/>
                <w:highlight w:val="none"/>
              </w:rPr>
              <w:t>暂存于</w:t>
            </w:r>
            <w:r>
              <w:rPr>
                <w:rFonts w:hint="eastAsia"/>
                <w:color w:val="auto"/>
                <w:highlight w:val="none"/>
                <w:lang w:eastAsia="zh-CN"/>
              </w:rPr>
              <w:t>一般工业固体废物暂存场所</w:t>
            </w:r>
            <w:r>
              <w:rPr>
                <w:rFonts w:hint="eastAsia"/>
                <w:color w:val="auto"/>
                <w:highlight w:val="none"/>
              </w:rPr>
              <w:t>，统一收集后回用于生产线</w:t>
            </w:r>
            <w:r>
              <w:rPr>
                <w:color w:val="auto"/>
              </w:rPr>
              <w:t>。</w:t>
            </w:r>
          </w:p>
          <w:p w14:paraId="65B8DC93">
            <w:pPr>
              <w:ind w:firstLine="482"/>
              <w:rPr>
                <w:b/>
                <w:bCs/>
                <w:color w:val="auto"/>
              </w:rPr>
            </w:pPr>
            <w:r>
              <w:rPr>
                <w:b/>
                <w:bCs/>
                <w:color w:val="auto"/>
              </w:rPr>
              <w:fldChar w:fldCharType="begin"/>
            </w:r>
            <w:r>
              <w:rPr>
                <w:b/>
                <w:bCs/>
                <w:color w:val="auto"/>
              </w:rPr>
              <w:instrText xml:space="preserve"> = 3 \* GB3 \* MERGEFORMAT </w:instrText>
            </w:r>
            <w:r>
              <w:rPr>
                <w:b/>
                <w:bCs/>
                <w:color w:val="auto"/>
              </w:rPr>
              <w:fldChar w:fldCharType="separate"/>
            </w:r>
            <w:r>
              <w:rPr>
                <w:b/>
                <w:bCs/>
                <w:color w:val="auto"/>
              </w:rPr>
              <w:t>③</w:t>
            </w:r>
            <w:r>
              <w:rPr>
                <w:b/>
                <w:bCs/>
                <w:color w:val="auto"/>
              </w:rPr>
              <w:fldChar w:fldCharType="end"/>
            </w:r>
            <w:r>
              <w:rPr>
                <w:rFonts w:hint="eastAsia"/>
                <w:b/>
                <w:bCs/>
                <w:color w:val="auto"/>
              </w:rPr>
              <w:t>沉淀池沉渣</w:t>
            </w:r>
          </w:p>
          <w:p w14:paraId="31D27F7F">
            <w:pPr>
              <w:ind w:firstLine="480"/>
              <w:rPr>
                <w:rFonts w:hint="eastAsia"/>
                <w:color w:val="auto"/>
              </w:rPr>
            </w:pPr>
            <w:r>
              <w:rPr>
                <w:rFonts w:hint="eastAsia"/>
                <w:color w:val="auto"/>
              </w:rPr>
              <w:t>本项目在车辆冲洗、道路冲洗</w:t>
            </w:r>
            <w:r>
              <w:rPr>
                <w:rFonts w:hint="eastAsia"/>
                <w:color w:val="auto"/>
                <w:lang w:eastAsia="zh-CN"/>
              </w:rPr>
              <w:t>、</w:t>
            </w:r>
            <w:r>
              <w:rPr>
                <w:rFonts w:hint="eastAsia"/>
                <w:color w:val="auto"/>
                <w:lang w:val="en-US" w:eastAsia="zh-CN"/>
              </w:rPr>
              <w:t>设备冲洗</w:t>
            </w:r>
            <w:r>
              <w:rPr>
                <w:rFonts w:hint="eastAsia"/>
                <w:color w:val="auto"/>
              </w:rPr>
              <w:t>过程中产生废水，废水经过二级沉淀池沉淀后会产生原料沉渣，本项目沉淀池沉渣产生量为2t/a，沉渣定期清理，回用于</w:t>
            </w:r>
            <w:r>
              <w:rPr>
                <w:rFonts w:hint="eastAsia"/>
                <w:bCs/>
                <w:color w:val="auto"/>
              </w:rPr>
              <w:t>生产线</w:t>
            </w:r>
            <w:r>
              <w:rPr>
                <w:rFonts w:hint="eastAsia"/>
                <w:color w:val="auto"/>
              </w:rPr>
              <w:t>。根据《一般固体废物分类与代码》（GB/T39193-2020）中规定，沉淀池沉渣属于“非特定行业生产过程产生的一般固体废物——99、其他废物——900-999-99”</w:t>
            </w:r>
            <w:r>
              <w:rPr>
                <w:rFonts w:hint="eastAsia"/>
                <w:color w:val="auto"/>
                <w:lang w:eastAsia="zh-CN"/>
              </w:rPr>
              <w:t>，</w:t>
            </w:r>
            <w:r>
              <w:rPr>
                <w:rFonts w:hint="eastAsia"/>
                <w:color w:val="auto"/>
                <w:highlight w:val="none"/>
              </w:rPr>
              <w:t>暂存于</w:t>
            </w:r>
            <w:r>
              <w:rPr>
                <w:rFonts w:hint="eastAsia"/>
                <w:color w:val="auto"/>
                <w:highlight w:val="none"/>
                <w:lang w:eastAsia="zh-CN"/>
              </w:rPr>
              <w:t>一般工业固体废物暂存场所</w:t>
            </w:r>
            <w:r>
              <w:rPr>
                <w:rFonts w:hint="eastAsia"/>
                <w:color w:val="auto"/>
                <w:highlight w:val="none"/>
              </w:rPr>
              <w:t>，统一收集后回用于生产线</w:t>
            </w:r>
            <w:r>
              <w:rPr>
                <w:rFonts w:hint="eastAsia"/>
                <w:color w:val="auto"/>
              </w:rPr>
              <w:t>。</w:t>
            </w:r>
          </w:p>
          <w:p w14:paraId="7FA06122">
            <w:pPr>
              <w:bidi w:val="0"/>
              <w:rPr>
                <w:rFonts w:hint="eastAsia"/>
                <w:b/>
                <w:bCs/>
                <w:color w:val="auto"/>
                <w:lang w:val="en-US" w:eastAsia="zh-CN"/>
              </w:rPr>
            </w:pPr>
            <w:r>
              <w:rPr>
                <w:b/>
                <w:bCs/>
                <w:color w:val="auto"/>
              </w:rPr>
              <w:fldChar w:fldCharType="begin"/>
            </w:r>
            <w:r>
              <w:rPr>
                <w:b/>
                <w:bCs/>
                <w:color w:val="auto"/>
              </w:rPr>
              <w:instrText xml:space="preserve"> = 4 \* GB3 \* MERGEFORMAT </w:instrText>
            </w:r>
            <w:r>
              <w:rPr>
                <w:b/>
                <w:bCs/>
                <w:color w:val="auto"/>
              </w:rPr>
              <w:fldChar w:fldCharType="separate"/>
            </w:r>
            <w:r>
              <w:rPr>
                <w:b/>
                <w:bCs/>
                <w:color w:val="auto"/>
              </w:rPr>
              <w:t>④</w:t>
            </w:r>
            <w:r>
              <w:rPr>
                <w:b/>
                <w:bCs/>
                <w:color w:val="auto"/>
              </w:rPr>
              <w:fldChar w:fldCharType="end"/>
            </w:r>
            <w:r>
              <w:rPr>
                <w:rFonts w:hint="eastAsia"/>
                <w:b/>
                <w:bCs/>
                <w:color w:val="auto"/>
                <w:lang w:val="en-US" w:eastAsia="zh-CN"/>
              </w:rPr>
              <w:t>除尘器收集粉尘</w:t>
            </w:r>
          </w:p>
          <w:p w14:paraId="3B14CF05">
            <w:pPr>
              <w:ind w:firstLine="452"/>
              <w:jc w:val="left"/>
              <w:rPr>
                <w:rFonts w:cs="宋体"/>
                <w:color w:val="auto"/>
                <w:spacing w:val="-7"/>
                <w:szCs w:val="24"/>
              </w:rPr>
            </w:pPr>
            <w:r>
              <w:rPr>
                <w:rFonts w:hint="eastAsia" w:cs="宋体"/>
                <w:color w:val="auto"/>
                <w:spacing w:val="-7"/>
                <w:szCs w:val="24"/>
                <w:lang w:val="en-US" w:eastAsia="zh-CN"/>
              </w:rPr>
              <w:t>本项目在输送、投料及筒仓顶部设置</w:t>
            </w:r>
            <w:r>
              <w:rPr>
                <w:rFonts w:hint="eastAsia" w:cs="宋体"/>
                <w:color w:val="auto"/>
                <w:spacing w:val="-7"/>
                <w:szCs w:val="24"/>
              </w:rPr>
              <w:t>除尘设备</w:t>
            </w:r>
            <w:r>
              <w:rPr>
                <w:rFonts w:cs="宋体"/>
                <w:color w:val="auto"/>
                <w:spacing w:val="-7"/>
                <w:szCs w:val="24"/>
              </w:rPr>
              <w:t>，除尘器收集到粉尘量合计为</w:t>
            </w:r>
            <w:r>
              <w:rPr>
                <w:rFonts w:hint="eastAsia" w:cs="宋体"/>
                <w:color w:val="auto"/>
                <w:spacing w:val="-7"/>
                <w:szCs w:val="24"/>
                <w:lang w:val="en-US" w:eastAsia="zh-CN"/>
              </w:rPr>
              <w:t>26.232</w:t>
            </w:r>
            <w:r>
              <w:rPr>
                <w:rFonts w:cs="宋体"/>
                <w:color w:val="auto"/>
                <w:spacing w:val="-7"/>
                <w:szCs w:val="24"/>
              </w:rPr>
              <w:t>t/a，根据《一般固体废物分类与代码》（GB/T39193-2020）中规定，除尘器收集的粉尘属于“非特定行业生产过程产生的一般固体废物——66、工业粉尘——900-999-66”。</w:t>
            </w:r>
            <w:r>
              <w:rPr>
                <w:rFonts w:hint="eastAsia" w:cs="宋体"/>
                <w:color w:val="auto"/>
                <w:spacing w:val="-7"/>
                <w:szCs w:val="24"/>
                <w:lang w:val="en-US" w:eastAsia="zh-CN"/>
              </w:rPr>
              <w:t>除尘器收集粉尘</w:t>
            </w:r>
            <w:r>
              <w:rPr>
                <w:rFonts w:hint="eastAsia"/>
                <w:color w:val="auto"/>
                <w:highlight w:val="none"/>
              </w:rPr>
              <w:t>暂存于</w:t>
            </w:r>
            <w:r>
              <w:rPr>
                <w:rFonts w:hint="eastAsia"/>
                <w:color w:val="auto"/>
                <w:highlight w:val="none"/>
                <w:lang w:eastAsia="zh-CN"/>
              </w:rPr>
              <w:t>一般工业固体废物暂存场所</w:t>
            </w:r>
            <w:r>
              <w:rPr>
                <w:rFonts w:hint="eastAsia"/>
                <w:color w:val="auto"/>
                <w:highlight w:val="none"/>
              </w:rPr>
              <w:t>，统一收集后回用于生产线</w:t>
            </w:r>
            <w:r>
              <w:rPr>
                <w:rFonts w:cs="宋体"/>
                <w:color w:val="auto"/>
                <w:spacing w:val="-7"/>
                <w:szCs w:val="24"/>
              </w:rPr>
              <w:t>。</w:t>
            </w:r>
          </w:p>
          <w:p w14:paraId="53014E13">
            <w:pPr>
              <w:bidi w:val="0"/>
              <w:rPr>
                <w:rFonts w:hint="eastAsia"/>
                <w:b/>
                <w:bCs/>
                <w:color w:val="auto"/>
                <w:lang w:val="en-US" w:eastAsia="zh-CN"/>
              </w:rPr>
            </w:pPr>
            <w:r>
              <w:rPr>
                <w:b/>
                <w:bCs/>
                <w:color w:val="auto"/>
              </w:rPr>
              <w:fldChar w:fldCharType="begin"/>
            </w:r>
            <w:r>
              <w:rPr>
                <w:b/>
                <w:bCs/>
                <w:color w:val="auto"/>
              </w:rPr>
              <w:instrText xml:space="preserve"> = 5 \* GB3 \* MERGEFORMAT </w:instrText>
            </w:r>
            <w:r>
              <w:rPr>
                <w:b/>
                <w:bCs/>
                <w:color w:val="auto"/>
              </w:rPr>
              <w:fldChar w:fldCharType="separate"/>
            </w:r>
            <w:r>
              <w:rPr>
                <w:b/>
                <w:bCs/>
                <w:color w:val="auto"/>
              </w:rPr>
              <w:t>⑤</w:t>
            </w:r>
            <w:r>
              <w:rPr>
                <w:b/>
                <w:bCs/>
                <w:color w:val="auto"/>
              </w:rPr>
              <w:fldChar w:fldCharType="end"/>
            </w:r>
            <w:r>
              <w:rPr>
                <w:rFonts w:hint="eastAsia"/>
                <w:b/>
                <w:bCs/>
                <w:color w:val="auto"/>
                <w:lang w:val="en-US" w:eastAsia="zh-CN"/>
              </w:rPr>
              <w:t>废机油、废机油桶</w:t>
            </w:r>
          </w:p>
          <w:p w14:paraId="304B05B6">
            <w:pPr>
              <w:widowControl w:val="0"/>
              <w:wordWrap/>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本项目</w:t>
            </w:r>
            <w:r>
              <w:rPr>
                <w:rFonts w:hint="eastAsia" w:eastAsia="宋体" w:cs="Times New Roman"/>
                <w:color w:val="auto"/>
                <w:kern w:val="0"/>
                <w:sz w:val="24"/>
                <w:szCs w:val="24"/>
                <w:lang w:val="en-US" w:eastAsia="zh-CN"/>
              </w:rPr>
              <w:t>设备维修过程中使用</w:t>
            </w:r>
            <w:r>
              <w:rPr>
                <w:rFonts w:hint="default" w:ascii="Times New Roman" w:hAnsi="Times New Roman" w:eastAsia="宋体" w:cs="Times New Roman"/>
                <w:color w:val="auto"/>
                <w:kern w:val="0"/>
                <w:sz w:val="24"/>
                <w:szCs w:val="24"/>
                <w:lang w:val="en-US" w:eastAsia="zh-CN"/>
              </w:rPr>
              <w:t>少量机油，根据企业提供资料，废机油、废机油桶产生量为</w:t>
            </w:r>
            <w:r>
              <w:rPr>
                <w:rFonts w:hint="eastAsia" w:cs="Times New Roman"/>
                <w:color w:val="auto"/>
                <w:kern w:val="0"/>
                <w:sz w:val="24"/>
                <w:szCs w:val="24"/>
                <w:lang w:val="en-US" w:eastAsia="zh-CN"/>
              </w:rPr>
              <w:t>0.2</w:t>
            </w:r>
            <w:r>
              <w:rPr>
                <w:rFonts w:hint="default" w:ascii="Times New Roman" w:hAnsi="Times New Roman" w:eastAsia="宋体" w:cs="Times New Roman"/>
                <w:color w:val="auto"/>
                <w:kern w:val="0"/>
                <w:sz w:val="24"/>
                <w:szCs w:val="24"/>
                <w:lang w:val="en-US" w:eastAsia="zh-CN"/>
              </w:rPr>
              <w:t>t/a，属于《国家危险废物名录》中HW08废矿物油与含矿物油废物，危废代码900-249-08。废机油、废机油桶暂存于危险废物贮存库，</w:t>
            </w:r>
            <w:r>
              <w:rPr>
                <w:rFonts w:hint="default" w:ascii="Times New Roman" w:hAnsi="Times New Roman" w:eastAsia="宋体" w:cs="Times New Roman"/>
                <w:color w:val="auto"/>
                <w:kern w:val="0"/>
                <w:sz w:val="24"/>
                <w:szCs w:val="24"/>
              </w:rPr>
              <w:t>定期交</w:t>
            </w:r>
            <w:r>
              <w:rPr>
                <w:rFonts w:hint="default" w:ascii="Times New Roman" w:hAnsi="Times New Roman" w:eastAsia="宋体" w:cs="Times New Roman"/>
                <w:color w:val="auto"/>
                <w:kern w:val="0"/>
                <w:sz w:val="24"/>
                <w:szCs w:val="24"/>
                <w:lang w:val="en-US" w:eastAsia="zh-CN"/>
              </w:rPr>
              <w:t>由</w:t>
            </w:r>
            <w:r>
              <w:rPr>
                <w:rFonts w:hint="default" w:ascii="Times New Roman" w:hAnsi="Times New Roman" w:eastAsia="宋体" w:cs="Times New Roman"/>
                <w:color w:val="auto"/>
                <w:kern w:val="0"/>
                <w:sz w:val="24"/>
                <w:szCs w:val="24"/>
              </w:rPr>
              <w:t>有资质单位处置</w:t>
            </w:r>
            <w:r>
              <w:rPr>
                <w:rFonts w:hint="default" w:ascii="Times New Roman" w:hAnsi="Times New Roman" w:eastAsia="宋体" w:cs="Times New Roman"/>
                <w:color w:val="auto"/>
                <w:kern w:val="0"/>
                <w:sz w:val="24"/>
                <w:szCs w:val="24"/>
                <w:lang w:eastAsia="zh-CN"/>
              </w:rPr>
              <w:t>。</w:t>
            </w:r>
          </w:p>
          <w:p w14:paraId="4F32F89E">
            <w:pPr>
              <w:widowControl/>
              <w:spacing w:line="240" w:lineRule="auto"/>
              <w:ind w:firstLine="0" w:firstLineChars="0"/>
              <w:jc w:val="center"/>
              <w:rPr>
                <w:color w:val="auto"/>
              </w:rPr>
            </w:pPr>
            <w:r>
              <w:rPr>
                <w:b/>
                <w:bCs/>
                <w:color w:val="auto"/>
              </w:rPr>
              <w:t>表4-</w:t>
            </w:r>
            <w:r>
              <w:rPr>
                <w:rFonts w:hint="eastAsia"/>
                <w:b/>
                <w:bCs/>
                <w:color w:val="auto"/>
                <w:lang w:val="en-US" w:eastAsia="zh-CN"/>
              </w:rPr>
              <w:t>13</w:t>
            </w:r>
            <w:r>
              <w:rPr>
                <w:rFonts w:hint="eastAsia"/>
                <w:b/>
                <w:bCs/>
                <w:color w:val="auto"/>
              </w:rPr>
              <w:t xml:space="preserve"> </w:t>
            </w:r>
            <w:r>
              <w:rPr>
                <w:b/>
                <w:bCs/>
                <w:color w:val="auto"/>
              </w:rPr>
              <w:t xml:space="preserve"> 固废产生量及处理方式</w:t>
            </w:r>
          </w:p>
          <w:tbl>
            <w:tblPr>
              <w:tblStyle w:val="27"/>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19"/>
              <w:gridCol w:w="1200"/>
              <w:gridCol w:w="2430"/>
              <w:gridCol w:w="3114"/>
            </w:tblGrid>
            <w:tr w14:paraId="44F8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Align w:val="center"/>
                </w:tcPr>
                <w:p w14:paraId="68268E34">
                  <w:pPr>
                    <w:pStyle w:val="3"/>
                    <w:outlineLvl w:val="0"/>
                    <w:rPr>
                      <w:b/>
                      <w:color w:val="auto"/>
                    </w:rPr>
                  </w:pPr>
                  <w:r>
                    <w:rPr>
                      <w:b/>
                      <w:color w:val="auto"/>
                    </w:rPr>
                    <w:t>序号</w:t>
                  </w:r>
                </w:p>
              </w:tc>
              <w:tc>
                <w:tcPr>
                  <w:tcW w:w="1119" w:type="dxa"/>
                  <w:vAlign w:val="center"/>
                </w:tcPr>
                <w:p w14:paraId="56CCE0C6">
                  <w:pPr>
                    <w:pStyle w:val="3"/>
                    <w:outlineLvl w:val="0"/>
                    <w:rPr>
                      <w:b/>
                      <w:color w:val="auto"/>
                    </w:rPr>
                  </w:pPr>
                  <w:r>
                    <w:rPr>
                      <w:b/>
                      <w:color w:val="auto"/>
                    </w:rPr>
                    <w:t>固废种类</w:t>
                  </w:r>
                </w:p>
              </w:tc>
              <w:tc>
                <w:tcPr>
                  <w:tcW w:w="1200" w:type="dxa"/>
                  <w:vAlign w:val="center"/>
                </w:tcPr>
                <w:p w14:paraId="418975BA">
                  <w:pPr>
                    <w:pStyle w:val="3"/>
                    <w:outlineLvl w:val="0"/>
                    <w:rPr>
                      <w:b/>
                      <w:color w:val="auto"/>
                    </w:rPr>
                  </w:pPr>
                  <w:r>
                    <w:rPr>
                      <w:b/>
                      <w:color w:val="auto"/>
                    </w:rPr>
                    <w:t>产生量（t/a）</w:t>
                  </w:r>
                </w:p>
              </w:tc>
              <w:tc>
                <w:tcPr>
                  <w:tcW w:w="2430" w:type="dxa"/>
                  <w:vAlign w:val="center"/>
                </w:tcPr>
                <w:p w14:paraId="5C278B9B">
                  <w:pPr>
                    <w:pStyle w:val="3"/>
                    <w:outlineLvl w:val="0"/>
                    <w:rPr>
                      <w:b/>
                      <w:color w:val="auto"/>
                    </w:rPr>
                  </w:pPr>
                  <w:r>
                    <w:rPr>
                      <w:b/>
                      <w:color w:val="auto"/>
                    </w:rPr>
                    <w:t>环评要求处理方式</w:t>
                  </w:r>
                </w:p>
              </w:tc>
              <w:tc>
                <w:tcPr>
                  <w:tcW w:w="3114" w:type="dxa"/>
                  <w:vAlign w:val="center"/>
                </w:tcPr>
                <w:p w14:paraId="291F8036">
                  <w:pPr>
                    <w:pStyle w:val="3"/>
                    <w:outlineLvl w:val="0"/>
                    <w:rPr>
                      <w:b/>
                      <w:color w:val="auto"/>
                    </w:rPr>
                  </w:pPr>
                  <w:r>
                    <w:rPr>
                      <w:b/>
                      <w:color w:val="auto"/>
                    </w:rPr>
                    <w:t>固废暂存</w:t>
                  </w:r>
                  <w:r>
                    <w:rPr>
                      <w:rFonts w:hint="eastAsia"/>
                      <w:b/>
                      <w:color w:val="auto"/>
                    </w:rPr>
                    <w:t>间</w:t>
                  </w:r>
                  <w:r>
                    <w:rPr>
                      <w:b/>
                      <w:color w:val="auto"/>
                    </w:rPr>
                    <w:t>建设、管理要求</w:t>
                  </w:r>
                </w:p>
              </w:tc>
            </w:tr>
            <w:tr w14:paraId="3FB8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Align w:val="center"/>
                </w:tcPr>
                <w:p w14:paraId="635A3B62">
                  <w:pPr>
                    <w:pStyle w:val="3"/>
                    <w:outlineLvl w:val="0"/>
                    <w:rPr>
                      <w:color w:val="auto"/>
                      <w:szCs w:val="30"/>
                    </w:rPr>
                  </w:pPr>
                  <w:r>
                    <w:rPr>
                      <w:rFonts w:hint="eastAsia"/>
                      <w:color w:val="auto"/>
                    </w:rPr>
                    <w:t>1</w:t>
                  </w:r>
                </w:p>
              </w:tc>
              <w:tc>
                <w:tcPr>
                  <w:tcW w:w="1119" w:type="dxa"/>
                  <w:vAlign w:val="center"/>
                </w:tcPr>
                <w:p w14:paraId="635C4ABE">
                  <w:pPr>
                    <w:pStyle w:val="3"/>
                    <w:outlineLvl w:val="0"/>
                    <w:rPr>
                      <w:color w:val="auto"/>
                    </w:rPr>
                  </w:pPr>
                  <w:r>
                    <w:rPr>
                      <w:rFonts w:hint="eastAsia"/>
                      <w:color w:val="auto"/>
                    </w:rPr>
                    <w:t>生活垃圾</w:t>
                  </w:r>
                </w:p>
              </w:tc>
              <w:tc>
                <w:tcPr>
                  <w:tcW w:w="1200" w:type="dxa"/>
                  <w:vAlign w:val="center"/>
                </w:tcPr>
                <w:p w14:paraId="085B1082">
                  <w:pPr>
                    <w:pStyle w:val="3"/>
                    <w:outlineLvl w:val="0"/>
                    <w:rPr>
                      <w:color w:val="auto"/>
                    </w:rPr>
                  </w:pPr>
                  <w:r>
                    <w:rPr>
                      <w:rFonts w:hint="eastAsia"/>
                      <w:color w:val="auto"/>
                      <w:szCs w:val="32"/>
                      <w:lang w:val="en-US" w:eastAsia="zh-CN"/>
                    </w:rPr>
                    <w:t>1.944</w:t>
                  </w:r>
                </w:p>
              </w:tc>
              <w:tc>
                <w:tcPr>
                  <w:tcW w:w="5544" w:type="dxa"/>
                  <w:gridSpan w:val="2"/>
                  <w:vAlign w:val="center"/>
                </w:tcPr>
                <w:p w14:paraId="118905FD">
                  <w:pPr>
                    <w:pStyle w:val="3"/>
                    <w:jc w:val="both"/>
                    <w:outlineLvl w:val="0"/>
                    <w:rPr>
                      <w:color w:val="auto"/>
                    </w:rPr>
                  </w:pPr>
                  <w:bookmarkStart w:id="13" w:name="_Toc25328"/>
                  <w:r>
                    <w:rPr>
                      <w:color w:val="auto"/>
                    </w:rPr>
                    <w:t>a、分类存放、袋装化收集；</w:t>
                  </w:r>
                  <w:bookmarkEnd w:id="13"/>
                </w:p>
                <w:p w14:paraId="7B15E82D">
                  <w:pPr>
                    <w:pStyle w:val="3"/>
                    <w:jc w:val="both"/>
                    <w:outlineLvl w:val="0"/>
                    <w:rPr>
                      <w:color w:val="auto"/>
                    </w:rPr>
                  </w:pPr>
                  <w:bookmarkStart w:id="14" w:name="_Toc12169"/>
                  <w:r>
                    <w:rPr>
                      <w:color w:val="auto"/>
                    </w:rPr>
                    <w:t>b、定点设加盖垃圾收集桶；</w:t>
                  </w:r>
                  <w:bookmarkEnd w:id="14"/>
                </w:p>
                <w:p w14:paraId="2267F036">
                  <w:pPr>
                    <w:pStyle w:val="3"/>
                    <w:jc w:val="both"/>
                    <w:outlineLvl w:val="0"/>
                    <w:rPr>
                      <w:rFonts w:hint="eastAsia" w:eastAsia="宋体"/>
                      <w:color w:val="auto"/>
                      <w:lang w:eastAsia="zh-CN"/>
                    </w:rPr>
                  </w:pPr>
                  <w:bookmarkStart w:id="15" w:name="_Toc22371"/>
                  <w:r>
                    <w:rPr>
                      <w:color w:val="auto"/>
                    </w:rPr>
                    <w:t>c、日产日清，环卫部门统一处理</w:t>
                  </w:r>
                  <w:bookmarkEnd w:id="15"/>
                  <w:r>
                    <w:rPr>
                      <w:rFonts w:hint="eastAsia"/>
                      <w:color w:val="auto"/>
                      <w:lang w:eastAsia="zh-CN"/>
                    </w:rPr>
                    <w:t>；</w:t>
                  </w:r>
                </w:p>
              </w:tc>
            </w:tr>
            <w:tr w14:paraId="1397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Align w:val="center"/>
                </w:tcPr>
                <w:p w14:paraId="63DCC4E9">
                  <w:pPr>
                    <w:pStyle w:val="3"/>
                    <w:outlineLvl w:val="0"/>
                    <w:rPr>
                      <w:color w:val="auto"/>
                      <w:szCs w:val="30"/>
                    </w:rPr>
                  </w:pPr>
                  <w:r>
                    <w:rPr>
                      <w:rFonts w:hint="eastAsia"/>
                      <w:color w:val="auto"/>
                    </w:rPr>
                    <w:t>2</w:t>
                  </w:r>
                </w:p>
              </w:tc>
              <w:tc>
                <w:tcPr>
                  <w:tcW w:w="1119" w:type="dxa"/>
                  <w:vAlign w:val="center"/>
                </w:tcPr>
                <w:p w14:paraId="57AD569E">
                  <w:pPr>
                    <w:pStyle w:val="3"/>
                    <w:outlineLvl w:val="0"/>
                    <w:rPr>
                      <w:color w:val="auto"/>
                    </w:rPr>
                  </w:pPr>
                  <w:r>
                    <w:rPr>
                      <w:rFonts w:hint="eastAsia"/>
                      <w:color w:val="auto"/>
                    </w:rPr>
                    <w:t>地面清扫粉尘</w:t>
                  </w:r>
                </w:p>
              </w:tc>
              <w:tc>
                <w:tcPr>
                  <w:tcW w:w="1200" w:type="dxa"/>
                  <w:vAlign w:val="center"/>
                </w:tcPr>
                <w:p w14:paraId="7AC75336">
                  <w:pPr>
                    <w:pStyle w:val="3"/>
                    <w:outlineLvl w:val="0"/>
                    <w:rPr>
                      <w:color w:val="auto"/>
                    </w:rPr>
                  </w:pPr>
                  <w:r>
                    <w:rPr>
                      <w:rFonts w:hint="eastAsia"/>
                      <w:color w:val="auto"/>
                      <w:lang w:val="en-US" w:eastAsia="zh-CN"/>
                    </w:rPr>
                    <w:t>30.232</w:t>
                  </w:r>
                </w:p>
              </w:tc>
              <w:tc>
                <w:tcPr>
                  <w:tcW w:w="2430" w:type="dxa"/>
                  <w:vMerge w:val="restart"/>
                  <w:vAlign w:val="center"/>
                </w:tcPr>
                <w:p w14:paraId="2D07FA94">
                  <w:pPr>
                    <w:pStyle w:val="3"/>
                    <w:outlineLvl w:val="0"/>
                    <w:rPr>
                      <w:color w:val="auto"/>
                    </w:rPr>
                  </w:pPr>
                  <w:r>
                    <w:rPr>
                      <w:rFonts w:hint="eastAsia"/>
                      <w:color w:val="auto"/>
                    </w:rPr>
                    <w:t>统一收集后回用于生产线</w:t>
                  </w:r>
                </w:p>
              </w:tc>
              <w:tc>
                <w:tcPr>
                  <w:tcW w:w="3114" w:type="dxa"/>
                  <w:vMerge w:val="restart"/>
                  <w:vAlign w:val="center"/>
                </w:tcPr>
                <w:p w14:paraId="4C8ED1C6">
                  <w:pPr>
                    <w:pStyle w:val="3"/>
                    <w:outlineLvl w:val="0"/>
                    <w:rPr>
                      <w:color w:val="auto"/>
                    </w:rPr>
                  </w:pPr>
                  <w:r>
                    <w:rPr>
                      <w:rFonts w:hint="default"/>
                      <w:color w:val="auto"/>
                      <w:lang w:val="en-US" w:eastAsia="zh-CN"/>
                    </w:rPr>
                    <w:t>工业固体废物的贮存、处置执行《中华人民共和国固体废物污染环境防治法》</w:t>
                  </w:r>
                  <w:r>
                    <w:rPr>
                      <w:rFonts w:hint="eastAsia"/>
                      <w:color w:val="auto"/>
                      <w:lang w:val="en-US" w:eastAsia="zh-CN"/>
                    </w:rPr>
                    <w:t>。</w:t>
                  </w:r>
                  <w:r>
                    <w:rPr>
                      <w:rFonts w:hint="default"/>
                      <w:color w:val="auto"/>
                      <w:lang w:val="en-US" w:eastAsia="zh-CN"/>
                    </w:rPr>
                    <w:t>此外，一般工业固体废物处理参照执行《一般工业固体废物贮存和填埋污染控制标准》（GB18599-2020）</w:t>
                  </w:r>
                </w:p>
              </w:tc>
            </w:tr>
            <w:tr w14:paraId="45EC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Align w:val="center"/>
                </w:tcPr>
                <w:p w14:paraId="63F8C592">
                  <w:pPr>
                    <w:pStyle w:val="3"/>
                    <w:outlineLvl w:val="0"/>
                    <w:rPr>
                      <w:color w:val="auto"/>
                      <w:szCs w:val="30"/>
                    </w:rPr>
                  </w:pPr>
                  <w:r>
                    <w:rPr>
                      <w:rFonts w:hint="eastAsia"/>
                      <w:color w:val="auto"/>
                    </w:rPr>
                    <w:t>3</w:t>
                  </w:r>
                </w:p>
              </w:tc>
              <w:tc>
                <w:tcPr>
                  <w:tcW w:w="1119" w:type="dxa"/>
                  <w:vAlign w:val="center"/>
                </w:tcPr>
                <w:p w14:paraId="1D4E4F58">
                  <w:pPr>
                    <w:pStyle w:val="3"/>
                    <w:outlineLvl w:val="0"/>
                    <w:rPr>
                      <w:color w:val="auto"/>
                    </w:rPr>
                  </w:pPr>
                  <w:r>
                    <w:rPr>
                      <w:rFonts w:hint="eastAsia"/>
                      <w:color w:val="auto"/>
                    </w:rPr>
                    <w:t>沉淀池沉渣</w:t>
                  </w:r>
                </w:p>
              </w:tc>
              <w:tc>
                <w:tcPr>
                  <w:tcW w:w="1200" w:type="dxa"/>
                  <w:vAlign w:val="center"/>
                </w:tcPr>
                <w:p w14:paraId="481E1110">
                  <w:pPr>
                    <w:pStyle w:val="3"/>
                    <w:outlineLvl w:val="0"/>
                    <w:rPr>
                      <w:color w:val="auto"/>
                    </w:rPr>
                  </w:pPr>
                  <w:r>
                    <w:rPr>
                      <w:rFonts w:hint="eastAsia"/>
                      <w:color w:val="auto"/>
                    </w:rPr>
                    <w:t>2</w:t>
                  </w:r>
                </w:p>
              </w:tc>
              <w:tc>
                <w:tcPr>
                  <w:tcW w:w="2430" w:type="dxa"/>
                  <w:vMerge w:val="continue"/>
                  <w:vAlign w:val="center"/>
                </w:tcPr>
                <w:p w14:paraId="4845DC3C">
                  <w:pPr>
                    <w:pStyle w:val="3"/>
                    <w:outlineLvl w:val="0"/>
                    <w:rPr>
                      <w:color w:val="auto"/>
                    </w:rPr>
                  </w:pPr>
                </w:p>
              </w:tc>
              <w:tc>
                <w:tcPr>
                  <w:tcW w:w="3114" w:type="dxa"/>
                  <w:vMerge w:val="continue"/>
                  <w:vAlign w:val="center"/>
                </w:tcPr>
                <w:p w14:paraId="29E1EE21">
                  <w:pPr>
                    <w:pStyle w:val="3"/>
                    <w:outlineLvl w:val="0"/>
                    <w:rPr>
                      <w:color w:val="auto"/>
                    </w:rPr>
                  </w:pPr>
                </w:p>
              </w:tc>
            </w:tr>
            <w:tr w14:paraId="7DB7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Align w:val="center"/>
                </w:tcPr>
                <w:p w14:paraId="613B858A">
                  <w:pPr>
                    <w:pStyle w:val="3"/>
                    <w:outlineLvl w:val="0"/>
                    <w:rPr>
                      <w:rFonts w:hint="eastAsia" w:eastAsia="宋体"/>
                      <w:color w:val="auto"/>
                      <w:lang w:val="en-US" w:eastAsia="zh-CN"/>
                    </w:rPr>
                  </w:pPr>
                  <w:r>
                    <w:rPr>
                      <w:rFonts w:hint="eastAsia"/>
                      <w:color w:val="auto"/>
                      <w:lang w:val="en-US" w:eastAsia="zh-CN"/>
                    </w:rPr>
                    <w:t>4</w:t>
                  </w:r>
                </w:p>
              </w:tc>
              <w:tc>
                <w:tcPr>
                  <w:tcW w:w="1119" w:type="dxa"/>
                  <w:vAlign w:val="center"/>
                </w:tcPr>
                <w:p w14:paraId="5306DD9C">
                  <w:pPr>
                    <w:pStyle w:val="3"/>
                    <w:outlineLvl w:val="0"/>
                    <w:rPr>
                      <w:rFonts w:hint="eastAsia"/>
                      <w:color w:val="auto"/>
                    </w:rPr>
                  </w:pPr>
                  <w:r>
                    <w:rPr>
                      <w:rFonts w:hint="eastAsia"/>
                      <w:color w:val="auto"/>
                      <w:lang w:val="en-US" w:eastAsia="zh-CN"/>
                    </w:rPr>
                    <w:t>除尘器收集粉尘</w:t>
                  </w:r>
                </w:p>
              </w:tc>
              <w:tc>
                <w:tcPr>
                  <w:tcW w:w="1200" w:type="dxa"/>
                  <w:vAlign w:val="center"/>
                </w:tcPr>
                <w:p w14:paraId="32EF7C60">
                  <w:pPr>
                    <w:pStyle w:val="3"/>
                    <w:outlineLvl w:val="0"/>
                    <w:rPr>
                      <w:rFonts w:hint="default" w:eastAsia="宋体"/>
                      <w:color w:val="auto"/>
                      <w:lang w:val="en-US" w:eastAsia="zh-CN"/>
                    </w:rPr>
                  </w:pPr>
                  <w:r>
                    <w:rPr>
                      <w:rFonts w:hint="default" w:eastAsia="宋体"/>
                      <w:color w:val="auto"/>
                      <w:lang w:val="en-US" w:eastAsia="zh-CN"/>
                    </w:rPr>
                    <w:t>26.232</w:t>
                  </w:r>
                </w:p>
              </w:tc>
              <w:tc>
                <w:tcPr>
                  <w:tcW w:w="2430" w:type="dxa"/>
                  <w:vMerge w:val="continue"/>
                  <w:vAlign w:val="center"/>
                </w:tcPr>
                <w:p w14:paraId="6C93F075">
                  <w:pPr>
                    <w:pStyle w:val="3"/>
                    <w:outlineLvl w:val="0"/>
                    <w:rPr>
                      <w:rFonts w:hint="default" w:eastAsia="宋体"/>
                      <w:color w:val="auto"/>
                      <w:lang w:val="en-US" w:eastAsia="zh-CN"/>
                    </w:rPr>
                  </w:pPr>
                </w:p>
              </w:tc>
              <w:tc>
                <w:tcPr>
                  <w:tcW w:w="3114" w:type="dxa"/>
                  <w:vMerge w:val="continue"/>
                  <w:vAlign w:val="center"/>
                </w:tcPr>
                <w:p w14:paraId="0634652C">
                  <w:pPr>
                    <w:pStyle w:val="3"/>
                    <w:outlineLvl w:val="0"/>
                    <w:rPr>
                      <w:color w:val="auto"/>
                    </w:rPr>
                  </w:pPr>
                </w:p>
              </w:tc>
            </w:tr>
            <w:tr w14:paraId="3E44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Align w:val="center"/>
                </w:tcPr>
                <w:p w14:paraId="3DB3E34C">
                  <w:pPr>
                    <w:pStyle w:val="3"/>
                    <w:outlineLvl w:val="0"/>
                    <w:rPr>
                      <w:rFonts w:hint="default"/>
                      <w:color w:val="auto"/>
                      <w:lang w:val="en-US" w:eastAsia="zh-CN"/>
                    </w:rPr>
                  </w:pPr>
                  <w:r>
                    <w:rPr>
                      <w:rFonts w:hint="eastAsia"/>
                      <w:color w:val="auto"/>
                      <w:lang w:val="en-US" w:eastAsia="zh-CN"/>
                    </w:rPr>
                    <w:t>5</w:t>
                  </w:r>
                </w:p>
              </w:tc>
              <w:tc>
                <w:tcPr>
                  <w:tcW w:w="1119" w:type="dxa"/>
                  <w:vAlign w:val="center"/>
                </w:tcPr>
                <w:p w14:paraId="0444D2CD">
                  <w:pPr>
                    <w:pStyle w:val="3"/>
                    <w:outlineLvl w:val="0"/>
                    <w:rPr>
                      <w:rFonts w:hint="eastAsia"/>
                      <w:color w:val="auto"/>
                      <w:lang w:val="en-US" w:eastAsia="zh-CN"/>
                    </w:rPr>
                  </w:pPr>
                  <w:r>
                    <w:rPr>
                      <w:rFonts w:hint="eastAsia"/>
                      <w:color w:val="auto"/>
                      <w:lang w:val="en-US" w:eastAsia="zh-CN"/>
                    </w:rPr>
                    <w:t>废机油、废机油桶</w:t>
                  </w:r>
                </w:p>
              </w:tc>
              <w:tc>
                <w:tcPr>
                  <w:tcW w:w="1200" w:type="dxa"/>
                  <w:vAlign w:val="center"/>
                </w:tcPr>
                <w:p w14:paraId="67FFAB2C">
                  <w:pPr>
                    <w:pStyle w:val="3"/>
                    <w:outlineLvl w:val="0"/>
                    <w:rPr>
                      <w:rFonts w:hint="default" w:eastAsia="宋体"/>
                      <w:color w:val="auto"/>
                      <w:lang w:val="en-US" w:eastAsia="zh-CN"/>
                    </w:rPr>
                  </w:pPr>
                  <w:r>
                    <w:rPr>
                      <w:rFonts w:hint="eastAsia"/>
                      <w:color w:val="auto"/>
                      <w:lang w:val="en-US" w:eastAsia="zh-CN"/>
                    </w:rPr>
                    <w:t>0.2</w:t>
                  </w:r>
                </w:p>
              </w:tc>
              <w:tc>
                <w:tcPr>
                  <w:tcW w:w="2430" w:type="dxa"/>
                  <w:vAlign w:val="center"/>
                </w:tcPr>
                <w:p w14:paraId="003D6D36">
                  <w:pPr>
                    <w:pStyle w:val="3"/>
                    <w:outlineLvl w:val="0"/>
                    <w:rPr>
                      <w:rFonts w:hint="default" w:eastAsia="宋体"/>
                      <w:color w:val="auto"/>
                      <w:lang w:val="en-US" w:eastAsia="zh-CN"/>
                    </w:rPr>
                  </w:pPr>
                  <w:r>
                    <w:rPr>
                      <w:rFonts w:hint="default" w:eastAsia="宋体"/>
                      <w:color w:val="auto"/>
                      <w:lang w:val="en-US" w:eastAsia="zh-CN"/>
                    </w:rPr>
                    <w:t>暂存于危险废物贮存库，定期交由有资质单位处置</w:t>
                  </w:r>
                </w:p>
              </w:tc>
              <w:tc>
                <w:tcPr>
                  <w:tcW w:w="3114" w:type="dxa"/>
                  <w:vAlign w:val="center"/>
                </w:tcPr>
                <w:p w14:paraId="5C08FCD4">
                  <w:pPr>
                    <w:pStyle w:val="3"/>
                    <w:outlineLvl w:val="0"/>
                    <w:rPr>
                      <w:color w:val="auto"/>
                    </w:rPr>
                  </w:pPr>
                  <w:r>
                    <w:rPr>
                      <w:rFonts w:hint="default" w:ascii="Times New Roman" w:hAnsi="Times New Roman" w:eastAsia="宋体" w:cs="Times New Roman"/>
                      <w:color w:val="auto"/>
                      <w:kern w:val="2"/>
                      <w:sz w:val="21"/>
                      <w:szCs w:val="21"/>
                      <w:lang w:eastAsia="zh-CN"/>
                    </w:rPr>
                    <w:t>危险废物贮存库</w:t>
                  </w:r>
                  <w:r>
                    <w:rPr>
                      <w:rFonts w:hint="default" w:ascii="Times New Roman" w:hAnsi="Times New Roman" w:eastAsia="宋体" w:cs="Times New Roman"/>
                      <w:color w:val="auto"/>
                      <w:kern w:val="2"/>
                      <w:sz w:val="21"/>
                      <w:szCs w:val="21"/>
                      <w:lang w:val="en-US" w:eastAsia="zh-CN"/>
                    </w:rPr>
                    <w:t>建设</w:t>
                  </w:r>
                  <w:r>
                    <w:rPr>
                      <w:rFonts w:hint="default" w:ascii="Times New Roman" w:hAnsi="Times New Roman" w:eastAsia="宋体" w:cs="Times New Roman"/>
                      <w:color w:val="auto"/>
                      <w:kern w:val="2"/>
                      <w:sz w:val="21"/>
                      <w:szCs w:val="21"/>
                    </w:rPr>
                    <w:t>执行《危险废物贮存污染控制标准》（GB 18597—2023）</w:t>
                  </w:r>
                  <w:r>
                    <w:rPr>
                      <w:rFonts w:hint="default" w:ascii="Times New Roman" w:hAnsi="Times New Roman" w:eastAsia="宋体" w:cs="Times New Roman"/>
                      <w:color w:val="auto"/>
                      <w:kern w:val="2"/>
                      <w:sz w:val="21"/>
                      <w:szCs w:val="21"/>
                      <w:lang w:val="en-US" w:eastAsia="zh-CN"/>
                    </w:rPr>
                    <w:t>中相关标准</w:t>
                  </w:r>
                </w:p>
              </w:tc>
            </w:tr>
          </w:tbl>
          <w:p w14:paraId="0F16FB81">
            <w:pPr>
              <w:pStyle w:val="4"/>
              <w:ind w:firstLine="480"/>
              <w:rPr>
                <w:color w:val="auto"/>
              </w:rPr>
            </w:pPr>
            <w:r>
              <w:rPr>
                <w:color w:val="auto"/>
              </w:rPr>
              <w:t>综上所述，本项目固体产生情况汇总表如下表所示。</w:t>
            </w:r>
          </w:p>
          <w:p w14:paraId="4061F5A5">
            <w:pPr>
              <w:pStyle w:val="4"/>
              <w:spacing w:line="240" w:lineRule="auto"/>
              <w:jc w:val="center"/>
              <w:rPr>
                <w:color w:val="auto"/>
              </w:rPr>
            </w:pPr>
            <w:r>
              <w:rPr>
                <w:b/>
                <w:bCs/>
                <w:color w:val="auto"/>
              </w:rPr>
              <w:t xml:space="preserve">表 </w:t>
            </w:r>
            <w:r>
              <w:rPr>
                <w:rFonts w:hint="eastAsia"/>
                <w:b/>
                <w:bCs/>
                <w:color w:val="auto"/>
              </w:rPr>
              <w:t>4-</w:t>
            </w:r>
            <w:r>
              <w:rPr>
                <w:rFonts w:hint="eastAsia"/>
                <w:b/>
                <w:bCs/>
                <w:color w:val="auto"/>
                <w:lang w:val="en-US" w:eastAsia="zh-CN"/>
              </w:rPr>
              <w:t>14</w:t>
            </w:r>
            <w:r>
              <w:rPr>
                <w:b/>
                <w:bCs/>
                <w:color w:val="auto"/>
              </w:rPr>
              <w:t xml:space="preserve">  建设项目固体废物分析结果汇总表</w:t>
            </w:r>
          </w:p>
          <w:tbl>
            <w:tblPr>
              <w:tblStyle w:val="27"/>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195"/>
              <w:gridCol w:w="1382"/>
              <w:gridCol w:w="762"/>
              <w:gridCol w:w="1150"/>
              <w:gridCol w:w="1129"/>
              <w:gridCol w:w="1275"/>
              <w:gridCol w:w="1052"/>
            </w:tblGrid>
            <w:tr w14:paraId="38E7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vAlign w:val="center"/>
                </w:tcPr>
                <w:p w14:paraId="78521D7F">
                  <w:pPr>
                    <w:pStyle w:val="3"/>
                    <w:outlineLvl w:val="0"/>
                    <w:rPr>
                      <w:b/>
                      <w:color w:val="auto"/>
                    </w:rPr>
                  </w:pPr>
                  <w:r>
                    <w:rPr>
                      <w:b/>
                      <w:color w:val="auto"/>
                    </w:rPr>
                    <w:t>序</w:t>
                  </w:r>
                </w:p>
                <w:p w14:paraId="2416FE4A">
                  <w:pPr>
                    <w:pStyle w:val="3"/>
                    <w:outlineLvl w:val="0"/>
                    <w:rPr>
                      <w:b/>
                      <w:color w:val="auto"/>
                    </w:rPr>
                  </w:pPr>
                  <w:r>
                    <w:rPr>
                      <w:b/>
                      <w:color w:val="auto"/>
                    </w:rPr>
                    <w:t>号</w:t>
                  </w:r>
                </w:p>
              </w:tc>
              <w:tc>
                <w:tcPr>
                  <w:tcW w:w="1195" w:type="dxa"/>
                  <w:vAlign w:val="center"/>
                </w:tcPr>
                <w:p w14:paraId="29F157DE">
                  <w:pPr>
                    <w:pStyle w:val="3"/>
                    <w:outlineLvl w:val="0"/>
                    <w:rPr>
                      <w:b/>
                      <w:color w:val="auto"/>
                    </w:rPr>
                  </w:pPr>
                  <w:r>
                    <w:rPr>
                      <w:b/>
                      <w:color w:val="auto"/>
                    </w:rPr>
                    <w:t>固体废物名称</w:t>
                  </w:r>
                </w:p>
              </w:tc>
              <w:tc>
                <w:tcPr>
                  <w:tcW w:w="1382" w:type="dxa"/>
                  <w:vAlign w:val="center"/>
                </w:tcPr>
                <w:p w14:paraId="0095DC53">
                  <w:pPr>
                    <w:pStyle w:val="3"/>
                    <w:outlineLvl w:val="0"/>
                    <w:rPr>
                      <w:b/>
                      <w:color w:val="auto"/>
                    </w:rPr>
                  </w:pPr>
                  <w:r>
                    <w:rPr>
                      <w:b/>
                      <w:color w:val="auto"/>
                    </w:rPr>
                    <w:t>产生工序</w:t>
                  </w:r>
                </w:p>
              </w:tc>
              <w:tc>
                <w:tcPr>
                  <w:tcW w:w="762" w:type="dxa"/>
                  <w:vAlign w:val="center"/>
                </w:tcPr>
                <w:p w14:paraId="712488AE">
                  <w:pPr>
                    <w:pStyle w:val="3"/>
                    <w:outlineLvl w:val="0"/>
                    <w:rPr>
                      <w:b/>
                      <w:color w:val="auto"/>
                    </w:rPr>
                  </w:pPr>
                  <w:r>
                    <w:rPr>
                      <w:b/>
                      <w:color w:val="auto"/>
                    </w:rPr>
                    <w:t>形态</w:t>
                  </w:r>
                </w:p>
              </w:tc>
              <w:tc>
                <w:tcPr>
                  <w:tcW w:w="1150" w:type="dxa"/>
                  <w:vAlign w:val="center"/>
                </w:tcPr>
                <w:p w14:paraId="04CA63C3">
                  <w:pPr>
                    <w:pStyle w:val="3"/>
                    <w:outlineLvl w:val="0"/>
                    <w:rPr>
                      <w:b/>
                      <w:color w:val="auto"/>
                    </w:rPr>
                  </w:pPr>
                  <w:r>
                    <w:rPr>
                      <w:b/>
                      <w:color w:val="auto"/>
                    </w:rPr>
                    <w:t>主要成分</w:t>
                  </w:r>
                </w:p>
              </w:tc>
              <w:tc>
                <w:tcPr>
                  <w:tcW w:w="1129" w:type="dxa"/>
                  <w:vAlign w:val="center"/>
                </w:tcPr>
                <w:p w14:paraId="44501403">
                  <w:pPr>
                    <w:pStyle w:val="3"/>
                    <w:outlineLvl w:val="0"/>
                    <w:rPr>
                      <w:b/>
                      <w:color w:val="auto"/>
                    </w:rPr>
                  </w:pPr>
                  <w:r>
                    <w:rPr>
                      <w:b/>
                      <w:color w:val="auto"/>
                    </w:rPr>
                    <w:t>属性</w:t>
                  </w:r>
                </w:p>
              </w:tc>
              <w:tc>
                <w:tcPr>
                  <w:tcW w:w="1275" w:type="dxa"/>
                  <w:vAlign w:val="center"/>
                </w:tcPr>
                <w:p w14:paraId="178F5261">
                  <w:pPr>
                    <w:pStyle w:val="3"/>
                    <w:outlineLvl w:val="0"/>
                    <w:rPr>
                      <w:b/>
                      <w:color w:val="auto"/>
                    </w:rPr>
                  </w:pPr>
                  <w:r>
                    <w:rPr>
                      <w:rFonts w:hint="eastAsia"/>
                      <w:b/>
                      <w:color w:val="auto"/>
                    </w:rPr>
                    <w:t>固废</w:t>
                  </w:r>
                  <w:r>
                    <w:rPr>
                      <w:b/>
                      <w:color w:val="auto"/>
                    </w:rPr>
                    <w:t>代码</w:t>
                  </w:r>
                </w:p>
              </w:tc>
              <w:tc>
                <w:tcPr>
                  <w:tcW w:w="1052" w:type="dxa"/>
                  <w:vAlign w:val="center"/>
                </w:tcPr>
                <w:p w14:paraId="2E6AAEDC">
                  <w:pPr>
                    <w:pStyle w:val="3"/>
                    <w:outlineLvl w:val="0"/>
                    <w:rPr>
                      <w:b/>
                      <w:color w:val="auto"/>
                    </w:rPr>
                  </w:pPr>
                  <w:r>
                    <w:rPr>
                      <w:b/>
                      <w:color w:val="auto"/>
                    </w:rPr>
                    <w:t>产生量</w:t>
                  </w:r>
                </w:p>
                <w:p w14:paraId="72EFB0A8">
                  <w:pPr>
                    <w:pStyle w:val="3"/>
                    <w:outlineLvl w:val="0"/>
                    <w:rPr>
                      <w:b/>
                      <w:color w:val="auto"/>
                    </w:rPr>
                  </w:pPr>
                  <w:r>
                    <w:rPr>
                      <w:rFonts w:hint="eastAsia"/>
                      <w:b/>
                      <w:color w:val="auto"/>
                    </w:rPr>
                    <w:t>（</w:t>
                  </w:r>
                  <w:r>
                    <w:rPr>
                      <w:b/>
                      <w:color w:val="auto"/>
                    </w:rPr>
                    <w:t>t/a</w:t>
                  </w:r>
                  <w:r>
                    <w:rPr>
                      <w:rFonts w:hint="eastAsia"/>
                      <w:b/>
                      <w:color w:val="auto"/>
                    </w:rPr>
                    <w:t>）</w:t>
                  </w:r>
                </w:p>
              </w:tc>
            </w:tr>
            <w:tr w14:paraId="6490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vAlign w:val="center"/>
                </w:tcPr>
                <w:p w14:paraId="316C48E6">
                  <w:pPr>
                    <w:pStyle w:val="3"/>
                    <w:outlineLvl w:val="0"/>
                    <w:rPr>
                      <w:color w:val="auto"/>
                    </w:rPr>
                  </w:pPr>
                  <w:r>
                    <w:rPr>
                      <w:rFonts w:hint="eastAsia"/>
                      <w:color w:val="auto"/>
                    </w:rPr>
                    <w:t>1</w:t>
                  </w:r>
                </w:p>
              </w:tc>
              <w:tc>
                <w:tcPr>
                  <w:tcW w:w="1195" w:type="dxa"/>
                  <w:vAlign w:val="center"/>
                </w:tcPr>
                <w:p w14:paraId="7FAE544C">
                  <w:pPr>
                    <w:pStyle w:val="3"/>
                    <w:outlineLvl w:val="0"/>
                    <w:rPr>
                      <w:color w:val="auto"/>
                    </w:rPr>
                  </w:pPr>
                  <w:r>
                    <w:rPr>
                      <w:rFonts w:hint="eastAsia"/>
                      <w:color w:val="auto"/>
                    </w:rPr>
                    <w:t>生活垃圾</w:t>
                  </w:r>
                </w:p>
              </w:tc>
              <w:tc>
                <w:tcPr>
                  <w:tcW w:w="1382" w:type="dxa"/>
                  <w:vAlign w:val="center"/>
                </w:tcPr>
                <w:p w14:paraId="47C077EE">
                  <w:pPr>
                    <w:pStyle w:val="3"/>
                    <w:outlineLvl w:val="0"/>
                    <w:rPr>
                      <w:color w:val="auto"/>
                    </w:rPr>
                  </w:pPr>
                  <w:r>
                    <w:rPr>
                      <w:rFonts w:hint="eastAsia"/>
                      <w:color w:val="auto"/>
                    </w:rPr>
                    <w:t>办公生活</w:t>
                  </w:r>
                </w:p>
              </w:tc>
              <w:tc>
                <w:tcPr>
                  <w:tcW w:w="762" w:type="dxa"/>
                  <w:vAlign w:val="center"/>
                </w:tcPr>
                <w:p w14:paraId="5AA81808">
                  <w:pPr>
                    <w:pStyle w:val="3"/>
                    <w:outlineLvl w:val="0"/>
                    <w:rPr>
                      <w:color w:val="auto"/>
                    </w:rPr>
                  </w:pPr>
                  <w:r>
                    <w:rPr>
                      <w:rFonts w:hint="eastAsia"/>
                      <w:color w:val="auto"/>
                    </w:rPr>
                    <w:t>固态</w:t>
                  </w:r>
                </w:p>
              </w:tc>
              <w:tc>
                <w:tcPr>
                  <w:tcW w:w="1150" w:type="dxa"/>
                  <w:vAlign w:val="center"/>
                </w:tcPr>
                <w:p w14:paraId="665CBE00">
                  <w:pPr>
                    <w:pStyle w:val="3"/>
                    <w:outlineLvl w:val="0"/>
                    <w:rPr>
                      <w:color w:val="auto"/>
                    </w:rPr>
                  </w:pPr>
                  <w:r>
                    <w:rPr>
                      <w:rFonts w:hint="eastAsia"/>
                      <w:color w:val="auto"/>
                    </w:rPr>
                    <w:t>纸屑、果皮等</w:t>
                  </w:r>
                </w:p>
              </w:tc>
              <w:tc>
                <w:tcPr>
                  <w:tcW w:w="1129" w:type="dxa"/>
                  <w:vAlign w:val="center"/>
                </w:tcPr>
                <w:p w14:paraId="549AF02A">
                  <w:pPr>
                    <w:pStyle w:val="3"/>
                    <w:outlineLvl w:val="0"/>
                    <w:rPr>
                      <w:color w:val="auto"/>
                    </w:rPr>
                  </w:pPr>
                  <w:r>
                    <w:rPr>
                      <w:rFonts w:hint="eastAsia"/>
                      <w:color w:val="auto"/>
                    </w:rPr>
                    <w:t>/</w:t>
                  </w:r>
                </w:p>
              </w:tc>
              <w:tc>
                <w:tcPr>
                  <w:tcW w:w="1275" w:type="dxa"/>
                  <w:vAlign w:val="center"/>
                </w:tcPr>
                <w:p w14:paraId="2FCD19CF">
                  <w:pPr>
                    <w:pStyle w:val="3"/>
                    <w:outlineLvl w:val="0"/>
                    <w:rPr>
                      <w:color w:val="auto"/>
                    </w:rPr>
                  </w:pPr>
                  <w:r>
                    <w:rPr>
                      <w:rFonts w:hint="eastAsia"/>
                      <w:color w:val="auto"/>
                    </w:rPr>
                    <w:t>/</w:t>
                  </w:r>
                </w:p>
              </w:tc>
              <w:tc>
                <w:tcPr>
                  <w:tcW w:w="1052" w:type="dxa"/>
                  <w:vAlign w:val="center"/>
                </w:tcPr>
                <w:p w14:paraId="407390A0">
                  <w:pPr>
                    <w:pStyle w:val="3"/>
                    <w:ind w:firstLine="0" w:firstLineChars="0"/>
                    <w:outlineLvl w:val="0"/>
                    <w:rPr>
                      <w:color w:val="auto"/>
                    </w:rPr>
                  </w:pPr>
                  <w:r>
                    <w:rPr>
                      <w:rFonts w:hint="eastAsia"/>
                      <w:color w:val="auto"/>
                      <w:szCs w:val="32"/>
                      <w:lang w:val="en-US" w:eastAsia="zh-CN"/>
                    </w:rPr>
                    <w:t>1.944</w:t>
                  </w:r>
                </w:p>
              </w:tc>
            </w:tr>
            <w:tr w14:paraId="069D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vAlign w:val="center"/>
                </w:tcPr>
                <w:p w14:paraId="7B9A7CDE">
                  <w:pPr>
                    <w:pStyle w:val="3"/>
                    <w:outlineLvl w:val="0"/>
                    <w:rPr>
                      <w:color w:val="auto"/>
                    </w:rPr>
                  </w:pPr>
                  <w:r>
                    <w:rPr>
                      <w:rFonts w:hint="eastAsia"/>
                      <w:color w:val="auto"/>
                    </w:rPr>
                    <w:t>2</w:t>
                  </w:r>
                </w:p>
              </w:tc>
              <w:tc>
                <w:tcPr>
                  <w:tcW w:w="1195" w:type="dxa"/>
                  <w:vAlign w:val="center"/>
                </w:tcPr>
                <w:p w14:paraId="76B588B0">
                  <w:pPr>
                    <w:pStyle w:val="3"/>
                    <w:outlineLvl w:val="0"/>
                    <w:rPr>
                      <w:color w:val="auto"/>
                    </w:rPr>
                  </w:pPr>
                  <w:r>
                    <w:rPr>
                      <w:rFonts w:hint="eastAsia"/>
                      <w:color w:val="auto"/>
                    </w:rPr>
                    <w:t>地面清扫粉尘</w:t>
                  </w:r>
                </w:p>
              </w:tc>
              <w:tc>
                <w:tcPr>
                  <w:tcW w:w="1382" w:type="dxa"/>
                  <w:vAlign w:val="center"/>
                </w:tcPr>
                <w:p w14:paraId="65C5E6C2">
                  <w:pPr>
                    <w:pStyle w:val="3"/>
                    <w:outlineLvl w:val="0"/>
                    <w:rPr>
                      <w:color w:val="auto"/>
                    </w:rPr>
                  </w:pPr>
                  <w:r>
                    <w:rPr>
                      <w:rFonts w:hint="eastAsia"/>
                      <w:color w:val="auto"/>
                    </w:rPr>
                    <w:t>废气治理</w:t>
                  </w:r>
                </w:p>
              </w:tc>
              <w:tc>
                <w:tcPr>
                  <w:tcW w:w="762" w:type="dxa"/>
                  <w:vAlign w:val="center"/>
                </w:tcPr>
                <w:p w14:paraId="66DBDCC7">
                  <w:pPr>
                    <w:pStyle w:val="3"/>
                    <w:outlineLvl w:val="0"/>
                    <w:rPr>
                      <w:color w:val="auto"/>
                    </w:rPr>
                  </w:pPr>
                  <w:r>
                    <w:rPr>
                      <w:rFonts w:hint="eastAsia"/>
                      <w:color w:val="auto"/>
                    </w:rPr>
                    <w:t>固态</w:t>
                  </w:r>
                </w:p>
              </w:tc>
              <w:tc>
                <w:tcPr>
                  <w:tcW w:w="1150" w:type="dxa"/>
                  <w:vAlign w:val="center"/>
                </w:tcPr>
                <w:p w14:paraId="7346B600">
                  <w:pPr>
                    <w:pStyle w:val="3"/>
                    <w:outlineLvl w:val="0"/>
                    <w:rPr>
                      <w:color w:val="auto"/>
                    </w:rPr>
                  </w:pPr>
                  <w:r>
                    <w:rPr>
                      <w:rFonts w:hint="eastAsia"/>
                      <w:color w:val="auto"/>
                    </w:rPr>
                    <w:t>颗粒物</w:t>
                  </w:r>
                </w:p>
              </w:tc>
              <w:tc>
                <w:tcPr>
                  <w:tcW w:w="1129" w:type="dxa"/>
                  <w:vAlign w:val="center"/>
                </w:tcPr>
                <w:p w14:paraId="489DD084">
                  <w:pPr>
                    <w:pStyle w:val="3"/>
                    <w:outlineLvl w:val="0"/>
                    <w:rPr>
                      <w:color w:val="auto"/>
                    </w:rPr>
                  </w:pPr>
                  <w:r>
                    <w:rPr>
                      <w:rFonts w:hint="eastAsia"/>
                      <w:color w:val="auto"/>
                    </w:rPr>
                    <w:t>一般固废</w:t>
                  </w:r>
                </w:p>
              </w:tc>
              <w:tc>
                <w:tcPr>
                  <w:tcW w:w="1275" w:type="dxa"/>
                  <w:vAlign w:val="center"/>
                </w:tcPr>
                <w:p w14:paraId="6F6277E1">
                  <w:pPr>
                    <w:pStyle w:val="3"/>
                    <w:outlineLvl w:val="0"/>
                    <w:rPr>
                      <w:color w:val="auto"/>
                    </w:rPr>
                  </w:pPr>
                  <w:r>
                    <w:rPr>
                      <w:rFonts w:hint="eastAsia"/>
                      <w:color w:val="auto"/>
                    </w:rPr>
                    <w:t>900-999-66</w:t>
                  </w:r>
                </w:p>
              </w:tc>
              <w:tc>
                <w:tcPr>
                  <w:tcW w:w="1052" w:type="dxa"/>
                  <w:vAlign w:val="center"/>
                </w:tcPr>
                <w:p w14:paraId="546793BD">
                  <w:pPr>
                    <w:pStyle w:val="3"/>
                    <w:ind w:firstLine="0" w:firstLineChars="0"/>
                    <w:outlineLvl w:val="0"/>
                    <w:rPr>
                      <w:color w:val="auto"/>
                    </w:rPr>
                  </w:pPr>
                  <w:r>
                    <w:rPr>
                      <w:rFonts w:hint="eastAsia"/>
                      <w:color w:val="auto"/>
                      <w:lang w:val="en-US" w:eastAsia="zh-CN"/>
                    </w:rPr>
                    <w:t>30.232</w:t>
                  </w:r>
                </w:p>
              </w:tc>
            </w:tr>
            <w:tr w14:paraId="1F2B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vAlign w:val="center"/>
                </w:tcPr>
                <w:p w14:paraId="62488101">
                  <w:pPr>
                    <w:pStyle w:val="3"/>
                    <w:outlineLvl w:val="0"/>
                    <w:rPr>
                      <w:color w:val="auto"/>
                    </w:rPr>
                  </w:pPr>
                  <w:r>
                    <w:rPr>
                      <w:rFonts w:hint="eastAsia"/>
                      <w:color w:val="auto"/>
                    </w:rPr>
                    <w:t>3</w:t>
                  </w:r>
                </w:p>
              </w:tc>
              <w:tc>
                <w:tcPr>
                  <w:tcW w:w="1195" w:type="dxa"/>
                  <w:vAlign w:val="center"/>
                </w:tcPr>
                <w:p w14:paraId="15BBE8A0">
                  <w:pPr>
                    <w:pStyle w:val="3"/>
                    <w:outlineLvl w:val="0"/>
                    <w:rPr>
                      <w:color w:val="auto"/>
                    </w:rPr>
                  </w:pPr>
                  <w:r>
                    <w:rPr>
                      <w:rFonts w:hint="eastAsia"/>
                      <w:color w:val="auto"/>
                    </w:rPr>
                    <w:t>沉淀池沉渣</w:t>
                  </w:r>
                </w:p>
              </w:tc>
              <w:tc>
                <w:tcPr>
                  <w:tcW w:w="1382" w:type="dxa"/>
                  <w:vAlign w:val="center"/>
                </w:tcPr>
                <w:p w14:paraId="0B6A9C9D">
                  <w:pPr>
                    <w:pStyle w:val="3"/>
                    <w:outlineLvl w:val="0"/>
                    <w:rPr>
                      <w:color w:val="auto"/>
                    </w:rPr>
                  </w:pPr>
                  <w:r>
                    <w:rPr>
                      <w:rFonts w:hint="eastAsia"/>
                      <w:color w:val="auto"/>
                    </w:rPr>
                    <w:t>沉淀池沉淀</w:t>
                  </w:r>
                </w:p>
              </w:tc>
              <w:tc>
                <w:tcPr>
                  <w:tcW w:w="762" w:type="dxa"/>
                  <w:vAlign w:val="center"/>
                </w:tcPr>
                <w:p w14:paraId="595B2A32">
                  <w:pPr>
                    <w:pStyle w:val="3"/>
                    <w:outlineLvl w:val="0"/>
                    <w:rPr>
                      <w:color w:val="auto"/>
                    </w:rPr>
                  </w:pPr>
                  <w:r>
                    <w:rPr>
                      <w:rFonts w:hint="eastAsia"/>
                      <w:color w:val="auto"/>
                    </w:rPr>
                    <w:t>固态</w:t>
                  </w:r>
                </w:p>
              </w:tc>
              <w:tc>
                <w:tcPr>
                  <w:tcW w:w="1150" w:type="dxa"/>
                  <w:vAlign w:val="center"/>
                </w:tcPr>
                <w:p w14:paraId="11125916">
                  <w:pPr>
                    <w:pStyle w:val="3"/>
                    <w:outlineLvl w:val="0"/>
                    <w:rPr>
                      <w:rFonts w:hint="eastAsia" w:eastAsia="宋体"/>
                      <w:color w:val="auto"/>
                      <w:lang w:eastAsia="zh-CN"/>
                    </w:rPr>
                  </w:pPr>
                  <w:r>
                    <w:rPr>
                      <w:rFonts w:hint="eastAsia"/>
                      <w:color w:val="auto"/>
                      <w:lang w:val="en-US" w:eastAsia="zh-CN"/>
                    </w:rPr>
                    <w:t>砂石</w:t>
                  </w:r>
                </w:p>
              </w:tc>
              <w:tc>
                <w:tcPr>
                  <w:tcW w:w="1129" w:type="dxa"/>
                  <w:vAlign w:val="center"/>
                </w:tcPr>
                <w:p w14:paraId="6BC77B58">
                  <w:pPr>
                    <w:pStyle w:val="3"/>
                    <w:outlineLvl w:val="0"/>
                    <w:rPr>
                      <w:color w:val="auto"/>
                    </w:rPr>
                  </w:pPr>
                  <w:r>
                    <w:rPr>
                      <w:rFonts w:hint="eastAsia"/>
                      <w:color w:val="auto"/>
                    </w:rPr>
                    <w:t>一般固废</w:t>
                  </w:r>
                </w:p>
              </w:tc>
              <w:tc>
                <w:tcPr>
                  <w:tcW w:w="1275" w:type="dxa"/>
                  <w:vAlign w:val="center"/>
                </w:tcPr>
                <w:p w14:paraId="1578B7EE">
                  <w:pPr>
                    <w:pStyle w:val="3"/>
                    <w:outlineLvl w:val="0"/>
                    <w:rPr>
                      <w:color w:val="auto"/>
                    </w:rPr>
                  </w:pPr>
                  <w:r>
                    <w:rPr>
                      <w:rFonts w:hint="eastAsia"/>
                      <w:color w:val="auto"/>
                    </w:rPr>
                    <w:t>900-999-99</w:t>
                  </w:r>
                </w:p>
              </w:tc>
              <w:tc>
                <w:tcPr>
                  <w:tcW w:w="1052" w:type="dxa"/>
                  <w:vAlign w:val="center"/>
                </w:tcPr>
                <w:p w14:paraId="7B090CDF">
                  <w:pPr>
                    <w:pStyle w:val="3"/>
                    <w:ind w:firstLine="0" w:firstLineChars="0"/>
                    <w:outlineLvl w:val="0"/>
                    <w:rPr>
                      <w:color w:val="auto"/>
                    </w:rPr>
                  </w:pPr>
                  <w:r>
                    <w:rPr>
                      <w:rFonts w:hint="eastAsia"/>
                      <w:color w:val="auto"/>
                    </w:rPr>
                    <w:t>2</w:t>
                  </w:r>
                </w:p>
              </w:tc>
            </w:tr>
            <w:tr w14:paraId="264D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vAlign w:val="center"/>
                </w:tcPr>
                <w:p w14:paraId="0733643A">
                  <w:pPr>
                    <w:pStyle w:val="3"/>
                    <w:ind w:firstLine="0" w:firstLineChars="0"/>
                    <w:outlineLvl w:val="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4</w:t>
                  </w:r>
                </w:p>
              </w:tc>
              <w:tc>
                <w:tcPr>
                  <w:tcW w:w="1195" w:type="dxa"/>
                  <w:vAlign w:val="center"/>
                </w:tcPr>
                <w:p w14:paraId="616DE3EA">
                  <w:pPr>
                    <w:pStyle w:val="3"/>
                    <w:ind w:firstLine="0" w:firstLineChars="0"/>
                    <w:outlineLvl w:val="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除尘器收集粉尘</w:t>
                  </w:r>
                </w:p>
              </w:tc>
              <w:tc>
                <w:tcPr>
                  <w:tcW w:w="1382" w:type="dxa"/>
                  <w:vAlign w:val="center"/>
                </w:tcPr>
                <w:p w14:paraId="3A783C55">
                  <w:pPr>
                    <w:pStyle w:val="3"/>
                    <w:outlineLvl w:val="0"/>
                    <w:rPr>
                      <w:rFonts w:hint="eastAsia"/>
                      <w:color w:val="auto"/>
                    </w:rPr>
                  </w:pPr>
                  <w:r>
                    <w:rPr>
                      <w:rFonts w:hint="eastAsia"/>
                      <w:color w:val="auto"/>
                    </w:rPr>
                    <w:t>废气治理</w:t>
                  </w:r>
                </w:p>
              </w:tc>
              <w:tc>
                <w:tcPr>
                  <w:tcW w:w="762" w:type="dxa"/>
                  <w:vAlign w:val="center"/>
                </w:tcPr>
                <w:p w14:paraId="421951CC">
                  <w:pPr>
                    <w:pStyle w:val="3"/>
                    <w:ind w:firstLine="0" w:firstLineChars="0"/>
                    <w:outlineLvl w:val="0"/>
                    <w:rPr>
                      <w:rFonts w:hint="eastAsia" w:ascii="Times New Roman" w:hAnsi="Times New Roman" w:eastAsia="宋体" w:cs="Times New Roman"/>
                      <w:color w:val="auto"/>
                      <w:kern w:val="44"/>
                      <w:sz w:val="21"/>
                      <w:szCs w:val="24"/>
                      <w:lang w:val="en-US" w:eastAsia="zh-CN" w:bidi="ar-SA"/>
                    </w:rPr>
                  </w:pPr>
                  <w:r>
                    <w:rPr>
                      <w:rFonts w:hint="eastAsia"/>
                      <w:color w:val="auto"/>
                    </w:rPr>
                    <w:t>固态</w:t>
                  </w:r>
                </w:p>
              </w:tc>
              <w:tc>
                <w:tcPr>
                  <w:tcW w:w="1150" w:type="dxa"/>
                  <w:vAlign w:val="center"/>
                </w:tcPr>
                <w:p w14:paraId="17D3264D">
                  <w:pPr>
                    <w:pStyle w:val="3"/>
                    <w:ind w:firstLine="0" w:firstLineChars="0"/>
                    <w:outlineLvl w:val="0"/>
                    <w:rPr>
                      <w:rFonts w:hint="eastAsia" w:ascii="Times New Roman" w:hAnsi="Times New Roman" w:eastAsia="宋体" w:cs="Times New Roman"/>
                      <w:color w:val="auto"/>
                      <w:kern w:val="44"/>
                      <w:sz w:val="21"/>
                      <w:szCs w:val="24"/>
                      <w:lang w:val="en-US" w:eastAsia="zh-CN" w:bidi="ar-SA"/>
                    </w:rPr>
                  </w:pPr>
                  <w:r>
                    <w:rPr>
                      <w:rFonts w:hint="eastAsia"/>
                      <w:color w:val="auto"/>
                    </w:rPr>
                    <w:t>颗粒物</w:t>
                  </w:r>
                </w:p>
              </w:tc>
              <w:tc>
                <w:tcPr>
                  <w:tcW w:w="1129" w:type="dxa"/>
                  <w:vAlign w:val="center"/>
                </w:tcPr>
                <w:p w14:paraId="7D038FD5">
                  <w:pPr>
                    <w:pStyle w:val="3"/>
                    <w:ind w:firstLine="0" w:firstLineChars="0"/>
                    <w:outlineLvl w:val="0"/>
                    <w:rPr>
                      <w:rFonts w:hint="eastAsia" w:ascii="Times New Roman" w:hAnsi="Times New Roman" w:eastAsia="宋体" w:cs="Times New Roman"/>
                      <w:color w:val="auto"/>
                      <w:kern w:val="44"/>
                      <w:sz w:val="21"/>
                      <w:szCs w:val="24"/>
                      <w:lang w:val="en-US" w:eastAsia="zh-CN" w:bidi="ar-SA"/>
                    </w:rPr>
                  </w:pPr>
                  <w:r>
                    <w:rPr>
                      <w:rFonts w:hint="eastAsia"/>
                      <w:color w:val="auto"/>
                    </w:rPr>
                    <w:t>一般固废</w:t>
                  </w:r>
                </w:p>
              </w:tc>
              <w:tc>
                <w:tcPr>
                  <w:tcW w:w="1275" w:type="dxa"/>
                  <w:vAlign w:val="center"/>
                </w:tcPr>
                <w:p w14:paraId="2362D1D3">
                  <w:pPr>
                    <w:pStyle w:val="3"/>
                    <w:outlineLvl w:val="0"/>
                    <w:rPr>
                      <w:rFonts w:hint="eastAsia"/>
                      <w:color w:val="auto"/>
                    </w:rPr>
                  </w:pPr>
                  <w:r>
                    <w:rPr>
                      <w:rFonts w:cs="宋体"/>
                      <w:color w:val="auto"/>
                      <w:spacing w:val="-7"/>
                      <w:szCs w:val="24"/>
                    </w:rPr>
                    <w:t>900-999-66</w:t>
                  </w:r>
                </w:p>
              </w:tc>
              <w:tc>
                <w:tcPr>
                  <w:tcW w:w="1052" w:type="dxa"/>
                  <w:vAlign w:val="center"/>
                </w:tcPr>
                <w:p w14:paraId="240F6FD2">
                  <w:pPr>
                    <w:pStyle w:val="3"/>
                    <w:ind w:firstLine="0" w:firstLineChars="0"/>
                    <w:outlineLvl w:val="0"/>
                    <w:rPr>
                      <w:rFonts w:hint="default" w:eastAsia="宋体"/>
                      <w:color w:val="auto"/>
                      <w:lang w:val="en-US" w:eastAsia="zh-CN"/>
                    </w:rPr>
                  </w:pPr>
                  <w:r>
                    <w:rPr>
                      <w:rFonts w:hint="default" w:eastAsia="宋体"/>
                      <w:color w:val="auto"/>
                      <w:lang w:val="en-US" w:eastAsia="zh-CN"/>
                    </w:rPr>
                    <w:t>26.232</w:t>
                  </w:r>
                </w:p>
              </w:tc>
            </w:tr>
            <w:tr w14:paraId="3C1B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vAlign w:val="center"/>
                </w:tcPr>
                <w:p w14:paraId="10EBC97D">
                  <w:pPr>
                    <w:pStyle w:val="3"/>
                    <w:ind w:firstLine="0" w:firstLineChars="0"/>
                    <w:outlineLvl w:val="0"/>
                    <w:rPr>
                      <w:rFonts w:hint="default"/>
                      <w:color w:val="auto"/>
                      <w:lang w:val="en-US" w:eastAsia="zh-CN"/>
                    </w:rPr>
                  </w:pPr>
                  <w:r>
                    <w:rPr>
                      <w:rFonts w:hint="eastAsia"/>
                      <w:color w:val="auto"/>
                      <w:lang w:val="en-US" w:eastAsia="zh-CN"/>
                    </w:rPr>
                    <w:t>5</w:t>
                  </w:r>
                </w:p>
              </w:tc>
              <w:tc>
                <w:tcPr>
                  <w:tcW w:w="1195" w:type="dxa"/>
                  <w:vAlign w:val="center"/>
                </w:tcPr>
                <w:p w14:paraId="5CF8568D">
                  <w:pPr>
                    <w:pStyle w:val="3"/>
                    <w:ind w:firstLine="0" w:firstLineChars="0"/>
                    <w:outlineLvl w:val="0"/>
                    <w:rPr>
                      <w:rFonts w:hint="eastAsia"/>
                      <w:color w:val="auto"/>
                      <w:lang w:val="en-US" w:eastAsia="zh-CN"/>
                    </w:rPr>
                  </w:pPr>
                  <w:r>
                    <w:rPr>
                      <w:rFonts w:hint="eastAsia"/>
                      <w:color w:val="auto"/>
                      <w:lang w:val="en-US" w:eastAsia="zh-CN"/>
                    </w:rPr>
                    <w:t>废机油、废机油桶</w:t>
                  </w:r>
                </w:p>
              </w:tc>
              <w:tc>
                <w:tcPr>
                  <w:tcW w:w="1382" w:type="dxa"/>
                  <w:vAlign w:val="center"/>
                </w:tcPr>
                <w:p w14:paraId="272B193A">
                  <w:pPr>
                    <w:pStyle w:val="3"/>
                    <w:outlineLvl w:val="0"/>
                    <w:rPr>
                      <w:rFonts w:hint="default" w:eastAsia="宋体"/>
                      <w:color w:val="auto"/>
                      <w:lang w:val="en-US" w:eastAsia="zh-CN"/>
                    </w:rPr>
                  </w:pPr>
                  <w:r>
                    <w:rPr>
                      <w:rFonts w:hint="eastAsia"/>
                      <w:color w:val="auto"/>
                      <w:lang w:val="en-US" w:eastAsia="zh-CN"/>
                    </w:rPr>
                    <w:t>设备维修</w:t>
                  </w:r>
                </w:p>
              </w:tc>
              <w:tc>
                <w:tcPr>
                  <w:tcW w:w="762" w:type="dxa"/>
                  <w:vAlign w:val="center"/>
                </w:tcPr>
                <w:p w14:paraId="28D303B7">
                  <w:pPr>
                    <w:pStyle w:val="3"/>
                    <w:ind w:firstLine="0" w:firstLineChars="0"/>
                    <w:outlineLvl w:val="0"/>
                    <w:rPr>
                      <w:rFonts w:hint="eastAsia"/>
                      <w:color w:val="auto"/>
                    </w:rPr>
                  </w:pPr>
                  <w:r>
                    <w:rPr>
                      <w:rFonts w:hint="eastAsia"/>
                      <w:color w:val="auto"/>
                    </w:rPr>
                    <w:t>固态</w:t>
                  </w:r>
                </w:p>
              </w:tc>
              <w:tc>
                <w:tcPr>
                  <w:tcW w:w="1150" w:type="dxa"/>
                  <w:vAlign w:val="center"/>
                </w:tcPr>
                <w:p w14:paraId="58831D56">
                  <w:pPr>
                    <w:pStyle w:val="3"/>
                    <w:ind w:firstLine="0" w:firstLineChars="0"/>
                    <w:outlineLvl w:val="0"/>
                    <w:rPr>
                      <w:rFonts w:hint="eastAsia" w:eastAsia="宋体"/>
                      <w:color w:val="auto"/>
                      <w:lang w:val="en-US" w:eastAsia="zh-CN"/>
                    </w:rPr>
                  </w:pPr>
                  <w:r>
                    <w:rPr>
                      <w:rFonts w:hint="eastAsia"/>
                      <w:color w:val="auto"/>
                      <w:lang w:val="en-US" w:eastAsia="zh-CN"/>
                    </w:rPr>
                    <w:t>机油</w:t>
                  </w:r>
                </w:p>
              </w:tc>
              <w:tc>
                <w:tcPr>
                  <w:tcW w:w="1129" w:type="dxa"/>
                  <w:vAlign w:val="center"/>
                </w:tcPr>
                <w:p w14:paraId="5ADAA730">
                  <w:pPr>
                    <w:pStyle w:val="3"/>
                    <w:ind w:firstLine="0" w:firstLineChars="0"/>
                    <w:outlineLvl w:val="0"/>
                    <w:rPr>
                      <w:rFonts w:hint="default" w:eastAsia="宋体"/>
                      <w:color w:val="auto"/>
                      <w:lang w:val="en-US" w:eastAsia="zh-CN"/>
                    </w:rPr>
                  </w:pPr>
                  <w:r>
                    <w:rPr>
                      <w:rFonts w:hint="eastAsia"/>
                      <w:color w:val="auto"/>
                      <w:lang w:val="en-US" w:eastAsia="zh-CN"/>
                    </w:rPr>
                    <w:t>危险固废</w:t>
                  </w:r>
                </w:p>
              </w:tc>
              <w:tc>
                <w:tcPr>
                  <w:tcW w:w="1275" w:type="dxa"/>
                  <w:vAlign w:val="center"/>
                </w:tcPr>
                <w:p w14:paraId="1A99544D">
                  <w:pPr>
                    <w:pStyle w:val="3"/>
                    <w:outlineLvl w:val="0"/>
                    <w:rPr>
                      <w:rFonts w:cs="宋体"/>
                      <w:color w:val="auto"/>
                      <w:spacing w:val="-7"/>
                      <w:szCs w:val="24"/>
                    </w:rPr>
                  </w:pPr>
                  <w:r>
                    <w:rPr>
                      <w:rFonts w:hint="default" w:cs="宋体"/>
                      <w:color w:val="auto"/>
                      <w:spacing w:val="-7"/>
                      <w:szCs w:val="24"/>
                      <w:lang w:val="en-US" w:eastAsia="zh-CN"/>
                    </w:rPr>
                    <w:t>900-249-08</w:t>
                  </w:r>
                </w:p>
              </w:tc>
              <w:tc>
                <w:tcPr>
                  <w:tcW w:w="1052" w:type="dxa"/>
                  <w:vAlign w:val="center"/>
                </w:tcPr>
                <w:p w14:paraId="06429EBD">
                  <w:pPr>
                    <w:pStyle w:val="3"/>
                    <w:ind w:firstLine="0" w:firstLineChars="0"/>
                    <w:outlineLvl w:val="0"/>
                    <w:rPr>
                      <w:rFonts w:hint="default" w:eastAsia="宋体"/>
                      <w:color w:val="auto"/>
                      <w:lang w:val="en-US" w:eastAsia="zh-CN"/>
                    </w:rPr>
                  </w:pPr>
                  <w:r>
                    <w:rPr>
                      <w:rFonts w:hint="eastAsia"/>
                      <w:color w:val="auto"/>
                      <w:lang w:val="en-US" w:eastAsia="zh-CN"/>
                    </w:rPr>
                    <w:t>0.2</w:t>
                  </w:r>
                </w:p>
              </w:tc>
            </w:tr>
          </w:tbl>
          <w:p w14:paraId="70C7BF1B">
            <w:pPr>
              <w:pStyle w:val="9"/>
              <w:spacing w:line="360" w:lineRule="auto"/>
              <w:ind w:firstLine="482"/>
              <w:rPr>
                <w:color w:val="auto"/>
              </w:rPr>
            </w:pPr>
            <w:r>
              <w:rPr>
                <w:rFonts w:hint="eastAsia"/>
                <w:b/>
                <w:bCs/>
                <w:color w:val="auto"/>
              </w:rPr>
              <w:t>环</w:t>
            </w:r>
            <w:r>
              <w:rPr>
                <w:b/>
                <w:bCs/>
                <w:color w:val="auto"/>
              </w:rPr>
              <w:t>评要求企业按如下要求进一步规范建设</w:t>
            </w:r>
            <w:r>
              <w:rPr>
                <w:rFonts w:hint="eastAsia"/>
                <w:b/>
                <w:bCs/>
                <w:color w:val="auto"/>
                <w:lang w:eastAsia="zh-CN"/>
              </w:rPr>
              <w:t>一般工业固体废物暂存场所</w:t>
            </w:r>
            <w:r>
              <w:rPr>
                <w:b/>
                <w:bCs/>
                <w:color w:val="auto"/>
              </w:rPr>
              <w:t>：</w:t>
            </w:r>
          </w:p>
          <w:p w14:paraId="0CA5AD59">
            <w:pPr>
              <w:pStyle w:val="9"/>
              <w:spacing w:line="360" w:lineRule="auto"/>
              <w:ind w:firstLine="480"/>
              <w:rPr>
                <w:color w:val="auto"/>
              </w:rPr>
            </w:pPr>
            <w:r>
              <w:rPr>
                <w:rFonts w:hint="eastAsia"/>
                <w:color w:val="auto"/>
                <w:lang w:eastAsia="zh-CN"/>
              </w:rPr>
              <w:t>（</w:t>
            </w:r>
            <w:r>
              <w:rPr>
                <w:rFonts w:hint="eastAsia"/>
                <w:color w:val="auto"/>
                <w:lang w:val="en-US" w:eastAsia="zh-CN"/>
              </w:rPr>
              <w:t>1</w:t>
            </w:r>
            <w:r>
              <w:rPr>
                <w:rFonts w:hint="eastAsia"/>
                <w:color w:val="auto"/>
                <w:lang w:eastAsia="zh-CN"/>
              </w:rPr>
              <w:t>）一般工业固体废物暂存场所</w:t>
            </w:r>
            <w:r>
              <w:rPr>
                <w:color w:val="auto"/>
              </w:rPr>
              <w:t>的设置</w:t>
            </w:r>
            <w:r>
              <w:rPr>
                <w:rFonts w:hint="eastAsia"/>
                <w:color w:val="auto"/>
              </w:rPr>
              <w:t>要求</w:t>
            </w:r>
            <w:r>
              <w:rPr>
                <w:color w:val="auto"/>
              </w:rPr>
              <w:t>：</w:t>
            </w:r>
          </w:p>
          <w:p w14:paraId="49ADFE95">
            <w:pPr>
              <w:pStyle w:val="9"/>
              <w:spacing w:line="360" w:lineRule="auto"/>
              <w:ind w:firstLine="480"/>
              <w:rPr>
                <w:color w:val="auto"/>
              </w:rPr>
            </w:pPr>
            <w:r>
              <w:rPr>
                <w:color w:val="auto"/>
              </w:rPr>
              <w:t>a、设分区暂存，确保各类一般固废得到合理处置；</w:t>
            </w:r>
          </w:p>
          <w:p w14:paraId="07149905">
            <w:pPr>
              <w:pStyle w:val="9"/>
              <w:spacing w:line="360" w:lineRule="auto"/>
              <w:ind w:firstLine="480"/>
              <w:rPr>
                <w:color w:val="auto"/>
              </w:rPr>
            </w:pPr>
            <w:r>
              <w:rPr>
                <w:color w:val="auto"/>
              </w:rPr>
              <w:t>b、防扬散、防流失、防渗漏，分区暂存各固废；</w:t>
            </w:r>
          </w:p>
          <w:p w14:paraId="56020F7D">
            <w:pPr>
              <w:pStyle w:val="9"/>
              <w:spacing w:line="360" w:lineRule="auto"/>
              <w:ind w:firstLine="480"/>
              <w:rPr>
                <w:color w:val="auto"/>
              </w:rPr>
            </w:pPr>
            <w:r>
              <w:rPr>
                <w:color w:val="auto"/>
              </w:rPr>
              <w:t>c、一般固废在运输过程中要防止散落地面，以免产生二次污染；</w:t>
            </w:r>
          </w:p>
          <w:p w14:paraId="3A2A391A">
            <w:pPr>
              <w:pStyle w:val="9"/>
              <w:spacing w:line="360" w:lineRule="auto"/>
              <w:ind w:firstLine="480"/>
              <w:rPr>
                <w:color w:val="auto"/>
              </w:rPr>
            </w:pPr>
            <w:r>
              <w:rPr>
                <w:color w:val="auto"/>
              </w:rPr>
              <w:t>d、一般固废均按其资源化、无害化的方式进行处置；</w:t>
            </w:r>
          </w:p>
          <w:p w14:paraId="7AD6A90F">
            <w:pPr>
              <w:pStyle w:val="10"/>
              <w:rPr>
                <w:color w:val="auto"/>
              </w:rPr>
            </w:pPr>
            <w:r>
              <w:rPr>
                <w:color w:val="auto"/>
              </w:rPr>
              <w:t>e、场所地面与裙角要用</w:t>
            </w:r>
            <w:r>
              <w:rPr>
                <w:rFonts w:hint="eastAsia"/>
                <w:lang w:val="en-US" w:eastAsia="zh-CN"/>
              </w:rPr>
              <w:t>坚固</w:t>
            </w:r>
            <w:r>
              <w:rPr>
                <w:color w:val="auto"/>
              </w:rPr>
              <w:t>、防渗的建筑材料建造，基础必须防渗，应设计建造径流疏导系统，保证能防止暴雨不会流到临时堆放的场所；</w:t>
            </w:r>
          </w:p>
          <w:p w14:paraId="6AA45505">
            <w:pPr>
              <w:pStyle w:val="10"/>
              <w:rPr>
                <w:color w:val="auto"/>
              </w:rPr>
            </w:pPr>
            <w:r>
              <w:rPr>
                <w:color w:val="auto"/>
              </w:rPr>
              <w:t>f、</w:t>
            </w:r>
            <w:r>
              <w:rPr>
                <w:rFonts w:hint="eastAsia"/>
                <w:color w:val="auto"/>
              </w:rPr>
              <w:t>“</w:t>
            </w:r>
            <w:r>
              <w:rPr>
                <w:color w:val="auto"/>
              </w:rPr>
              <w:t>防风、防雨、防晒</w:t>
            </w:r>
            <w:r>
              <w:rPr>
                <w:rFonts w:hint="eastAsia"/>
                <w:color w:val="auto"/>
              </w:rPr>
              <w:t>”</w:t>
            </w:r>
            <w:r>
              <w:rPr>
                <w:color w:val="auto"/>
              </w:rPr>
              <w:t>，外围设置围堰，并做好密闭处理，禁止危险废物及生活</w:t>
            </w:r>
            <w:r>
              <w:rPr>
                <w:rFonts w:hint="eastAsia"/>
                <w:lang w:val="en-US" w:eastAsia="zh-CN"/>
              </w:rPr>
              <w:t>垃圾</w:t>
            </w:r>
            <w:r>
              <w:rPr>
                <w:color w:val="auto"/>
              </w:rPr>
              <w:t>混入。</w:t>
            </w:r>
          </w:p>
          <w:p w14:paraId="1582E42D">
            <w:pPr>
              <w:widowControl w:val="0"/>
              <w:wordWrap/>
              <w:adjustRightInd/>
              <w:snapToGrid/>
              <w:spacing w:before="0" w:beforeAutospacing="0" w:after="0" w:afterAutospacing="0"/>
              <w:ind w:left="0" w:right="0" w:firstLine="480" w:firstLineChars="200"/>
              <w:jc w:val="left"/>
              <w:textAlignment w:val="auto"/>
              <w:rPr>
                <w:rFonts w:hint="eastAsia"/>
                <w:color w:val="auto"/>
                <w:lang w:eastAsia="zh-CN"/>
              </w:rPr>
            </w:pPr>
            <w:r>
              <w:rPr>
                <w:rFonts w:hint="eastAsia"/>
                <w:color w:val="auto"/>
                <w:lang w:val="en-US" w:eastAsia="zh-CN"/>
              </w:rPr>
              <w:t>现有工程一般固废体积约为10m</w:t>
            </w:r>
            <w:r>
              <w:rPr>
                <w:rFonts w:hint="eastAsia"/>
                <w:color w:val="auto"/>
                <w:vertAlign w:val="superscript"/>
                <w:lang w:val="en-US" w:eastAsia="zh-CN"/>
              </w:rPr>
              <w:t>3</w:t>
            </w:r>
            <w:r>
              <w:rPr>
                <w:rFonts w:hint="eastAsia"/>
                <w:color w:val="auto"/>
                <w:lang w:val="en-US" w:eastAsia="zh-CN"/>
              </w:rPr>
              <w:t>，本次扩建项目一般固废体积约为</w:t>
            </w:r>
            <w:r>
              <w:rPr>
                <w:rFonts w:hint="eastAsia"/>
                <w:color w:val="auto"/>
                <w:vertAlign w:val="superscript"/>
                <w:lang w:val="en-US" w:eastAsia="zh-CN"/>
              </w:rPr>
              <w:t>5m3</w:t>
            </w:r>
            <w:r>
              <w:rPr>
                <w:rFonts w:hint="eastAsia"/>
                <w:color w:val="auto"/>
                <w:lang w:val="en-US" w:eastAsia="zh-CN"/>
              </w:rPr>
              <w:t>，且一般工业固体废物暂存场所已做</w:t>
            </w:r>
            <w:r>
              <w:rPr>
                <w:rFonts w:hint="eastAsia"/>
                <w:color w:val="auto"/>
                <w:lang w:eastAsia="zh-CN"/>
              </w:rPr>
              <w:t>简单防渗，</w:t>
            </w:r>
            <w:r>
              <w:rPr>
                <w:rFonts w:hint="eastAsia"/>
                <w:color w:val="auto"/>
                <w:lang w:val="en-US" w:eastAsia="zh-CN"/>
              </w:rPr>
              <w:t>因此，本项目依托现有一般工业固体废物暂存场所是可行的</w:t>
            </w:r>
          </w:p>
          <w:p w14:paraId="34C25AFC">
            <w:pPr>
              <w:widowControl w:val="0"/>
              <w:wordWrap/>
              <w:adjustRightInd/>
              <w:snapToGrid/>
              <w:spacing w:before="0" w:beforeAutospacing="0" w:after="0" w:afterAutospacing="0"/>
              <w:ind w:left="0" w:right="0"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default" w:ascii="Times New Roman" w:hAnsi="Times New Roman" w:eastAsia="宋体" w:cs="Times New Roman"/>
                <w:color w:val="auto"/>
                <w:kern w:val="0"/>
                <w:sz w:val="24"/>
                <w:szCs w:val="24"/>
                <w:lang w:val="en-US" w:eastAsia="zh-CN"/>
              </w:rPr>
              <w:t>危险废物贮存库建设要求</w:t>
            </w:r>
          </w:p>
          <w:p w14:paraId="61B35C0C">
            <w:pPr>
              <w:pStyle w:val="1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highlight w:val="none"/>
                <w:lang w:val="en-US" w:eastAsia="zh-CN"/>
              </w:rPr>
              <w:t>执行《危险废物贮存污染控制标准》（GB 18597—2023）中相关标准要求</w:t>
            </w:r>
            <w:r>
              <w:rPr>
                <w:rFonts w:hint="default" w:ascii="Times New Roman" w:hAnsi="Times New Roman" w:eastAsia="宋体" w:cs="Times New Roman"/>
                <w:color w:val="auto"/>
                <w:kern w:val="0"/>
                <w:sz w:val="24"/>
                <w:szCs w:val="24"/>
                <w:lang w:val="en-US" w:eastAsia="zh-CN"/>
              </w:rPr>
              <w:t>，危险废物在收集时，应清楚废物的类别及主要成</w:t>
            </w:r>
            <w:r>
              <w:rPr>
                <w:rFonts w:hint="eastAsia"/>
                <w:lang w:val="en-US" w:eastAsia="zh-CN"/>
              </w:rPr>
              <w:t>分</w:t>
            </w:r>
            <w:r>
              <w:rPr>
                <w:rFonts w:hint="default" w:ascii="Times New Roman" w:hAnsi="Times New Roman" w:eastAsia="宋体" w:cs="Times New Roman"/>
                <w:color w:val="auto"/>
                <w:kern w:val="0"/>
                <w:sz w:val="24"/>
                <w:szCs w:val="24"/>
                <w:lang w:val="en-US" w:eastAsia="zh-CN"/>
              </w:rPr>
              <w:t>并标注说明，以方便委托处理单位处理；应根据危险废物的性质和形态分类收集，采用符合标准要求的容器进行包装，所有包装容器应足够安全，并经过周密检查，严防在装载、搬移或运输途中出现渗漏、溢出、抛洒或挥发等情况。实施危险废物转移联单制度，对危险废物进行安全包装，并在包装的明显位置附上危险废物标签。</w:t>
            </w:r>
          </w:p>
          <w:p w14:paraId="376A12C3">
            <w:pPr>
              <w:widowControl w:val="0"/>
              <w:wordWrap/>
              <w:adjustRightInd/>
              <w:snapToGrid/>
              <w:spacing w:before="0" w:beforeAutospacing="0" w:after="0" w:afterAutospacing="0"/>
              <w:ind w:left="0" w:right="0"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日常管理中，企业须做好危险废物的申报登记，建立台帐管理制度，记录上须注明危险废物的名称、来源、数量、特征和包装容器的类别、入库时间、存放位置、废物出库日期及接受单位名称。同时在危险废物转运的时候必须报请当地环保局批准，同时填写危险废物转运单。企业须按照国家有关规定处置危险废物，不得擅自倾倒、堆放。收集、贮存危险废物须按照危险废物特性分类进行。禁止混合收集、贮存、运输、处置性质不相容而未经安全性处置的危险废物。</w:t>
            </w:r>
          </w:p>
          <w:p w14:paraId="5E0E5F7D">
            <w:pPr>
              <w:widowControl w:val="0"/>
              <w:wordWrap/>
              <w:adjustRightInd/>
              <w:snapToGrid/>
              <w:spacing w:before="0" w:beforeAutospacing="0" w:after="0" w:afterAutospacing="0"/>
              <w:ind w:left="0" w:right="0"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危险废物的运输车辆须经主管单位检查，并持有有关单位签发的许可证，负责运输的司机应通过培训，持有证明文件。</w:t>
            </w:r>
          </w:p>
          <w:p w14:paraId="61C4A68C">
            <w:pPr>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现有工程危险固废体积约为5m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，本次扩建项目危险固废体积约为2m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，危险废物贮存库根据《危险废物贮存污染控制标准》（GB 18597-2023）要求，Mb≥1.0m、K≤1×10</w:t>
            </w:r>
            <w:r>
              <w:rPr>
                <w:rFonts w:hint="default" w:ascii="Times New Roman" w:hAnsi="Times New Roman" w:eastAsia="宋体" w:cs="Times New Roman"/>
                <w:color w:val="auto"/>
                <w:kern w:val="0"/>
                <w:sz w:val="24"/>
                <w:szCs w:val="24"/>
                <w:vertAlign w:val="superscript"/>
                <w:lang w:val="en-US" w:eastAsia="zh-CN"/>
              </w:rPr>
              <w:t>-7</w:t>
            </w:r>
            <w:r>
              <w:rPr>
                <w:rFonts w:hint="default" w:ascii="Times New Roman" w:hAnsi="Times New Roman" w:eastAsia="宋体" w:cs="Times New Roman"/>
                <w:color w:val="auto"/>
                <w:kern w:val="0"/>
                <w:sz w:val="24"/>
                <w:szCs w:val="24"/>
                <w:lang w:val="en-US" w:eastAsia="zh-CN"/>
              </w:rPr>
              <w:t>cm/s，已做重点防渗。因此，本项目依托现有危险废物贮存库是可行的</w:t>
            </w:r>
            <w:r>
              <w:rPr>
                <w:rFonts w:hint="eastAsia" w:cs="Times New Roman"/>
                <w:color w:val="auto"/>
                <w:kern w:val="0"/>
                <w:sz w:val="24"/>
                <w:szCs w:val="24"/>
                <w:lang w:val="en-US" w:eastAsia="zh-CN"/>
              </w:rPr>
              <w:t>。</w:t>
            </w:r>
          </w:p>
          <w:p w14:paraId="5435DEE8">
            <w:pPr>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综上，项目产生的各类固废均能得到综合利用和妥善处理，满足环保要求，对环境影响较小。</w:t>
            </w:r>
          </w:p>
          <w:p w14:paraId="7B788280">
            <w:pPr>
              <w:ind w:firstLine="0" w:firstLineChars="0"/>
              <w:rPr>
                <w:b/>
                <w:bCs/>
                <w:color w:val="auto"/>
              </w:rPr>
            </w:pPr>
            <w:r>
              <w:rPr>
                <w:rFonts w:hint="eastAsia"/>
                <w:b/>
                <w:bCs/>
                <w:color w:val="auto"/>
              </w:rPr>
              <w:t>5</w:t>
            </w:r>
            <w:r>
              <w:rPr>
                <w:b/>
                <w:bCs/>
                <w:color w:val="auto"/>
              </w:rPr>
              <w:t>、地下水</w:t>
            </w:r>
            <w:r>
              <w:rPr>
                <w:rFonts w:hint="eastAsia"/>
                <w:b/>
                <w:bCs/>
                <w:color w:val="auto"/>
              </w:rPr>
              <w:t>、土壤</w:t>
            </w:r>
            <w:r>
              <w:rPr>
                <w:b/>
                <w:bCs/>
                <w:color w:val="auto"/>
              </w:rPr>
              <w:t>影响分析</w:t>
            </w:r>
          </w:p>
          <w:p w14:paraId="30EF812B">
            <w:pPr>
              <w:ind w:firstLine="480"/>
              <w:rPr>
                <w:color w:val="auto"/>
              </w:rPr>
            </w:pPr>
            <w:r>
              <w:rPr>
                <w:rFonts w:hint="eastAsia"/>
                <w:color w:val="auto"/>
              </w:rPr>
              <w:t>厂区雨污分流制，经隔油池处理的食堂废水汇同生活污水经化粪池处理后，吸粪车定期抽运；车辆冲洗废水、道路冲洗废水</w:t>
            </w:r>
            <w:r>
              <w:rPr>
                <w:rFonts w:hint="eastAsia"/>
                <w:color w:val="auto"/>
                <w:lang w:eastAsia="zh-CN"/>
              </w:rPr>
              <w:t>、</w:t>
            </w:r>
            <w:r>
              <w:rPr>
                <w:rFonts w:hint="eastAsia"/>
                <w:color w:val="auto"/>
                <w:lang w:val="en-US" w:eastAsia="zh-CN"/>
              </w:rPr>
              <w:t>设备冲洗废水</w:t>
            </w:r>
            <w:r>
              <w:rPr>
                <w:rFonts w:hint="eastAsia"/>
                <w:color w:val="auto"/>
              </w:rPr>
              <w:t>经二级沉淀池处理后循环使用，不外排</w:t>
            </w:r>
            <w:r>
              <w:rPr>
                <w:color w:val="auto"/>
              </w:rPr>
              <w:t>。为避免对地下水体</w:t>
            </w:r>
            <w:r>
              <w:rPr>
                <w:rFonts w:hint="eastAsia"/>
                <w:color w:val="auto"/>
              </w:rPr>
              <w:t>、土壤</w:t>
            </w:r>
            <w:r>
              <w:rPr>
                <w:color w:val="auto"/>
              </w:rPr>
              <w:t>造成影响，建设单位采取主动控制（源头控制措施）及被动控制（末端控制措施）相结合的措施。</w:t>
            </w:r>
          </w:p>
          <w:p w14:paraId="0D0DA9A7">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 1 \* GB3 \* MERGEFORMAT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rPr>
              <w:t>①</w:t>
            </w:r>
            <w:r>
              <w:rPr>
                <w:rFonts w:hint="default" w:ascii="Times New Roman" w:hAnsi="Times New Roman" w:eastAsia="宋体" w:cs="Times New Roman"/>
                <w:kern w:val="0"/>
                <w:sz w:val="24"/>
                <w:szCs w:val="24"/>
              </w:rPr>
              <w:fldChar w:fldCharType="end"/>
            </w:r>
            <w:r>
              <w:rPr>
                <w:rFonts w:hint="default" w:ascii="Times New Roman" w:hAnsi="Times New Roman" w:eastAsia="宋体" w:cs="Times New Roman"/>
                <w:kern w:val="0"/>
                <w:sz w:val="24"/>
                <w:szCs w:val="24"/>
              </w:rPr>
              <w:t>主动控制（源头控制措施）</w:t>
            </w:r>
          </w:p>
          <w:p w14:paraId="3E3934A4">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要包括在工艺、设备、物料输送管道、污水输送管线采取相应措施，防止和降低污染物跑、冒、滴、漏，将污染物泄漏的风险事故降到最低。例如针对事故废水设置事故水池、污水管网设置切换阀等，确保发生事故时产生的事故废水能够及时收集进入消防事故池，并通过控制切换阀防止事故废水直接外排；建设单位已制定严格的管理措施，设专人定时对</w:t>
            </w:r>
            <w:r>
              <w:rPr>
                <w:rFonts w:hint="default" w:ascii="Times New Roman" w:hAnsi="Times New Roman" w:eastAsia="宋体" w:cs="Times New Roman"/>
                <w:kern w:val="0"/>
                <w:sz w:val="24"/>
                <w:szCs w:val="24"/>
                <w:lang w:val="en-US" w:eastAsia="zh-CN"/>
              </w:rPr>
              <w:t>本项目室</w:t>
            </w:r>
            <w:r>
              <w:rPr>
                <w:rFonts w:hint="default" w:ascii="Times New Roman" w:hAnsi="Times New Roman" w:eastAsia="宋体" w:cs="Times New Roman"/>
                <w:kern w:val="0"/>
                <w:sz w:val="24"/>
                <w:szCs w:val="24"/>
              </w:rPr>
              <w:t>内管道进行巡检，要求巡检人员对发现的跑冒滴漏现象要及时上报，对出现的问题要求及时妥善处置。同时也要加强对管道、阀门采购的质量管理，如发现问题，应及时更换。</w:t>
            </w:r>
          </w:p>
          <w:p w14:paraId="4F83B0C7">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 2 \* GB3 \* MERGEFORMAT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rPr>
              <w:t>②</w:t>
            </w:r>
            <w:r>
              <w:rPr>
                <w:rFonts w:hint="default" w:ascii="Times New Roman" w:hAnsi="Times New Roman" w:eastAsia="宋体" w:cs="Times New Roman"/>
                <w:kern w:val="0"/>
                <w:sz w:val="24"/>
                <w:szCs w:val="24"/>
              </w:rPr>
              <w:fldChar w:fldCharType="end"/>
            </w:r>
            <w:r>
              <w:rPr>
                <w:rFonts w:hint="default" w:ascii="Times New Roman" w:hAnsi="Times New Roman" w:eastAsia="宋体" w:cs="Times New Roman"/>
                <w:kern w:val="0"/>
                <w:sz w:val="24"/>
                <w:szCs w:val="24"/>
              </w:rPr>
              <w:t>被动控制（末端控制措施）</w:t>
            </w:r>
          </w:p>
          <w:p w14:paraId="0121D4AD">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主要包括厂内污染区地面的防渗措施和泄漏、渗漏污染物的收集措施，即在污染区地面进行防渗处理，防止撒落在地面上的污染物渗入地下，并把滞留在地面上的污染物收集起来，集中处理。</w:t>
            </w:r>
          </w:p>
          <w:p w14:paraId="1F93377B">
            <w:pPr>
              <w:widowControl w:val="0"/>
              <w:wordWrap w:val="0"/>
              <w:topLinePunct/>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0"/>
                <w:sz w:val="24"/>
                <w:szCs w:val="24"/>
                <w:lang w:val="en-US"/>
              </w:rPr>
            </w:pPr>
            <w:r>
              <w:rPr>
                <w:rFonts w:hint="default" w:ascii="Times New Roman" w:hAnsi="Times New Roman" w:eastAsia="宋体" w:cs="Times New Roman"/>
                <w:color w:val="auto"/>
                <w:kern w:val="0"/>
                <w:sz w:val="24"/>
                <w:szCs w:val="24"/>
                <w:lang w:val="en-US" w:eastAsia="zh-CN"/>
              </w:rPr>
              <w:t>本项目</w:t>
            </w:r>
            <w:r>
              <w:rPr>
                <w:rFonts w:hint="default" w:ascii="Times New Roman" w:hAnsi="Times New Roman" w:eastAsia="宋体" w:cs="Times New Roman"/>
                <w:color w:val="auto"/>
                <w:kern w:val="0"/>
                <w:sz w:val="24"/>
                <w:szCs w:val="24"/>
              </w:rPr>
              <w:t>厂房地面</w:t>
            </w:r>
            <w:r>
              <w:rPr>
                <w:rFonts w:hint="default" w:ascii="Times New Roman" w:hAnsi="Times New Roman" w:eastAsia="宋体" w:cs="Times New Roman"/>
                <w:color w:val="auto"/>
                <w:kern w:val="0"/>
                <w:sz w:val="24"/>
                <w:szCs w:val="24"/>
                <w:lang w:val="en-US" w:eastAsia="zh-CN"/>
              </w:rPr>
              <w:t>参照《生活垃圾填埋场污染控制标准》（GB16889-2023）中相关要求建设防腐防渗，除重点防渗外做简单防渗</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新建危险废物贮存库需要参照</w:t>
            </w:r>
            <w:r>
              <w:rPr>
                <w:rFonts w:hint="default" w:ascii="Times New Roman" w:hAnsi="Times New Roman" w:eastAsia="宋体" w:cs="Times New Roman"/>
                <w:snapToGrid w:val="0"/>
                <w:color w:val="auto"/>
                <w:kern w:val="0"/>
                <w:sz w:val="24"/>
                <w:szCs w:val="24"/>
                <w:lang w:val="en-US" w:eastAsia="zh-CN"/>
              </w:rPr>
              <w:t>《危险废物贮存污染控制标准》（GB18597-2023）</w:t>
            </w:r>
            <w:r>
              <w:rPr>
                <w:rFonts w:hint="default" w:ascii="Times New Roman" w:hAnsi="Times New Roman" w:eastAsia="宋体" w:cs="Times New Roman"/>
                <w:color w:val="auto"/>
                <w:kern w:val="0"/>
                <w:sz w:val="24"/>
                <w:szCs w:val="24"/>
                <w:lang w:val="en-US" w:eastAsia="zh-CN"/>
              </w:rPr>
              <w:t>中相关要求完成防渗。具体防渗要求见下表：</w:t>
            </w:r>
          </w:p>
          <w:p w14:paraId="34079BF3">
            <w:pPr>
              <w:widowControl w:val="0"/>
              <w:wordWrap/>
              <w:adjustRightInd/>
              <w:snapToGrid/>
              <w:spacing w:before="0" w:beforeAutospacing="0" w:after="0" w:afterAutospacing="0" w:line="240" w:lineRule="auto"/>
              <w:ind w:left="0" w:right="0" w:firstLine="0" w:firstLineChars="0"/>
              <w:jc w:val="center"/>
              <w:textAlignment w:val="auto"/>
              <w:rPr>
                <w:rFonts w:hint="default" w:eastAsia="宋体"/>
                <w:b/>
                <w:bCs/>
                <w:color w:val="auto"/>
                <w:kern w:val="0"/>
                <w:sz w:val="24"/>
                <w:szCs w:val="24"/>
                <w:lang w:val="en-US" w:eastAsia="zh-CN"/>
              </w:rPr>
            </w:pPr>
            <w:r>
              <w:rPr>
                <w:rFonts w:hint="eastAsia" w:eastAsia="宋体"/>
                <w:b/>
                <w:bCs/>
                <w:color w:val="auto"/>
                <w:kern w:val="0"/>
                <w:sz w:val="24"/>
                <w:szCs w:val="24"/>
                <w:lang w:val="en-US" w:eastAsia="zh-CN"/>
              </w:rPr>
              <w:t>表</w:t>
            </w:r>
            <w:r>
              <w:rPr>
                <w:rFonts w:hint="default" w:eastAsia="宋体"/>
                <w:b/>
                <w:bCs/>
                <w:color w:val="auto"/>
                <w:kern w:val="0"/>
                <w:sz w:val="24"/>
                <w:szCs w:val="24"/>
                <w:lang w:val="en-US" w:eastAsia="zh-CN"/>
              </w:rPr>
              <w:t>4-</w:t>
            </w:r>
            <w:r>
              <w:rPr>
                <w:rFonts w:hint="eastAsia"/>
                <w:b/>
                <w:bCs/>
                <w:color w:val="auto"/>
                <w:kern w:val="0"/>
                <w:sz w:val="24"/>
                <w:szCs w:val="24"/>
                <w:lang w:val="en-US" w:eastAsia="zh-CN"/>
              </w:rPr>
              <w:t>15</w:t>
            </w:r>
            <w:r>
              <w:rPr>
                <w:rFonts w:hint="eastAsia" w:eastAsia="宋体"/>
                <w:b/>
                <w:bCs/>
                <w:color w:val="auto"/>
                <w:kern w:val="0"/>
                <w:sz w:val="24"/>
                <w:szCs w:val="24"/>
                <w:lang w:val="en-US" w:eastAsia="zh-CN"/>
              </w:rPr>
              <w:t xml:space="preserve"> </w:t>
            </w:r>
            <w:r>
              <w:rPr>
                <w:rFonts w:hint="default" w:eastAsia="宋体"/>
                <w:b/>
                <w:bCs/>
                <w:color w:val="auto"/>
                <w:kern w:val="0"/>
                <w:sz w:val="24"/>
                <w:szCs w:val="24"/>
                <w:lang w:val="en-US" w:eastAsia="zh-CN"/>
              </w:rPr>
              <w:t xml:space="preserve"> </w:t>
            </w:r>
            <w:r>
              <w:rPr>
                <w:rFonts w:hint="eastAsia" w:eastAsia="宋体"/>
                <w:b/>
                <w:bCs/>
                <w:color w:val="auto"/>
                <w:kern w:val="0"/>
                <w:sz w:val="24"/>
                <w:szCs w:val="24"/>
                <w:lang w:val="en-US" w:eastAsia="zh-CN"/>
              </w:rPr>
              <w:t>土壤、地下水防渗要求</w:t>
            </w:r>
          </w:p>
          <w:tbl>
            <w:tblPr>
              <w:tblStyle w:val="26"/>
              <w:tblW w:w="8471"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26"/>
              <w:gridCol w:w="1453"/>
              <w:gridCol w:w="2839"/>
              <w:gridCol w:w="2753"/>
            </w:tblGrid>
            <w:tr w14:paraId="3BA810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26" w:type="dxa"/>
                  <w:tcBorders>
                    <w:top w:val="single" w:color="auto" w:sz="4" w:space="0"/>
                    <w:left w:val="single" w:color="auto" w:sz="0" w:space="0"/>
                    <w:bottom w:val="single" w:color="auto" w:sz="4" w:space="0"/>
                    <w:right w:val="single" w:color="auto" w:sz="4" w:space="0"/>
                  </w:tcBorders>
                  <w:vAlign w:val="center"/>
                </w:tcPr>
                <w:p w14:paraId="72D2F292">
                  <w:pPr>
                    <w:pStyle w:val="3"/>
                    <w:spacing w:before="0" w:beforeAutospacing="0" w:after="0" w:afterAutospacing="0"/>
                    <w:ind w:left="0" w:right="0"/>
                    <w:jc w:val="center"/>
                    <w:rPr>
                      <w:rFonts w:hint="default" w:ascii="Calibri" w:hAnsi="Calibri" w:cs="Times New Roman"/>
                      <w:b/>
                      <w:bCs w:val="0"/>
                      <w:kern w:val="2"/>
                      <w:sz w:val="21"/>
                      <w:szCs w:val="22"/>
                    </w:rPr>
                  </w:pPr>
                  <w:r>
                    <w:rPr>
                      <w:rFonts w:hint="default" w:ascii="Calibri" w:hAnsi="Calibri" w:cs="Times New Roman"/>
                      <w:b/>
                      <w:bCs w:val="0"/>
                      <w:kern w:val="2"/>
                      <w:sz w:val="21"/>
                      <w:szCs w:val="22"/>
                    </w:rPr>
                    <w:t>分区</w:t>
                  </w:r>
                </w:p>
              </w:tc>
              <w:tc>
                <w:tcPr>
                  <w:tcW w:w="1453" w:type="dxa"/>
                  <w:tcBorders>
                    <w:top w:val="single" w:color="auto" w:sz="4" w:space="0"/>
                    <w:left w:val="single" w:color="auto" w:sz="4" w:space="0"/>
                    <w:bottom w:val="single" w:color="auto" w:sz="4" w:space="0"/>
                    <w:right w:val="single" w:color="auto" w:sz="4" w:space="0"/>
                  </w:tcBorders>
                  <w:vAlign w:val="center"/>
                </w:tcPr>
                <w:p w14:paraId="4C8BBDBE">
                  <w:pPr>
                    <w:pStyle w:val="3"/>
                    <w:spacing w:before="0" w:beforeAutospacing="0" w:after="0" w:afterAutospacing="0"/>
                    <w:ind w:left="0" w:right="0"/>
                    <w:jc w:val="center"/>
                    <w:rPr>
                      <w:rFonts w:hint="eastAsia" w:ascii="Calibri" w:hAnsi="Calibri" w:cs="Times New Roman"/>
                      <w:b/>
                      <w:bCs w:val="0"/>
                      <w:kern w:val="2"/>
                      <w:sz w:val="21"/>
                      <w:szCs w:val="22"/>
                      <w:lang w:val="en-US" w:eastAsia="zh-CN"/>
                    </w:rPr>
                  </w:pPr>
                  <w:r>
                    <w:rPr>
                      <w:rFonts w:hint="eastAsia" w:ascii="Calibri" w:hAnsi="Calibri" w:cs="Times New Roman"/>
                      <w:b/>
                      <w:bCs w:val="0"/>
                      <w:kern w:val="2"/>
                      <w:sz w:val="21"/>
                      <w:szCs w:val="22"/>
                      <w:lang w:val="en-US" w:eastAsia="zh-CN"/>
                    </w:rPr>
                    <w:t>污染物类型</w:t>
                  </w:r>
                </w:p>
              </w:tc>
              <w:tc>
                <w:tcPr>
                  <w:tcW w:w="2839" w:type="dxa"/>
                  <w:tcBorders>
                    <w:top w:val="single" w:color="auto" w:sz="4" w:space="0"/>
                    <w:left w:val="single" w:color="auto" w:sz="4" w:space="0"/>
                    <w:bottom w:val="single" w:color="auto" w:sz="4" w:space="0"/>
                    <w:right w:val="single" w:color="auto" w:sz="4" w:space="0"/>
                  </w:tcBorders>
                  <w:vAlign w:val="center"/>
                </w:tcPr>
                <w:p w14:paraId="34350D33">
                  <w:pPr>
                    <w:pStyle w:val="3"/>
                    <w:spacing w:before="0" w:beforeAutospacing="0" w:after="0" w:afterAutospacing="0"/>
                    <w:ind w:left="0" w:right="0"/>
                    <w:jc w:val="center"/>
                    <w:rPr>
                      <w:rFonts w:hint="default" w:ascii="Calibri" w:hAnsi="Calibri" w:cs="Times New Roman"/>
                      <w:b/>
                      <w:bCs w:val="0"/>
                      <w:kern w:val="2"/>
                      <w:sz w:val="21"/>
                      <w:szCs w:val="22"/>
                    </w:rPr>
                  </w:pPr>
                  <w:r>
                    <w:rPr>
                      <w:rFonts w:hint="default" w:ascii="Calibri" w:hAnsi="Calibri" w:cs="Times New Roman"/>
                      <w:b/>
                      <w:bCs w:val="0"/>
                      <w:kern w:val="2"/>
                      <w:sz w:val="21"/>
                      <w:szCs w:val="22"/>
                    </w:rPr>
                    <w:t>厂内分区</w:t>
                  </w:r>
                </w:p>
              </w:tc>
              <w:tc>
                <w:tcPr>
                  <w:tcW w:w="2753" w:type="dxa"/>
                  <w:tcBorders>
                    <w:top w:val="single" w:color="auto" w:sz="4" w:space="0"/>
                    <w:left w:val="single" w:color="auto" w:sz="4" w:space="0"/>
                    <w:bottom w:val="single" w:color="auto" w:sz="4" w:space="0"/>
                    <w:right w:val="single" w:color="auto" w:sz="4" w:space="0"/>
                  </w:tcBorders>
                  <w:vAlign w:val="center"/>
                </w:tcPr>
                <w:p w14:paraId="10FCA334">
                  <w:pPr>
                    <w:pStyle w:val="3"/>
                    <w:spacing w:before="0" w:beforeAutospacing="0" w:after="0" w:afterAutospacing="0"/>
                    <w:ind w:left="0" w:right="0"/>
                    <w:jc w:val="center"/>
                    <w:rPr>
                      <w:rFonts w:hint="default" w:ascii="Calibri" w:hAnsi="Calibri" w:cs="Times New Roman"/>
                      <w:b/>
                      <w:bCs w:val="0"/>
                      <w:kern w:val="2"/>
                      <w:sz w:val="21"/>
                      <w:szCs w:val="22"/>
                    </w:rPr>
                  </w:pPr>
                  <w:r>
                    <w:rPr>
                      <w:rFonts w:hint="default" w:ascii="Calibri" w:hAnsi="Calibri" w:cs="Times New Roman"/>
                      <w:b/>
                      <w:bCs w:val="0"/>
                      <w:kern w:val="2"/>
                      <w:sz w:val="21"/>
                      <w:szCs w:val="22"/>
                    </w:rPr>
                    <w:t>防渗技术要求</w:t>
                  </w:r>
                </w:p>
              </w:tc>
            </w:tr>
            <w:tr w14:paraId="3700A5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10E2CAEA">
                  <w:pPr>
                    <w:pStyle w:val="3"/>
                    <w:spacing w:before="0" w:beforeAutospacing="0" w:after="0" w:afterAutospacing="0"/>
                    <w:ind w:left="0" w:right="0"/>
                    <w:jc w:val="center"/>
                    <w:rPr>
                      <w:rFonts w:hint="default" w:ascii="Calibri" w:hAnsi="Calibri" w:cs="Times New Roman"/>
                      <w:kern w:val="2"/>
                      <w:sz w:val="21"/>
                      <w:szCs w:val="22"/>
                    </w:rPr>
                  </w:pPr>
                  <w:r>
                    <w:rPr>
                      <w:rFonts w:hint="default" w:ascii="Calibri" w:hAnsi="Calibri" w:cs="Times New Roman"/>
                      <w:kern w:val="2"/>
                      <w:sz w:val="21"/>
                      <w:szCs w:val="22"/>
                    </w:rPr>
                    <w:t>简单防渗区</w:t>
                  </w:r>
                </w:p>
              </w:tc>
              <w:tc>
                <w:tcPr>
                  <w:tcW w:w="1453" w:type="dxa"/>
                  <w:tcBorders>
                    <w:top w:val="single" w:color="auto" w:sz="4" w:space="0"/>
                    <w:left w:val="single" w:color="auto" w:sz="4" w:space="0"/>
                    <w:bottom w:val="single" w:color="auto" w:sz="4" w:space="0"/>
                    <w:right w:val="single" w:color="auto" w:sz="4" w:space="0"/>
                  </w:tcBorders>
                  <w:vAlign w:val="center"/>
                </w:tcPr>
                <w:p w14:paraId="1FD802EC">
                  <w:pPr>
                    <w:pStyle w:val="3"/>
                    <w:spacing w:before="0" w:beforeAutospacing="0" w:after="0" w:afterAutospacing="0"/>
                    <w:ind w:left="0" w:right="0"/>
                    <w:jc w:val="center"/>
                    <w:rPr>
                      <w:rFonts w:hint="default" w:ascii="Calibri" w:hAnsi="Calibri" w:cs="Times New Roman"/>
                      <w:kern w:val="2"/>
                      <w:sz w:val="21"/>
                      <w:szCs w:val="22"/>
                    </w:rPr>
                  </w:pPr>
                  <w:r>
                    <w:rPr>
                      <w:rFonts w:hint="default" w:ascii="Calibri" w:hAnsi="Calibri" w:cs="Times New Roman"/>
                      <w:kern w:val="2"/>
                      <w:sz w:val="21"/>
                      <w:szCs w:val="22"/>
                      <w:lang w:val="en-US" w:eastAsia="zh-CN"/>
                    </w:rPr>
                    <w:t>除重点、</w:t>
                  </w:r>
                  <w:r>
                    <w:rPr>
                      <w:rFonts w:hint="eastAsia" w:ascii="Calibri" w:hAnsi="Calibri" w:cs="Times New Roman"/>
                      <w:kern w:val="2"/>
                      <w:sz w:val="21"/>
                      <w:szCs w:val="22"/>
                      <w:lang w:val="en-US" w:eastAsia="zh-CN"/>
                    </w:rPr>
                    <w:t>简单防渗之</w:t>
                  </w:r>
                  <w:r>
                    <w:rPr>
                      <w:rFonts w:hint="default" w:ascii="Calibri" w:hAnsi="Calibri" w:cs="Times New Roman"/>
                      <w:kern w:val="2"/>
                      <w:sz w:val="21"/>
                      <w:szCs w:val="22"/>
                      <w:lang w:val="en-US" w:eastAsia="zh-CN"/>
                    </w:rPr>
                    <w:t>外的其他区域</w:t>
                  </w:r>
                </w:p>
              </w:tc>
              <w:tc>
                <w:tcPr>
                  <w:tcW w:w="2839" w:type="dxa"/>
                  <w:tcBorders>
                    <w:top w:val="single" w:color="auto" w:sz="4" w:space="0"/>
                    <w:left w:val="single" w:color="auto" w:sz="4" w:space="0"/>
                    <w:bottom w:val="single" w:color="auto" w:sz="4" w:space="0"/>
                    <w:right w:val="single" w:color="auto" w:sz="4" w:space="0"/>
                  </w:tcBorders>
                  <w:vAlign w:val="center"/>
                </w:tcPr>
                <w:p w14:paraId="3BF067CE">
                  <w:pPr>
                    <w:pStyle w:val="3"/>
                    <w:spacing w:before="0" w:beforeAutospacing="0" w:after="0" w:afterAutospacing="0"/>
                    <w:ind w:left="0" w:right="0"/>
                    <w:jc w:val="center"/>
                    <w:rPr>
                      <w:rFonts w:hint="default" w:ascii="Calibri" w:hAnsi="Calibri" w:eastAsia="宋体" w:cs="Times New Roman"/>
                      <w:kern w:val="2"/>
                      <w:sz w:val="21"/>
                      <w:szCs w:val="22"/>
                      <w:lang w:val="en-US" w:eastAsia="zh-CN"/>
                    </w:rPr>
                  </w:pPr>
                  <w:r>
                    <w:rPr>
                      <w:rFonts w:hint="eastAsia" w:ascii="Calibri" w:hAnsi="Calibri" w:cs="Times New Roman"/>
                      <w:kern w:val="2"/>
                      <w:sz w:val="21"/>
                      <w:szCs w:val="22"/>
                      <w:lang w:val="en-US" w:eastAsia="zh-CN"/>
                    </w:rPr>
                    <w:t>生产区做简单防渗</w:t>
                  </w:r>
                </w:p>
              </w:tc>
              <w:tc>
                <w:tcPr>
                  <w:tcW w:w="2753" w:type="dxa"/>
                  <w:tcBorders>
                    <w:top w:val="single" w:color="auto" w:sz="4" w:space="0"/>
                    <w:left w:val="single" w:color="auto" w:sz="4" w:space="0"/>
                    <w:bottom w:val="single" w:color="auto" w:sz="4" w:space="0"/>
                    <w:right w:val="single" w:color="auto" w:sz="4" w:space="0"/>
                  </w:tcBorders>
                  <w:vAlign w:val="center"/>
                </w:tcPr>
                <w:p w14:paraId="2DF2E8B1">
                  <w:pPr>
                    <w:pStyle w:val="3"/>
                    <w:spacing w:before="0" w:beforeAutospacing="0" w:after="0" w:afterAutospacing="0"/>
                    <w:ind w:left="0" w:right="0"/>
                    <w:jc w:val="center"/>
                    <w:rPr>
                      <w:rFonts w:hint="default" w:ascii="Calibri" w:hAnsi="Calibri" w:cs="Times New Roman"/>
                      <w:kern w:val="2"/>
                      <w:sz w:val="21"/>
                      <w:szCs w:val="22"/>
                    </w:rPr>
                  </w:pPr>
                  <w:r>
                    <w:rPr>
                      <w:rFonts w:hint="default" w:ascii="Calibri" w:hAnsi="Calibri" w:cs="Times New Roman"/>
                      <w:kern w:val="2"/>
                      <w:sz w:val="21"/>
                      <w:szCs w:val="22"/>
                    </w:rPr>
                    <w:t>一般地面硬化</w:t>
                  </w:r>
                </w:p>
              </w:tc>
            </w:tr>
            <w:tr w14:paraId="673CFA5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26" w:type="dxa"/>
                  <w:tcBorders>
                    <w:left w:val="single" w:color="auto" w:sz="4" w:space="0"/>
                    <w:bottom w:val="single" w:color="auto" w:sz="4" w:space="0"/>
                    <w:right w:val="single" w:color="auto" w:sz="4" w:space="0"/>
                  </w:tcBorders>
                  <w:vAlign w:val="center"/>
                </w:tcPr>
                <w:p w14:paraId="52437222">
                  <w:pPr>
                    <w:pStyle w:val="3"/>
                    <w:spacing w:before="0" w:beforeAutospacing="0" w:after="0" w:afterAutospacing="0"/>
                    <w:ind w:left="0" w:right="0"/>
                    <w:jc w:val="center"/>
                    <w:rPr>
                      <w:rFonts w:hint="eastAsia" w:ascii="Calibri" w:hAnsi="Calibri" w:cs="Times New Roman"/>
                      <w:kern w:val="2"/>
                      <w:sz w:val="21"/>
                      <w:szCs w:val="22"/>
                      <w:lang w:val="en-US" w:eastAsia="zh-CN"/>
                    </w:rPr>
                  </w:pPr>
                  <w:r>
                    <w:rPr>
                      <w:rFonts w:hint="eastAsia" w:ascii="Calibri" w:hAnsi="Calibri" w:cs="Times New Roman"/>
                      <w:kern w:val="2"/>
                      <w:sz w:val="21"/>
                      <w:szCs w:val="22"/>
                      <w:lang w:val="en-US" w:eastAsia="zh-CN"/>
                    </w:rPr>
                    <w:t>一般防渗区</w:t>
                  </w:r>
                </w:p>
              </w:tc>
              <w:tc>
                <w:tcPr>
                  <w:tcW w:w="1453" w:type="dxa"/>
                  <w:tcBorders>
                    <w:top w:val="single" w:color="auto" w:sz="4" w:space="0"/>
                    <w:left w:val="single" w:color="auto" w:sz="4" w:space="0"/>
                    <w:bottom w:val="single" w:color="auto" w:sz="4" w:space="0"/>
                    <w:right w:val="single" w:color="auto" w:sz="4" w:space="0"/>
                  </w:tcBorders>
                  <w:vAlign w:val="center"/>
                </w:tcPr>
                <w:p w14:paraId="4C4108ED">
                  <w:pPr>
                    <w:pStyle w:val="3"/>
                    <w:spacing w:before="0" w:beforeAutospacing="0" w:after="0" w:afterAutospacing="0"/>
                    <w:ind w:left="0" w:right="0"/>
                    <w:jc w:val="center"/>
                    <w:rPr>
                      <w:rFonts w:hint="eastAsia" w:ascii="Calibri" w:hAnsi="Calibri" w:cs="Times New Roman"/>
                      <w:kern w:val="2"/>
                      <w:sz w:val="21"/>
                      <w:szCs w:val="22"/>
                      <w:lang w:val="en-US" w:eastAsia="zh-CN"/>
                    </w:rPr>
                  </w:pPr>
                  <w:r>
                    <w:rPr>
                      <w:rFonts w:hint="eastAsia" w:ascii="Calibri" w:hAnsi="Calibri" w:cs="Times New Roman"/>
                      <w:kern w:val="2"/>
                      <w:sz w:val="21"/>
                      <w:szCs w:val="22"/>
                      <w:lang w:val="en-US" w:eastAsia="zh-CN"/>
                    </w:rPr>
                    <w:t>其他类型</w:t>
                  </w:r>
                </w:p>
              </w:tc>
              <w:tc>
                <w:tcPr>
                  <w:tcW w:w="2839" w:type="dxa"/>
                  <w:tcBorders>
                    <w:top w:val="single" w:color="auto" w:sz="4" w:space="0"/>
                    <w:left w:val="single" w:color="auto" w:sz="4" w:space="0"/>
                    <w:bottom w:val="single" w:color="auto" w:sz="4" w:space="0"/>
                    <w:right w:val="single" w:color="auto" w:sz="4" w:space="0"/>
                  </w:tcBorders>
                  <w:vAlign w:val="center"/>
                </w:tcPr>
                <w:p w14:paraId="7E05EAFD">
                  <w:pPr>
                    <w:pStyle w:val="3"/>
                    <w:spacing w:before="0" w:beforeAutospacing="0" w:after="0" w:afterAutospacing="0"/>
                    <w:ind w:left="0" w:right="0"/>
                    <w:jc w:val="center"/>
                    <w:rPr>
                      <w:rFonts w:hint="eastAsia" w:ascii="Calibri" w:hAnsi="Calibri" w:cs="Times New Roman"/>
                      <w:kern w:val="2"/>
                      <w:sz w:val="21"/>
                      <w:szCs w:val="22"/>
                      <w:lang w:val="en-US" w:eastAsia="zh-CN"/>
                    </w:rPr>
                  </w:pPr>
                  <w:r>
                    <w:rPr>
                      <w:rFonts w:hint="eastAsia" w:ascii="Calibri" w:hAnsi="Calibri" w:cs="Times New Roman"/>
                      <w:kern w:val="2"/>
                      <w:sz w:val="21"/>
                      <w:szCs w:val="22"/>
                      <w:lang w:val="en-US" w:eastAsia="zh-CN"/>
                    </w:rPr>
                    <w:t>/</w:t>
                  </w:r>
                </w:p>
              </w:tc>
              <w:tc>
                <w:tcPr>
                  <w:tcW w:w="2753" w:type="dxa"/>
                  <w:tcBorders>
                    <w:left w:val="single" w:color="auto" w:sz="4" w:space="0"/>
                    <w:bottom w:val="single" w:color="auto" w:sz="4" w:space="0"/>
                    <w:right w:val="single" w:color="auto" w:sz="4" w:space="0"/>
                  </w:tcBorders>
                  <w:vAlign w:val="center"/>
                </w:tcPr>
                <w:p w14:paraId="28D3ADC3">
                  <w:pPr>
                    <w:pStyle w:val="3"/>
                    <w:spacing w:before="0" w:beforeAutospacing="0" w:after="0" w:afterAutospacing="0"/>
                    <w:ind w:left="0" w:right="0"/>
                    <w:jc w:val="center"/>
                    <w:rPr>
                      <w:rFonts w:hint="eastAsia" w:ascii="Calibri" w:hAnsi="Calibri" w:cs="Times New Roman"/>
                      <w:kern w:val="2"/>
                      <w:sz w:val="21"/>
                      <w:szCs w:val="22"/>
                      <w:lang w:val="en-US" w:eastAsia="zh-CN"/>
                    </w:rPr>
                  </w:pPr>
                  <w:r>
                    <w:rPr>
                      <w:rFonts w:hint="eastAsia" w:ascii="Calibri" w:hAnsi="Calibri" w:cs="Times New Roman"/>
                      <w:kern w:val="2"/>
                      <w:sz w:val="21"/>
                      <w:szCs w:val="22"/>
                      <w:lang w:val="en-US" w:eastAsia="zh-CN"/>
                    </w:rPr>
                    <w:t>本项目不涉及</w:t>
                  </w:r>
                </w:p>
              </w:tc>
            </w:tr>
            <w:tr w14:paraId="2B614D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7313E29B">
                  <w:pPr>
                    <w:pStyle w:val="3"/>
                    <w:spacing w:before="0" w:beforeAutospacing="0" w:after="0" w:afterAutospacing="0"/>
                    <w:ind w:left="0" w:right="0"/>
                    <w:jc w:val="center"/>
                    <w:rPr>
                      <w:rFonts w:hint="default" w:ascii="Calibri" w:hAnsi="Calibri" w:cs="Times New Roman"/>
                      <w:kern w:val="2"/>
                      <w:sz w:val="21"/>
                      <w:szCs w:val="22"/>
                    </w:rPr>
                  </w:pPr>
                  <w:r>
                    <w:rPr>
                      <w:rFonts w:hint="default" w:ascii="Calibri" w:hAnsi="Calibri" w:cs="Times New Roman"/>
                      <w:kern w:val="2"/>
                      <w:sz w:val="21"/>
                      <w:szCs w:val="22"/>
                    </w:rPr>
                    <w:t>重点防渗区</w:t>
                  </w:r>
                </w:p>
              </w:tc>
              <w:tc>
                <w:tcPr>
                  <w:tcW w:w="1453" w:type="dxa"/>
                  <w:tcBorders>
                    <w:top w:val="single" w:color="auto" w:sz="4" w:space="0"/>
                    <w:left w:val="single" w:color="auto" w:sz="4" w:space="0"/>
                    <w:bottom w:val="single" w:color="auto" w:sz="4" w:space="0"/>
                    <w:right w:val="single" w:color="auto" w:sz="4" w:space="0"/>
                  </w:tcBorders>
                  <w:vAlign w:val="center"/>
                </w:tcPr>
                <w:p w14:paraId="149A67C1">
                  <w:pPr>
                    <w:pStyle w:val="3"/>
                    <w:spacing w:before="0" w:beforeAutospacing="0" w:after="0" w:afterAutospacing="0"/>
                    <w:ind w:left="0" w:right="0"/>
                    <w:jc w:val="center"/>
                    <w:rPr>
                      <w:rFonts w:hint="eastAsia" w:ascii="Calibri" w:hAnsi="Calibri" w:cs="Times New Roman"/>
                      <w:kern w:val="2"/>
                      <w:sz w:val="21"/>
                      <w:szCs w:val="22"/>
                      <w:lang w:val="en-US" w:eastAsia="zh-CN"/>
                    </w:rPr>
                  </w:pPr>
                  <w:r>
                    <w:rPr>
                      <w:rFonts w:hint="default" w:ascii="Calibri" w:hAnsi="Calibri" w:cs="Times New Roman"/>
                      <w:kern w:val="2"/>
                      <w:sz w:val="21"/>
                      <w:szCs w:val="22"/>
                    </w:rPr>
                    <w:t>危害性大的</w:t>
                  </w:r>
                  <w:r>
                    <w:rPr>
                      <w:rFonts w:hint="eastAsia" w:ascii="Calibri" w:hAnsi="Calibri" w:cs="Times New Roman"/>
                      <w:kern w:val="2"/>
                      <w:sz w:val="21"/>
                      <w:szCs w:val="22"/>
                      <w:lang w:val="en-US" w:eastAsia="zh-CN"/>
                    </w:rPr>
                    <w:t>危险废物暂存区等</w:t>
                  </w:r>
                </w:p>
              </w:tc>
              <w:tc>
                <w:tcPr>
                  <w:tcW w:w="2839" w:type="dxa"/>
                  <w:tcBorders>
                    <w:top w:val="single" w:color="auto" w:sz="4" w:space="0"/>
                    <w:left w:val="single" w:color="auto" w:sz="4" w:space="0"/>
                    <w:bottom w:val="single" w:color="auto" w:sz="4" w:space="0"/>
                    <w:right w:val="single" w:color="auto" w:sz="4" w:space="0"/>
                  </w:tcBorders>
                  <w:vAlign w:val="center"/>
                </w:tcPr>
                <w:p w14:paraId="16433F05">
                  <w:pPr>
                    <w:pStyle w:val="3"/>
                    <w:spacing w:before="0" w:beforeAutospacing="0" w:after="0" w:afterAutospacing="0"/>
                    <w:ind w:left="0" w:right="0"/>
                    <w:jc w:val="center"/>
                    <w:rPr>
                      <w:rFonts w:hint="default" w:ascii="Calibri" w:hAnsi="Calibri" w:eastAsia="宋体" w:cs="Times New Roman"/>
                      <w:kern w:val="2"/>
                      <w:sz w:val="21"/>
                      <w:szCs w:val="22"/>
                      <w:lang w:val="en-US" w:eastAsia="zh-CN"/>
                    </w:rPr>
                  </w:pPr>
                  <w:r>
                    <w:rPr>
                      <w:rFonts w:hint="eastAsia" w:ascii="Calibri" w:hAnsi="Calibri" w:cs="Times New Roman"/>
                      <w:kern w:val="2"/>
                      <w:sz w:val="21"/>
                      <w:szCs w:val="22"/>
                      <w:lang w:val="en-US" w:eastAsia="zh-CN"/>
                    </w:rPr>
                    <w:t>危险废物贮存库（依托现有）做重点防渗</w:t>
                  </w:r>
                  <w:r>
                    <w:rPr>
                      <w:rFonts w:hint="eastAsia" w:ascii="Times New Roman" w:hAnsi="Times New Roman" w:eastAsia="宋体" w:cs="Times New Roman"/>
                      <w:b w:val="0"/>
                      <w:bCs/>
                      <w:color w:val="auto"/>
                      <w:kern w:val="2"/>
                      <w:sz w:val="21"/>
                      <w:szCs w:val="21"/>
                      <w:lang w:val="en-US" w:eastAsia="zh-CN" w:bidi="ar-SA"/>
                    </w:rPr>
                    <w:t>，除重点防渗外做简单防渗</w:t>
                  </w:r>
                </w:p>
              </w:tc>
              <w:tc>
                <w:tcPr>
                  <w:tcW w:w="2753" w:type="dxa"/>
                  <w:tcBorders>
                    <w:top w:val="single" w:color="auto" w:sz="4" w:space="0"/>
                    <w:left w:val="single" w:color="auto" w:sz="4" w:space="0"/>
                    <w:bottom w:val="single" w:color="auto" w:sz="4" w:space="0"/>
                    <w:right w:val="single" w:color="auto" w:sz="4" w:space="0"/>
                  </w:tcBorders>
                  <w:vAlign w:val="center"/>
                </w:tcPr>
                <w:p w14:paraId="5F728B92">
                  <w:pPr>
                    <w:pStyle w:val="3"/>
                    <w:spacing w:before="0" w:beforeAutospacing="0" w:after="0" w:afterAutospacing="0"/>
                    <w:ind w:left="0" w:right="0"/>
                    <w:jc w:val="center"/>
                    <w:rPr>
                      <w:rFonts w:hint="eastAsia" w:ascii="Calibri" w:hAnsi="Calibri" w:cs="Times New Roman"/>
                      <w:kern w:val="2"/>
                      <w:sz w:val="21"/>
                      <w:szCs w:val="22"/>
                      <w:lang w:val="en-US" w:eastAsia="zh-CN"/>
                    </w:rPr>
                  </w:pPr>
                  <w:r>
                    <w:rPr>
                      <w:rFonts w:hint="default" w:ascii="Times New Roman" w:hAnsi="Times New Roman" w:cs="Times New Roman"/>
                      <w:snapToGrid w:val="0"/>
                      <w:color w:val="auto"/>
                      <w:kern w:val="2"/>
                      <w:sz w:val="21"/>
                      <w:szCs w:val="21"/>
                      <w:lang w:val="en-US" w:eastAsia="zh-CN"/>
                    </w:rPr>
                    <w:t>根据《危险废物贮存污染控制标准》（GB</w:t>
                  </w:r>
                  <w:r>
                    <w:rPr>
                      <w:rFonts w:hint="eastAsia" w:ascii="Calibri" w:hAnsi="Calibri" w:cs="Times New Roman"/>
                      <w:snapToGrid w:val="0"/>
                      <w:color w:val="auto"/>
                      <w:kern w:val="2"/>
                      <w:sz w:val="21"/>
                      <w:szCs w:val="21"/>
                      <w:lang w:val="en-US" w:eastAsia="zh-CN"/>
                    </w:rPr>
                    <w:t xml:space="preserve">  </w:t>
                  </w:r>
                  <w:r>
                    <w:rPr>
                      <w:rFonts w:hint="default" w:ascii="Times New Roman" w:hAnsi="Times New Roman" w:cs="Times New Roman"/>
                      <w:snapToGrid w:val="0"/>
                      <w:color w:val="auto"/>
                      <w:kern w:val="2"/>
                      <w:sz w:val="21"/>
                      <w:szCs w:val="21"/>
                      <w:lang w:val="en-US" w:eastAsia="zh-CN"/>
                    </w:rPr>
                    <w:t>18597-2023）要求，Mb≥1.0m、K≤1×10</w:t>
                  </w:r>
                  <w:r>
                    <w:rPr>
                      <w:rFonts w:hint="default" w:ascii="Times New Roman" w:hAnsi="Times New Roman" w:cs="Times New Roman"/>
                      <w:snapToGrid w:val="0"/>
                      <w:color w:val="auto"/>
                      <w:kern w:val="2"/>
                      <w:sz w:val="21"/>
                      <w:szCs w:val="21"/>
                      <w:vertAlign w:val="superscript"/>
                      <w:lang w:val="en-US" w:eastAsia="zh-CN"/>
                    </w:rPr>
                    <w:t>-7</w:t>
                  </w:r>
                  <w:r>
                    <w:rPr>
                      <w:rFonts w:hint="default" w:ascii="Times New Roman" w:hAnsi="Times New Roman" w:cs="Times New Roman"/>
                      <w:snapToGrid w:val="0"/>
                      <w:color w:val="auto"/>
                      <w:kern w:val="2"/>
                      <w:sz w:val="21"/>
                      <w:szCs w:val="21"/>
                      <w:lang w:val="en-US" w:eastAsia="zh-CN"/>
                    </w:rPr>
                    <w:t>cm/s</w:t>
                  </w:r>
                </w:p>
              </w:tc>
            </w:tr>
          </w:tbl>
          <w:p w14:paraId="7E855FA9">
            <w:pPr>
              <w:widowControl w:val="0"/>
              <w:wordWrap/>
              <w:adjustRightInd/>
              <w:snapToGrid/>
              <w:spacing w:before="0" w:beforeAutospacing="0" w:after="0" w:afterAutospacing="0" w:line="360" w:lineRule="auto"/>
              <w:ind w:left="0" w:right="0" w:firstLine="480" w:firstLineChars="200"/>
              <w:textAlignment w:val="auto"/>
              <w:rPr>
                <w:rFonts w:hint="default"/>
                <w:kern w:val="0"/>
                <w:sz w:val="24"/>
                <w:szCs w:val="24"/>
              </w:rPr>
            </w:pPr>
            <w:r>
              <w:rPr>
                <w:rFonts w:hint="eastAsia" w:cs="宋体"/>
                <w:kern w:val="0"/>
                <w:sz w:val="24"/>
                <w:szCs w:val="24"/>
              </w:rPr>
              <w:t>除此之外，建议项目运营后还应采取以下污染防治措施：</w:t>
            </w:r>
          </w:p>
          <w:p w14:paraId="11EC443B">
            <w:pPr>
              <w:spacing w:before="0" w:beforeAutospacing="0" w:after="0" w:afterAutospacing="0" w:line="360" w:lineRule="auto"/>
              <w:ind w:left="0" w:right="0" w:firstLine="480" w:firstLineChars="200"/>
              <w:rPr>
                <w:rFonts w:hint="default"/>
                <w:kern w:val="0"/>
                <w:sz w:val="24"/>
                <w:szCs w:val="24"/>
              </w:rPr>
            </w:pPr>
            <w:r>
              <w:rPr>
                <w:rFonts w:hint="default"/>
                <w:kern w:val="0"/>
                <w:sz w:val="24"/>
                <w:szCs w:val="24"/>
              </w:rPr>
              <w:fldChar w:fldCharType="begin"/>
            </w:r>
            <w:r>
              <w:rPr>
                <w:rFonts w:hint="default"/>
                <w:kern w:val="0"/>
                <w:sz w:val="24"/>
                <w:szCs w:val="24"/>
              </w:rPr>
              <w:instrText xml:space="preserve"> = 1 \* GB3 \* MERGEFORMAT </w:instrText>
            </w:r>
            <w:r>
              <w:rPr>
                <w:rFonts w:hint="default"/>
                <w:kern w:val="0"/>
                <w:sz w:val="24"/>
                <w:szCs w:val="24"/>
              </w:rPr>
              <w:fldChar w:fldCharType="separate"/>
            </w:r>
            <w:r>
              <w:rPr>
                <w:rFonts w:hint="eastAsia" w:ascii="宋体" w:hAnsi="宋体" w:cs="宋体"/>
                <w:kern w:val="0"/>
                <w:sz w:val="24"/>
                <w:szCs w:val="24"/>
              </w:rPr>
              <w:t>①</w:t>
            </w:r>
            <w:r>
              <w:rPr>
                <w:rFonts w:hint="default"/>
                <w:kern w:val="0"/>
                <w:sz w:val="24"/>
                <w:szCs w:val="24"/>
              </w:rPr>
              <w:fldChar w:fldCharType="end"/>
            </w:r>
            <w:r>
              <w:rPr>
                <w:rFonts w:hint="eastAsia" w:cs="宋体"/>
                <w:kern w:val="0"/>
                <w:sz w:val="24"/>
                <w:szCs w:val="24"/>
              </w:rPr>
              <w:t>定期对地下水和土壤进行监测，以便及时发现问题，采取有效措施控制和消除污染危害。</w:t>
            </w:r>
          </w:p>
          <w:p w14:paraId="0A8127F5">
            <w:pPr>
              <w:spacing w:before="0" w:beforeAutospacing="0" w:after="0" w:afterAutospacing="0" w:line="360" w:lineRule="auto"/>
              <w:ind w:left="0" w:right="0" w:firstLine="480" w:firstLineChars="200"/>
              <w:rPr>
                <w:rFonts w:hint="default"/>
                <w:b/>
                <w:bCs/>
                <w:snapToGrid w:val="0"/>
                <w:kern w:val="0"/>
                <w:sz w:val="24"/>
                <w:szCs w:val="24"/>
              </w:rPr>
            </w:pPr>
            <w:r>
              <w:rPr>
                <w:rFonts w:hint="default"/>
                <w:kern w:val="0"/>
                <w:sz w:val="24"/>
                <w:szCs w:val="24"/>
              </w:rPr>
              <w:fldChar w:fldCharType="begin"/>
            </w:r>
            <w:r>
              <w:rPr>
                <w:rFonts w:hint="default"/>
                <w:kern w:val="0"/>
                <w:sz w:val="24"/>
                <w:szCs w:val="24"/>
              </w:rPr>
              <w:instrText xml:space="preserve"> = 2 \* GB3 \* MERGEFORMAT </w:instrText>
            </w:r>
            <w:r>
              <w:rPr>
                <w:rFonts w:hint="default"/>
                <w:kern w:val="0"/>
                <w:sz w:val="24"/>
                <w:szCs w:val="24"/>
              </w:rPr>
              <w:fldChar w:fldCharType="separate"/>
            </w:r>
            <w:r>
              <w:rPr>
                <w:rFonts w:hint="eastAsia" w:ascii="宋体" w:hAnsi="宋体" w:cs="宋体"/>
                <w:kern w:val="0"/>
                <w:sz w:val="24"/>
                <w:szCs w:val="24"/>
              </w:rPr>
              <w:t>②</w:t>
            </w:r>
            <w:r>
              <w:rPr>
                <w:rFonts w:hint="default"/>
                <w:kern w:val="0"/>
                <w:sz w:val="24"/>
                <w:szCs w:val="24"/>
              </w:rPr>
              <w:fldChar w:fldCharType="end"/>
            </w:r>
            <w:r>
              <w:rPr>
                <w:rFonts w:hint="eastAsia" w:cs="宋体"/>
                <w:kern w:val="0"/>
                <w:sz w:val="24"/>
                <w:szCs w:val="24"/>
              </w:rPr>
              <w:t>加强现场巡查，特别是在卫生清理、下雨地面水量较大时，重点检查有无渗漏情况。若发现问题，及时分析原因，找到泄漏点制定整改措施，尽快修补，确保防腐防渗层的完整性。</w:t>
            </w:r>
          </w:p>
          <w:p w14:paraId="60B2B632">
            <w:pPr>
              <w:tabs>
                <w:tab w:val="left" w:pos="3558"/>
                <w:tab w:val="left" w:pos="4173"/>
              </w:tabs>
              <w:ind w:firstLine="0" w:firstLineChars="0"/>
              <w:rPr>
                <w:b/>
                <w:color w:val="auto"/>
              </w:rPr>
            </w:pPr>
            <w:r>
              <w:rPr>
                <w:rFonts w:hint="eastAsia"/>
                <w:b/>
                <w:color w:val="auto"/>
              </w:rPr>
              <w:t>6、环境风险</w:t>
            </w:r>
          </w:p>
          <w:p w14:paraId="7B8BF653">
            <w:pPr>
              <w:ind w:firstLine="480"/>
              <w:rPr>
                <w:color w:val="auto"/>
              </w:rPr>
            </w:pPr>
            <w:bookmarkStart w:id="16" w:name="_Toc15302"/>
            <w:bookmarkStart w:id="17" w:name="_Toc23958"/>
            <w:bookmarkStart w:id="18" w:name="_Toc29489"/>
            <w:bookmarkStart w:id="19" w:name="_Toc2648"/>
            <w:r>
              <w:rPr>
                <w:rFonts w:hint="eastAsia"/>
                <w:color w:val="auto"/>
              </w:rPr>
              <w:t>根据（环发〔2012〕77号）《关于进一步加强环境影响评价管理防范环境风险的通知》，新、改、扩建相关建设项目环境影响评价应按照相应技术导则要求，科学预测评价突发性事件或事故可能引发的环境风险，提出环境风险防范和应急措施。</w:t>
            </w:r>
          </w:p>
          <w:bookmarkEnd w:id="16"/>
          <w:bookmarkEnd w:id="17"/>
          <w:bookmarkEnd w:id="18"/>
          <w:bookmarkEnd w:id="19"/>
          <w:p w14:paraId="1C6CAC69">
            <w:pPr>
              <w:pStyle w:val="46"/>
              <w:ind w:right="0" w:rightChars="0" w:firstLine="0" w:firstLineChars="0"/>
              <w:rPr>
                <w:rFonts w:ascii="Times New Roman" w:hAnsi="Times New Roman"/>
                <w:b/>
                <w:bCs/>
                <w:color w:val="auto"/>
                <w:kern w:val="0"/>
              </w:rPr>
            </w:pPr>
            <w:r>
              <w:rPr>
                <w:rFonts w:hint="eastAsia" w:ascii="Times New Roman" w:hAnsi="Times New Roman"/>
                <w:b/>
                <w:bCs/>
                <w:color w:val="auto"/>
                <w:kern w:val="0"/>
              </w:rPr>
              <w:t>6</w:t>
            </w:r>
            <w:r>
              <w:rPr>
                <w:rFonts w:ascii="Times New Roman" w:hAnsi="Times New Roman"/>
                <w:b/>
                <w:bCs/>
                <w:color w:val="auto"/>
                <w:kern w:val="0"/>
              </w:rPr>
              <w:t>.1环境风险调查</w:t>
            </w:r>
          </w:p>
          <w:p w14:paraId="5B124E35">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（1）风险调查</w:t>
            </w:r>
          </w:p>
          <w:p w14:paraId="6E4C41E9">
            <w:pPr>
              <w:spacing w:before="0" w:beforeAutospacing="0" w:after="0" w:afterAutospacing="0"/>
              <w:ind w:left="0" w:right="0" w:firstLine="48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调查建设项目危险物质数量和分布情况、生产工艺特点，收集危险物质安全技术说明书物质风险识别范围包括：主要原材料及辅助材料、燃料、中间产品、最终产品以及生产过程排放的“三废”污染物等。</w:t>
            </w:r>
          </w:p>
          <w:p w14:paraId="7713A643">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（2）风险潜势初判</w:t>
            </w:r>
          </w:p>
          <w:p w14:paraId="42CF431E">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根据《建设项目环境风险评价技术导则》（HJ 169-2018），计算所涉及的项目涉及的突然环境事件风险物质的最大存在总量与其在附录B中对应临界量的比值Q。在不同</w:t>
            </w:r>
            <w:r>
              <w:rPr>
                <w:rFonts w:hint="default" w:ascii="Times New Roman" w:hAnsi="Times New Roman" w:eastAsia="宋体" w:cs="Times New Roman"/>
                <w:color w:val="000000"/>
                <w:kern w:val="0"/>
                <w:sz w:val="24"/>
                <w:szCs w:val="24"/>
                <w:lang w:val="en-US" w:eastAsia="zh-CN"/>
              </w:rPr>
              <w:t>室内</w:t>
            </w:r>
            <w:r>
              <w:rPr>
                <w:rFonts w:hint="default" w:ascii="Times New Roman" w:hAnsi="Times New Roman" w:eastAsia="宋体" w:cs="Times New Roman"/>
                <w:color w:val="000000"/>
                <w:kern w:val="0"/>
                <w:sz w:val="24"/>
                <w:szCs w:val="24"/>
              </w:rPr>
              <w:t>的同一种物质，按其在</w:t>
            </w:r>
            <w:r>
              <w:rPr>
                <w:rFonts w:hint="default" w:ascii="Times New Roman" w:hAnsi="Times New Roman" w:eastAsia="宋体" w:cs="Times New Roman"/>
                <w:color w:val="000000"/>
                <w:kern w:val="0"/>
                <w:sz w:val="24"/>
                <w:szCs w:val="24"/>
                <w:lang w:val="en-US" w:eastAsia="zh-CN"/>
              </w:rPr>
              <w:t>本项目室</w:t>
            </w:r>
            <w:r>
              <w:rPr>
                <w:rFonts w:hint="default" w:ascii="Times New Roman" w:hAnsi="Times New Roman" w:eastAsia="宋体" w:cs="Times New Roman"/>
                <w:color w:val="000000"/>
                <w:kern w:val="0"/>
                <w:sz w:val="24"/>
                <w:szCs w:val="24"/>
              </w:rPr>
              <w:t>内的最大存在总量计算。</w:t>
            </w:r>
          </w:p>
          <w:p w14:paraId="06D11AFA">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当只涉及一种危险物质时，计算该物质的总量与其临界量比值，即为Q；</w:t>
            </w:r>
          </w:p>
          <w:p w14:paraId="312149A4">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当存在多种危险物质时，则按下式计算物质总量与其临界量比值（Q）：</w:t>
            </w:r>
          </w:p>
          <w:p w14:paraId="085A5D6B">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bidi="ar-SA"/>
              </w:rPr>
              <w:pict>
                <v:shape id="_x0000_s1026" o:spid="_x0000_s1026" o:spt="75" type="#_x0000_t75" style="position:absolute;left:0pt;margin-left:121.9pt;margin-top:7.75pt;height:33.8pt;width:116.55pt;mso-wrap-distance-bottom:0pt;mso-wrap-distance-top:0pt;z-index:251661312;mso-width-relative:page;mso-height-relative:page;" o:ole="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topAndBottom"/>
                </v:shape>
                <o:OLEObject Type="Embed" ProgID="Equation.3" ShapeID="_x0000_s1026" DrawAspect="Content" ObjectID="_1468075731" r:id="rId22">
                  <o:LockedField>false</o:LockedField>
                </o:OLEObject>
              </w:pict>
            </w:r>
            <w:r>
              <w:rPr>
                <w:rFonts w:hint="default" w:ascii="Times New Roman" w:hAnsi="Times New Roman" w:eastAsia="宋体" w:cs="Times New Roman"/>
                <w:color w:val="000000"/>
                <w:kern w:val="0"/>
                <w:sz w:val="24"/>
                <w:szCs w:val="24"/>
              </w:rPr>
              <w:t>式中：q</w:t>
            </w:r>
            <w:r>
              <w:rPr>
                <w:rFonts w:hint="default" w:ascii="Times New Roman" w:hAnsi="Times New Roman" w:eastAsia="宋体" w:cs="Times New Roman"/>
                <w:color w:val="000000"/>
                <w:kern w:val="0"/>
                <w:sz w:val="24"/>
                <w:szCs w:val="24"/>
                <w:vertAlign w:val="subscript"/>
              </w:rPr>
              <w:t>1</w:t>
            </w:r>
            <w:r>
              <w:rPr>
                <w:rFonts w:hint="default" w:ascii="Times New Roman" w:hAnsi="Times New Roman" w:eastAsia="宋体" w:cs="Times New Roman"/>
                <w:color w:val="000000"/>
                <w:kern w:val="0"/>
                <w:sz w:val="24"/>
                <w:szCs w:val="24"/>
              </w:rPr>
              <w:t>，q</w:t>
            </w:r>
            <w:r>
              <w:rPr>
                <w:rFonts w:hint="default" w:ascii="Times New Roman" w:hAnsi="Times New Roman" w:eastAsia="宋体" w:cs="Times New Roman"/>
                <w:color w:val="000000"/>
                <w:kern w:val="0"/>
                <w:sz w:val="24"/>
                <w:szCs w:val="24"/>
                <w:vertAlign w:val="subscript"/>
              </w:rPr>
              <w:t>2</w:t>
            </w:r>
            <w:r>
              <w:rPr>
                <w:rFonts w:hint="default" w:ascii="Times New Roman" w:hAnsi="Times New Roman" w:eastAsia="宋体" w:cs="Times New Roman"/>
                <w:color w:val="000000"/>
                <w:kern w:val="0"/>
                <w:sz w:val="24"/>
                <w:szCs w:val="24"/>
              </w:rPr>
              <w:t>，…，q</w:t>
            </w:r>
            <w:r>
              <w:rPr>
                <w:rFonts w:hint="default" w:ascii="Times New Roman" w:hAnsi="Times New Roman" w:eastAsia="宋体" w:cs="Times New Roman"/>
                <w:color w:val="000000"/>
                <w:kern w:val="0"/>
                <w:sz w:val="24"/>
                <w:szCs w:val="24"/>
                <w:vertAlign w:val="subscript"/>
              </w:rPr>
              <w:t>n</w:t>
            </w:r>
            <w:r>
              <w:rPr>
                <w:rFonts w:hint="default" w:ascii="Times New Roman" w:hAnsi="Times New Roman" w:eastAsia="宋体" w:cs="Times New Roman"/>
                <w:color w:val="000000"/>
                <w:kern w:val="0"/>
                <w:sz w:val="24"/>
                <w:szCs w:val="24"/>
              </w:rPr>
              <w:t>——每种危险物质的最大存在总量，t；</w:t>
            </w:r>
          </w:p>
          <w:p w14:paraId="370B10E0">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      Q</w:t>
            </w:r>
            <w:r>
              <w:rPr>
                <w:rFonts w:hint="default" w:ascii="Times New Roman" w:hAnsi="Times New Roman" w:eastAsia="宋体" w:cs="Times New Roman"/>
                <w:color w:val="000000"/>
                <w:kern w:val="0"/>
                <w:sz w:val="24"/>
                <w:szCs w:val="24"/>
                <w:vertAlign w:val="subscript"/>
              </w:rPr>
              <w:t>1</w:t>
            </w:r>
            <w:r>
              <w:rPr>
                <w:rFonts w:hint="default" w:ascii="Times New Roman" w:hAnsi="Times New Roman" w:eastAsia="宋体" w:cs="Times New Roman"/>
                <w:color w:val="000000"/>
                <w:kern w:val="0"/>
                <w:sz w:val="24"/>
                <w:szCs w:val="24"/>
              </w:rPr>
              <w:t>，Q</w:t>
            </w:r>
            <w:r>
              <w:rPr>
                <w:rFonts w:hint="default" w:ascii="Times New Roman" w:hAnsi="Times New Roman" w:eastAsia="宋体" w:cs="Times New Roman"/>
                <w:color w:val="000000"/>
                <w:kern w:val="0"/>
                <w:sz w:val="24"/>
                <w:szCs w:val="24"/>
                <w:vertAlign w:val="subscript"/>
              </w:rPr>
              <w:t>2</w:t>
            </w:r>
            <w:r>
              <w:rPr>
                <w:rFonts w:hint="default" w:ascii="Times New Roman" w:hAnsi="Times New Roman" w:eastAsia="宋体" w:cs="Times New Roman"/>
                <w:color w:val="000000"/>
                <w:kern w:val="0"/>
                <w:sz w:val="24"/>
                <w:szCs w:val="24"/>
              </w:rPr>
              <w:t>，…，Q</w:t>
            </w:r>
            <w:r>
              <w:rPr>
                <w:rFonts w:hint="default" w:ascii="Times New Roman" w:hAnsi="Times New Roman" w:eastAsia="宋体" w:cs="Times New Roman"/>
                <w:color w:val="000000"/>
                <w:kern w:val="0"/>
                <w:sz w:val="24"/>
                <w:szCs w:val="24"/>
                <w:vertAlign w:val="subscript"/>
              </w:rPr>
              <w:t>n</w:t>
            </w:r>
            <w:r>
              <w:rPr>
                <w:rFonts w:hint="default" w:ascii="Times New Roman" w:hAnsi="Times New Roman" w:eastAsia="宋体" w:cs="Times New Roman"/>
                <w:color w:val="000000"/>
                <w:kern w:val="0"/>
                <w:sz w:val="24"/>
                <w:szCs w:val="24"/>
              </w:rPr>
              <w:t>——每种危险物质的临界量，t。</w:t>
            </w:r>
          </w:p>
          <w:p w14:paraId="32CA92A9">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当Q&lt;1时，该项目环境风险潜势为I。</w:t>
            </w:r>
          </w:p>
          <w:p w14:paraId="779A01A0">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当Q≥1时，将Q值划分为：（1）1≤Q&lt;10；（2）10≤Q&lt;100；（3）Q≥100。</w:t>
            </w:r>
          </w:p>
          <w:p w14:paraId="46499E7A">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auto"/>
                <w:kern w:val="0"/>
                <w:sz w:val="24"/>
                <w:szCs w:val="24"/>
              </w:rPr>
              <w:t>（3）风险评价等级确定</w:t>
            </w:r>
          </w:p>
          <w:p w14:paraId="13D1D1A1">
            <w:pPr>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本项目环境风险单元主要为</w:t>
            </w:r>
            <w:r>
              <w:rPr>
                <w:rFonts w:hint="default" w:ascii="Times New Roman" w:hAnsi="Times New Roman" w:eastAsia="宋体" w:cs="Times New Roman"/>
                <w:color w:val="000000"/>
                <w:kern w:val="0"/>
                <w:sz w:val="24"/>
                <w:szCs w:val="24"/>
                <w:lang w:eastAsia="zh-CN"/>
              </w:rPr>
              <w:t>危险废物贮存库</w:t>
            </w:r>
            <w:r>
              <w:rPr>
                <w:rFonts w:hint="default" w:ascii="Times New Roman" w:hAnsi="Times New Roman" w:eastAsia="宋体" w:cs="Times New Roman"/>
                <w:color w:val="000000"/>
                <w:kern w:val="0"/>
                <w:sz w:val="24"/>
                <w:szCs w:val="24"/>
              </w:rPr>
              <w:t>，涉及的环境风险物质见以下列表。</w:t>
            </w:r>
          </w:p>
          <w:p w14:paraId="08932C64">
            <w:pPr>
              <w:autoSpaceDE w:val="0"/>
              <w:autoSpaceDN w:val="0"/>
              <w:adjustRightInd w:val="0"/>
              <w:spacing w:before="0" w:beforeAutospacing="0" w:after="0" w:afterAutospacing="0" w:line="240" w:lineRule="auto"/>
              <w:ind w:left="0" w:right="0" w:firstLine="482" w:firstLineChars="20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表4-</w:t>
            </w:r>
            <w:r>
              <w:rPr>
                <w:rFonts w:hint="eastAsia" w:cs="Times New Roman"/>
                <w:b/>
                <w:color w:val="000000"/>
                <w:kern w:val="0"/>
                <w:sz w:val="24"/>
                <w:szCs w:val="24"/>
                <w:lang w:val="en-US" w:eastAsia="zh-CN"/>
              </w:rPr>
              <w:t>16</w:t>
            </w:r>
            <w:r>
              <w:rPr>
                <w:rFonts w:hint="default" w:ascii="Times New Roman" w:hAnsi="Times New Roman" w:eastAsia="宋体" w:cs="Times New Roman"/>
                <w:b/>
                <w:color w:val="000000"/>
                <w:kern w:val="0"/>
                <w:sz w:val="24"/>
                <w:szCs w:val="24"/>
              </w:rPr>
              <w:t xml:space="preserve">  建设项目危险物质数量和分布情况一览表</w:t>
            </w:r>
          </w:p>
          <w:tbl>
            <w:tblPr>
              <w:tblStyle w:val="26"/>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796"/>
              <w:gridCol w:w="1910"/>
              <w:gridCol w:w="1949"/>
              <w:gridCol w:w="1680"/>
            </w:tblGrid>
            <w:tr w14:paraId="2F46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27DF6B31">
                  <w:pPr>
                    <w:pStyle w:val="3"/>
                    <w:spacing w:before="0" w:beforeAutospacing="0" w:after="0" w:afterAutospacing="0"/>
                    <w:ind w:left="0" w:right="0"/>
                    <w:jc w:val="center"/>
                    <w:rPr>
                      <w:rFonts w:hint="default" w:ascii="Times New Roman" w:hAnsi="Times New Roman" w:cs="Times New Roman"/>
                      <w:b/>
                      <w:bCs w:val="0"/>
                      <w:kern w:val="2"/>
                      <w:sz w:val="21"/>
                      <w:szCs w:val="21"/>
                    </w:rPr>
                  </w:pPr>
                  <w:r>
                    <w:rPr>
                      <w:rFonts w:hint="default" w:ascii="Times New Roman" w:hAnsi="Times New Roman" w:cs="Times New Roman"/>
                      <w:b/>
                      <w:bCs w:val="0"/>
                      <w:kern w:val="2"/>
                      <w:sz w:val="21"/>
                      <w:szCs w:val="21"/>
                    </w:rPr>
                    <w:t>名称</w:t>
                  </w:r>
                </w:p>
              </w:tc>
              <w:tc>
                <w:tcPr>
                  <w:tcW w:w="796" w:type="dxa"/>
                  <w:tcBorders>
                    <w:top w:val="single" w:color="auto" w:sz="4" w:space="0"/>
                    <w:left w:val="single" w:color="auto" w:sz="4" w:space="0"/>
                    <w:bottom w:val="single" w:color="auto" w:sz="4" w:space="0"/>
                    <w:right w:val="single" w:color="auto" w:sz="4" w:space="0"/>
                  </w:tcBorders>
                  <w:vAlign w:val="center"/>
                </w:tcPr>
                <w:p w14:paraId="7D82D6E4">
                  <w:pPr>
                    <w:pStyle w:val="3"/>
                    <w:spacing w:before="0" w:beforeAutospacing="0" w:after="0" w:afterAutospacing="0"/>
                    <w:ind w:left="0" w:right="0"/>
                    <w:jc w:val="center"/>
                    <w:rPr>
                      <w:rFonts w:hint="default" w:ascii="Times New Roman" w:hAnsi="Times New Roman" w:cs="Times New Roman"/>
                      <w:b/>
                      <w:bCs w:val="0"/>
                      <w:kern w:val="2"/>
                      <w:sz w:val="21"/>
                      <w:szCs w:val="21"/>
                    </w:rPr>
                  </w:pPr>
                  <w:r>
                    <w:rPr>
                      <w:rFonts w:hint="default" w:ascii="Times New Roman" w:hAnsi="Times New Roman" w:cs="Times New Roman"/>
                      <w:b/>
                      <w:bCs w:val="0"/>
                      <w:kern w:val="2"/>
                      <w:sz w:val="21"/>
                      <w:szCs w:val="21"/>
                    </w:rPr>
                    <w:t>单位</w:t>
                  </w:r>
                </w:p>
              </w:tc>
              <w:tc>
                <w:tcPr>
                  <w:tcW w:w="1910" w:type="dxa"/>
                  <w:tcBorders>
                    <w:top w:val="single" w:color="auto" w:sz="4" w:space="0"/>
                    <w:left w:val="single" w:color="auto" w:sz="4" w:space="0"/>
                    <w:bottom w:val="single" w:color="auto" w:sz="4" w:space="0"/>
                    <w:right w:val="single" w:color="auto" w:sz="4" w:space="0"/>
                  </w:tcBorders>
                  <w:vAlign w:val="center"/>
                </w:tcPr>
                <w:p w14:paraId="34B229AD">
                  <w:pPr>
                    <w:pStyle w:val="3"/>
                    <w:spacing w:before="0" w:beforeAutospacing="0" w:after="0" w:afterAutospacing="0"/>
                    <w:ind w:left="0" w:right="0"/>
                    <w:jc w:val="center"/>
                    <w:rPr>
                      <w:rFonts w:hint="default" w:ascii="Times New Roman" w:hAnsi="Times New Roman" w:eastAsia="宋体" w:cs="Times New Roman"/>
                      <w:b/>
                      <w:bCs w:val="0"/>
                      <w:kern w:val="2"/>
                      <w:sz w:val="21"/>
                      <w:szCs w:val="21"/>
                      <w:lang w:val="en-US" w:eastAsia="zh-CN"/>
                    </w:rPr>
                  </w:pPr>
                  <w:r>
                    <w:rPr>
                      <w:rFonts w:hint="default" w:ascii="Times New Roman" w:hAnsi="Times New Roman" w:cs="Times New Roman"/>
                      <w:b/>
                      <w:bCs w:val="0"/>
                      <w:kern w:val="2"/>
                      <w:sz w:val="21"/>
                      <w:szCs w:val="21"/>
                    </w:rPr>
                    <w:t>最大存在量qn/t</w:t>
                  </w:r>
                </w:p>
              </w:tc>
              <w:tc>
                <w:tcPr>
                  <w:tcW w:w="1949" w:type="dxa"/>
                  <w:tcBorders>
                    <w:top w:val="single" w:color="auto" w:sz="4" w:space="0"/>
                    <w:left w:val="single" w:color="auto" w:sz="4" w:space="0"/>
                    <w:bottom w:val="single" w:color="auto" w:sz="4" w:space="0"/>
                    <w:right w:val="single" w:color="auto" w:sz="4" w:space="0"/>
                  </w:tcBorders>
                  <w:vAlign w:val="center"/>
                </w:tcPr>
                <w:p w14:paraId="7E7950AB">
                  <w:pPr>
                    <w:pStyle w:val="3"/>
                    <w:spacing w:before="0" w:beforeAutospacing="0" w:after="0" w:afterAutospacing="0"/>
                    <w:ind w:left="0" w:right="0"/>
                    <w:jc w:val="center"/>
                    <w:rPr>
                      <w:rFonts w:hint="default" w:ascii="Times New Roman" w:hAnsi="Times New Roman" w:cs="Times New Roman"/>
                      <w:b/>
                      <w:bCs w:val="0"/>
                      <w:kern w:val="2"/>
                      <w:sz w:val="21"/>
                      <w:szCs w:val="21"/>
                    </w:rPr>
                  </w:pPr>
                  <w:r>
                    <w:rPr>
                      <w:rFonts w:hint="default" w:ascii="Times New Roman" w:hAnsi="Times New Roman" w:cs="Times New Roman"/>
                      <w:b/>
                      <w:bCs w:val="0"/>
                      <w:kern w:val="2"/>
                      <w:sz w:val="21"/>
                      <w:szCs w:val="21"/>
                    </w:rPr>
                    <w:t>临界量Qn/t</w:t>
                  </w:r>
                </w:p>
              </w:tc>
              <w:tc>
                <w:tcPr>
                  <w:tcW w:w="1680" w:type="dxa"/>
                  <w:tcBorders>
                    <w:top w:val="single" w:color="auto" w:sz="4" w:space="0"/>
                    <w:left w:val="single" w:color="auto" w:sz="4" w:space="0"/>
                    <w:bottom w:val="single" w:color="auto" w:sz="4" w:space="0"/>
                    <w:right w:val="single" w:color="auto" w:sz="4" w:space="0"/>
                  </w:tcBorders>
                  <w:vAlign w:val="center"/>
                </w:tcPr>
                <w:p w14:paraId="1C8C54B4">
                  <w:pPr>
                    <w:pStyle w:val="3"/>
                    <w:spacing w:before="0" w:beforeAutospacing="0" w:after="0" w:afterAutospacing="0"/>
                    <w:ind w:left="0" w:right="0"/>
                    <w:jc w:val="center"/>
                    <w:rPr>
                      <w:rFonts w:hint="default" w:ascii="Times New Roman" w:hAnsi="Times New Roman" w:cs="Times New Roman"/>
                      <w:b/>
                      <w:bCs w:val="0"/>
                      <w:kern w:val="2"/>
                      <w:sz w:val="21"/>
                      <w:szCs w:val="21"/>
                    </w:rPr>
                  </w:pPr>
                  <w:r>
                    <w:rPr>
                      <w:rFonts w:hint="default" w:ascii="Times New Roman" w:hAnsi="Times New Roman" w:cs="Times New Roman"/>
                      <w:b/>
                      <w:bCs w:val="0"/>
                      <w:kern w:val="2"/>
                      <w:sz w:val="21"/>
                      <w:szCs w:val="21"/>
                    </w:rPr>
                    <w:t>该种危险物质Q值</w:t>
                  </w:r>
                </w:p>
              </w:tc>
            </w:tr>
            <w:tr w14:paraId="0CED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53E10CDB">
                  <w:pPr>
                    <w:pStyle w:val="3"/>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lang w:val="en-US" w:eastAsia="zh-CN"/>
                    </w:rPr>
                    <w:t>机油</w:t>
                  </w:r>
                </w:p>
              </w:tc>
              <w:tc>
                <w:tcPr>
                  <w:tcW w:w="796" w:type="dxa"/>
                  <w:tcBorders>
                    <w:top w:val="single" w:color="auto" w:sz="4" w:space="0"/>
                    <w:left w:val="single" w:color="auto" w:sz="4" w:space="0"/>
                    <w:bottom w:val="single" w:color="auto" w:sz="4" w:space="0"/>
                    <w:right w:val="single" w:color="auto" w:sz="4" w:space="0"/>
                  </w:tcBorders>
                  <w:vAlign w:val="center"/>
                </w:tcPr>
                <w:p w14:paraId="0CA84B61">
                  <w:pPr>
                    <w:pStyle w:val="3"/>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t/a</w:t>
                  </w:r>
                </w:p>
              </w:tc>
              <w:tc>
                <w:tcPr>
                  <w:tcW w:w="1910" w:type="dxa"/>
                  <w:tcBorders>
                    <w:top w:val="single" w:color="auto" w:sz="4" w:space="0"/>
                    <w:left w:val="single" w:color="auto" w:sz="4" w:space="0"/>
                    <w:bottom w:val="single" w:color="auto" w:sz="4" w:space="0"/>
                    <w:right w:val="single" w:color="auto" w:sz="4" w:space="0"/>
                  </w:tcBorders>
                  <w:vAlign w:val="center"/>
                </w:tcPr>
                <w:p w14:paraId="087A6475">
                  <w:pPr>
                    <w:pStyle w:val="3"/>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eastAsia="宋体" w:cs="Times New Roman"/>
                      <w:kern w:val="2"/>
                      <w:sz w:val="21"/>
                      <w:szCs w:val="21"/>
                      <w:lang w:val="en-US" w:eastAsia="zh-CN"/>
                    </w:rPr>
                    <w:t>0.03</w:t>
                  </w:r>
                </w:p>
              </w:tc>
              <w:tc>
                <w:tcPr>
                  <w:tcW w:w="1949" w:type="dxa"/>
                  <w:tcBorders>
                    <w:top w:val="single" w:color="auto" w:sz="4" w:space="0"/>
                    <w:left w:val="single" w:color="auto" w:sz="4" w:space="0"/>
                    <w:bottom w:val="single" w:color="auto" w:sz="4" w:space="0"/>
                    <w:right w:val="single" w:color="auto" w:sz="4" w:space="0"/>
                  </w:tcBorders>
                  <w:vAlign w:val="center"/>
                </w:tcPr>
                <w:p w14:paraId="6867C223">
                  <w:pPr>
                    <w:pStyle w:val="3"/>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color w:val="000000"/>
                      <w:kern w:val="2"/>
                      <w:sz w:val="21"/>
                      <w:szCs w:val="21"/>
                    </w:rPr>
                    <w:t>2500</w:t>
                  </w:r>
                </w:p>
              </w:tc>
              <w:tc>
                <w:tcPr>
                  <w:tcW w:w="1680" w:type="dxa"/>
                  <w:tcBorders>
                    <w:top w:val="single" w:color="auto" w:sz="4" w:space="0"/>
                    <w:left w:val="single" w:color="auto" w:sz="4" w:space="0"/>
                    <w:bottom w:val="single" w:color="auto" w:sz="4" w:space="0"/>
                    <w:right w:val="single" w:color="auto" w:sz="4" w:space="0"/>
                  </w:tcBorders>
                  <w:vAlign w:val="center"/>
                </w:tcPr>
                <w:p w14:paraId="7344FEC5">
                  <w:pPr>
                    <w:pStyle w:val="3"/>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eastAsia="宋体" w:cs="Times New Roman"/>
                      <w:kern w:val="2"/>
                      <w:sz w:val="21"/>
                      <w:szCs w:val="21"/>
                      <w:lang w:val="en-US" w:eastAsia="zh-CN"/>
                    </w:rPr>
                    <w:t>0.000012</w:t>
                  </w:r>
                </w:p>
              </w:tc>
            </w:tr>
            <w:tr w14:paraId="11E5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38885536">
                  <w:pPr>
                    <w:pStyle w:val="3"/>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default" w:ascii="Times New Roman" w:hAnsi="Times New Roman" w:cs="Times New Roman"/>
                      <w:kern w:val="2"/>
                      <w:sz w:val="21"/>
                      <w:szCs w:val="21"/>
                      <w:lang w:val="en-US" w:eastAsia="zh-CN"/>
                    </w:rPr>
                    <w:t>废机油、废机油桶</w:t>
                  </w:r>
                </w:p>
              </w:tc>
              <w:tc>
                <w:tcPr>
                  <w:tcW w:w="796" w:type="dxa"/>
                  <w:tcBorders>
                    <w:top w:val="single" w:color="auto" w:sz="4" w:space="0"/>
                    <w:left w:val="single" w:color="auto" w:sz="4" w:space="0"/>
                    <w:bottom w:val="single" w:color="auto" w:sz="4" w:space="0"/>
                    <w:right w:val="single" w:color="auto" w:sz="4" w:space="0"/>
                  </w:tcBorders>
                  <w:vAlign w:val="center"/>
                </w:tcPr>
                <w:p w14:paraId="62AF6355">
                  <w:pPr>
                    <w:pStyle w:val="3"/>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t/a</w:t>
                  </w:r>
                </w:p>
              </w:tc>
              <w:tc>
                <w:tcPr>
                  <w:tcW w:w="1910" w:type="dxa"/>
                  <w:tcBorders>
                    <w:top w:val="single" w:color="auto" w:sz="4" w:space="0"/>
                    <w:left w:val="single" w:color="auto" w:sz="4" w:space="0"/>
                    <w:bottom w:val="single" w:color="auto" w:sz="4" w:space="0"/>
                    <w:right w:val="single" w:color="auto" w:sz="4" w:space="0"/>
                  </w:tcBorders>
                  <w:vAlign w:val="center"/>
                </w:tcPr>
                <w:p w14:paraId="0304FDDE">
                  <w:pPr>
                    <w:pStyle w:val="3"/>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color w:val="auto"/>
                      <w:lang w:val="en-US" w:eastAsia="zh-CN"/>
                    </w:rPr>
                    <w:t>0.2</w:t>
                  </w:r>
                </w:p>
              </w:tc>
              <w:tc>
                <w:tcPr>
                  <w:tcW w:w="1949" w:type="dxa"/>
                  <w:tcBorders>
                    <w:top w:val="single" w:color="auto" w:sz="4" w:space="0"/>
                    <w:left w:val="single" w:color="auto" w:sz="4" w:space="0"/>
                    <w:bottom w:val="single" w:color="auto" w:sz="4" w:space="0"/>
                    <w:right w:val="single" w:color="auto" w:sz="4" w:space="0"/>
                  </w:tcBorders>
                  <w:vAlign w:val="center"/>
                </w:tcPr>
                <w:p w14:paraId="55EE0A6A">
                  <w:pPr>
                    <w:pStyle w:val="3"/>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default" w:ascii="Times New Roman" w:hAnsi="Times New Roman" w:cs="Times New Roman"/>
                      <w:color w:val="000000"/>
                      <w:kern w:val="2"/>
                      <w:sz w:val="21"/>
                      <w:szCs w:val="21"/>
                    </w:rPr>
                    <w:t>2500</w:t>
                  </w:r>
                </w:p>
              </w:tc>
              <w:tc>
                <w:tcPr>
                  <w:tcW w:w="1680" w:type="dxa"/>
                  <w:tcBorders>
                    <w:top w:val="single" w:color="auto" w:sz="4" w:space="0"/>
                    <w:left w:val="single" w:color="auto" w:sz="4" w:space="0"/>
                    <w:bottom w:val="single" w:color="auto" w:sz="4" w:space="0"/>
                    <w:right w:val="single" w:color="auto" w:sz="4" w:space="0"/>
                  </w:tcBorders>
                  <w:vAlign w:val="center"/>
                </w:tcPr>
                <w:p w14:paraId="133AA251">
                  <w:pPr>
                    <w:pStyle w:val="3"/>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cs="Times New Roman"/>
                      <w:kern w:val="2"/>
                      <w:sz w:val="21"/>
                      <w:szCs w:val="21"/>
                      <w:lang w:val="en-US" w:eastAsia="zh-CN"/>
                    </w:rPr>
                    <w:t>0.00008</w:t>
                  </w:r>
                </w:p>
              </w:tc>
            </w:tr>
            <w:tr w14:paraId="7BA3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2" w:type="dxa"/>
                  <w:gridSpan w:val="3"/>
                  <w:tcBorders>
                    <w:top w:val="single" w:color="auto" w:sz="4" w:space="0"/>
                    <w:left w:val="single" w:color="auto" w:sz="4" w:space="0"/>
                    <w:bottom w:val="single" w:color="auto" w:sz="4" w:space="0"/>
                    <w:right w:val="single" w:color="auto" w:sz="4" w:space="0"/>
                  </w:tcBorders>
                  <w:vAlign w:val="center"/>
                </w:tcPr>
                <w:p w14:paraId="68B65C25">
                  <w:pPr>
                    <w:pStyle w:val="3"/>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项目Q值∑</w:t>
                  </w:r>
                </w:p>
              </w:tc>
              <w:tc>
                <w:tcPr>
                  <w:tcW w:w="1949" w:type="dxa"/>
                  <w:tcBorders>
                    <w:top w:val="single" w:color="auto" w:sz="4" w:space="0"/>
                    <w:left w:val="single" w:color="auto" w:sz="4" w:space="0"/>
                    <w:bottom w:val="single" w:color="auto" w:sz="4" w:space="0"/>
                    <w:right w:val="single" w:color="auto" w:sz="4" w:space="0"/>
                  </w:tcBorders>
                  <w:vAlign w:val="center"/>
                </w:tcPr>
                <w:p w14:paraId="5A6281EC">
                  <w:pPr>
                    <w:pStyle w:val="3"/>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default" w:ascii="Times New Roman" w:hAnsi="Times New Roman" w:cs="Times New Roman"/>
                      <w:kern w:val="2"/>
                      <w:sz w:val="21"/>
                      <w:szCs w:val="21"/>
                      <w:lang w:val="en-US" w:eastAsia="zh-CN"/>
                    </w:rPr>
                    <w:t>/</w:t>
                  </w:r>
                </w:p>
              </w:tc>
              <w:tc>
                <w:tcPr>
                  <w:tcW w:w="1680" w:type="dxa"/>
                  <w:tcBorders>
                    <w:top w:val="single" w:color="auto" w:sz="4" w:space="0"/>
                    <w:left w:val="single" w:color="auto" w:sz="4" w:space="0"/>
                    <w:bottom w:val="single" w:color="auto" w:sz="4" w:space="0"/>
                    <w:right w:val="single" w:color="auto" w:sz="4" w:space="0"/>
                  </w:tcBorders>
                  <w:vAlign w:val="center"/>
                </w:tcPr>
                <w:p w14:paraId="3A3A4C01">
                  <w:pPr>
                    <w:pStyle w:val="3"/>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cs="Times New Roman"/>
                      <w:kern w:val="2"/>
                      <w:sz w:val="21"/>
                      <w:szCs w:val="21"/>
                      <w:lang w:val="en-US" w:eastAsia="zh-CN"/>
                    </w:rPr>
                    <w:t>0.000092</w:t>
                  </w:r>
                </w:p>
              </w:tc>
            </w:tr>
          </w:tbl>
          <w:p w14:paraId="7F5E282C">
            <w:pPr>
              <w:pStyle w:val="57"/>
              <w:spacing w:before="0" w:beforeAutospacing="0" w:after="0" w:afterAutospacing="0"/>
              <w:ind w:left="0" w:right="0" w:firstLine="480"/>
              <w:rPr>
                <w:rFonts w:hint="default"/>
                <w:color w:val="000000"/>
                <w:kern w:val="0"/>
                <w:sz w:val="24"/>
                <w:szCs w:val="24"/>
              </w:rPr>
            </w:pPr>
            <w:r>
              <w:rPr>
                <w:rFonts w:hint="default"/>
                <w:color w:val="000000"/>
                <w:kern w:val="0"/>
                <w:sz w:val="24"/>
                <w:szCs w:val="24"/>
              </w:rPr>
              <w:t>本项目Q=</w:t>
            </w:r>
            <w:r>
              <w:rPr>
                <w:rFonts w:hint="default"/>
                <w:color w:val="000000"/>
                <w:kern w:val="0"/>
                <w:sz w:val="24"/>
                <w:szCs w:val="24"/>
                <w:lang w:val="en-US" w:eastAsia="zh-CN"/>
              </w:rPr>
              <w:t>0.000092</w:t>
            </w:r>
            <w:r>
              <w:rPr>
                <w:rFonts w:hint="default"/>
                <w:color w:val="000000"/>
                <w:kern w:val="0"/>
                <w:sz w:val="24"/>
                <w:szCs w:val="24"/>
              </w:rPr>
              <w:t>＜1，因此，该项目环境风险潜势为</w:t>
            </w:r>
            <w:r>
              <w:rPr>
                <w:rFonts w:hint="default" w:ascii="Times New Roman" w:hAnsi="Times New Roman" w:cs="Times New Roman"/>
                <w:color w:val="000000"/>
                <w:kern w:val="0"/>
                <w:sz w:val="24"/>
                <w:szCs w:val="24"/>
              </w:rPr>
              <w:t>Ⅰ</w:t>
            </w:r>
            <w:r>
              <w:rPr>
                <w:rFonts w:hint="eastAsia"/>
                <w:color w:val="000000"/>
                <w:kern w:val="0"/>
                <w:sz w:val="24"/>
                <w:szCs w:val="24"/>
              </w:rPr>
              <w:t>。</w:t>
            </w:r>
          </w:p>
          <w:p w14:paraId="1F8F13A7">
            <w:pPr>
              <w:widowControl/>
              <w:spacing w:before="0" w:beforeAutospacing="0" w:after="0" w:afterAutospacing="0"/>
              <w:ind w:left="0" w:right="0" w:firstLine="0" w:firstLineChars="0"/>
              <w:rPr>
                <w:rFonts w:hint="default" w:ascii="Times New Roman" w:hAnsi="Times New Roman" w:eastAsia="宋体" w:cs="Times New Roman"/>
                <w:b/>
                <w:bCs/>
                <w:snapToGrid w:val="0"/>
                <w:color w:val="000000"/>
                <w:kern w:val="0"/>
                <w:sz w:val="24"/>
                <w:szCs w:val="24"/>
              </w:rPr>
            </w:pPr>
            <w:r>
              <w:rPr>
                <w:rFonts w:hint="default" w:ascii="Times New Roman" w:hAnsi="Times New Roman" w:eastAsia="宋体" w:cs="Times New Roman"/>
                <w:b/>
                <w:bCs/>
                <w:snapToGrid w:val="0"/>
                <w:color w:val="000000"/>
                <w:kern w:val="0"/>
                <w:sz w:val="24"/>
                <w:szCs w:val="24"/>
              </w:rPr>
              <w:t>6.</w:t>
            </w:r>
            <w:r>
              <w:rPr>
                <w:rFonts w:hint="default" w:ascii="Times New Roman" w:hAnsi="Times New Roman" w:eastAsia="宋体" w:cs="Times New Roman"/>
                <w:b/>
                <w:bCs/>
                <w:snapToGrid w:val="0"/>
                <w:color w:val="000000"/>
                <w:kern w:val="0"/>
                <w:sz w:val="24"/>
                <w:szCs w:val="24"/>
                <w:lang w:val="en-US" w:eastAsia="zh-CN"/>
              </w:rPr>
              <w:t>2</w:t>
            </w:r>
            <w:r>
              <w:rPr>
                <w:rFonts w:hint="default" w:ascii="Times New Roman" w:hAnsi="Times New Roman" w:eastAsia="宋体" w:cs="Times New Roman"/>
                <w:b/>
                <w:bCs/>
                <w:snapToGrid w:val="0"/>
                <w:color w:val="000000"/>
                <w:kern w:val="0"/>
                <w:sz w:val="24"/>
                <w:szCs w:val="24"/>
              </w:rPr>
              <w:t>环境风险识别</w:t>
            </w:r>
          </w:p>
          <w:p w14:paraId="41615A38">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本项目运营期存在的主要环境风险为火灾及爆炸伴生和次生污染物对当地大气环境及群众身体健康产生不利影响。</w:t>
            </w:r>
          </w:p>
          <w:p w14:paraId="59557932">
            <w:pPr>
              <w:widowControl w:val="0"/>
              <w:wordWrap/>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6.3环境风险分析</w:t>
            </w:r>
          </w:p>
          <w:p w14:paraId="64D9897F">
            <w:pPr>
              <w:widowControl w:val="0"/>
              <w:wordWrap/>
              <w:adjustRightInd/>
              <w:snapToGrid/>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（1）机油泄露</w:t>
            </w:r>
          </w:p>
          <w:p w14:paraId="36CAD254">
            <w:pPr>
              <w:widowControl w:val="0"/>
              <w:wordWrap/>
              <w:adjustRightInd/>
              <w:snapToGrid/>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机油（废机油）在进行液体的装卸、存储过程中，有可能发生液体泄漏事故。当大量的可燃性液体自储罐或附属管泄露到地面后，将向四周流淌、扩展，液体将在限定区域内得以积聚，形成一定厚度的液池。这时，若遇到火源，液池将被点燃，发生火灾。将对人员和设备设施的安全造成严重威胁外，也会对周围人员和设备造成损坏。在热辐射的作用下，受到伤害或破坏的目标可能是人、设备、设施、厂房、建筑物等。</w:t>
            </w:r>
          </w:p>
          <w:p w14:paraId="3094AA1F">
            <w:pPr>
              <w:widowControl w:val="0"/>
              <w:wordWrap/>
              <w:adjustRightInd/>
              <w:snapToGrid/>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 xml:space="preserve">（2）危废流失 </w:t>
            </w:r>
          </w:p>
          <w:p w14:paraId="57495A9E">
            <w:pPr>
              <w:widowControl w:val="0"/>
              <w:wordWrap/>
              <w:adjustRightInd/>
              <w:snapToGrid/>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项目产生的危废随生活垃圾或一般固废流失出厂。危险废物贮存点中</w:t>
            </w:r>
            <w:r>
              <w:rPr>
                <w:rFonts w:hint="eastAsia" w:cs="Times New Roman"/>
                <w:color w:val="auto"/>
                <w:kern w:val="0"/>
                <w:sz w:val="24"/>
                <w:szCs w:val="24"/>
                <w:lang w:val="en-US" w:eastAsia="zh-CN"/>
              </w:rPr>
              <w:t>废机油、废机油桶</w:t>
            </w:r>
            <w:r>
              <w:rPr>
                <w:rFonts w:hint="default" w:ascii="Times New Roman" w:hAnsi="Times New Roman" w:eastAsia="宋体" w:cs="Times New Roman"/>
                <w:color w:val="auto"/>
                <w:kern w:val="0"/>
                <w:sz w:val="24"/>
                <w:szCs w:val="24"/>
                <w:lang w:val="en-US" w:eastAsia="zh-CN"/>
              </w:rPr>
              <w:t xml:space="preserve">，在日常储存过程中若发生泄漏，进入雨水管网或溢流至场区外部，对大气及水环境均存在一定风险，同时可能对人体健康造成危害。 </w:t>
            </w:r>
          </w:p>
          <w:p w14:paraId="7BEB946D">
            <w:pPr>
              <w:widowControl w:val="0"/>
              <w:wordWrap/>
              <w:adjustRightInd/>
              <w:snapToGrid/>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w:t>
            </w:r>
            <w:r>
              <w:rPr>
                <w:rFonts w:hint="eastAsia"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lang w:val="en-US" w:eastAsia="zh-CN"/>
              </w:rPr>
              <w:t xml:space="preserve">）废气处理装置故障 </w:t>
            </w:r>
          </w:p>
          <w:p w14:paraId="6B75B3F2">
            <w:pPr>
              <w:widowControl w:val="0"/>
              <w:wordWrap/>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本项目</w:t>
            </w:r>
            <w:r>
              <w:rPr>
                <w:rFonts w:hint="eastAsia" w:cs="Times New Roman"/>
                <w:color w:val="auto"/>
                <w:kern w:val="0"/>
                <w:sz w:val="24"/>
                <w:szCs w:val="24"/>
                <w:lang w:val="en-US" w:eastAsia="zh-CN"/>
              </w:rPr>
              <w:t>布袋除尘器</w:t>
            </w:r>
            <w:r>
              <w:rPr>
                <w:rFonts w:hint="default" w:ascii="Times New Roman" w:hAnsi="Times New Roman" w:eastAsia="宋体" w:cs="Times New Roman"/>
                <w:color w:val="auto"/>
                <w:kern w:val="0"/>
                <w:sz w:val="24"/>
                <w:szCs w:val="24"/>
                <w:lang w:val="en-US" w:eastAsia="zh-CN"/>
              </w:rPr>
              <w:t>处理设施失效，造成废气未经处理直接排放，将造成周围大气环境污染。</w:t>
            </w:r>
          </w:p>
          <w:p w14:paraId="06A68111">
            <w:pPr>
              <w:widowControl w:val="0"/>
              <w:wordWrap/>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6.4风险防范措施</w:t>
            </w:r>
            <w:r>
              <w:rPr>
                <w:rFonts w:hint="default" w:ascii="Times New Roman" w:hAnsi="Times New Roman" w:eastAsia="宋体" w:cs="Times New Roman"/>
                <w:color w:val="auto"/>
                <w:kern w:val="0"/>
                <w:sz w:val="24"/>
                <w:szCs w:val="24"/>
                <w:lang w:val="en-US" w:eastAsia="zh-CN"/>
              </w:rPr>
              <w:t xml:space="preserve"> </w:t>
            </w:r>
          </w:p>
          <w:p w14:paraId="56082BF4">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w:t>
            </w:r>
            <w:r>
              <w:rPr>
                <w:rFonts w:hint="eastAsia" w:cs="Times New Roman"/>
                <w:b w:val="0"/>
                <w:bCs w:val="0"/>
                <w:color w:val="000000"/>
                <w:kern w:val="0"/>
                <w:sz w:val="24"/>
                <w:szCs w:val="24"/>
                <w:lang w:val="en-US" w:eastAsia="zh-CN"/>
              </w:rPr>
              <w:t>1</w:t>
            </w:r>
            <w:r>
              <w:rPr>
                <w:rFonts w:hint="default" w:ascii="Times New Roman" w:hAnsi="Times New Roman" w:eastAsia="宋体" w:cs="Times New Roman"/>
                <w:b w:val="0"/>
                <w:bCs w:val="0"/>
                <w:color w:val="000000"/>
                <w:kern w:val="0"/>
                <w:sz w:val="24"/>
                <w:szCs w:val="24"/>
                <w:lang w:val="en-US" w:eastAsia="zh-CN"/>
              </w:rPr>
              <w:t>）生产过程风险防范</w:t>
            </w:r>
          </w:p>
          <w:p w14:paraId="3092ED67">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生产过程事故风险防范是安全生产的核心，要严格采取措施加以防范，尽可能降低事故发生概率。</w:t>
            </w:r>
          </w:p>
          <w:p w14:paraId="2C9AF211">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①工艺技术尽量应用自动化、密闭化控制手段，在仪表控制系统尽量使用联锁、声光、报警灯事故应急系统。</w:t>
            </w:r>
          </w:p>
          <w:p w14:paraId="4A8FEDF5">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②生产过程中，要求员工熟悉防火知识和正确掌握灭火器材的使用方法。车间内操作人员已穿戴好防护用品：车间、库房内应严禁烟火，已采用防爆灯照明和防爆风机。</w:t>
            </w:r>
          </w:p>
          <w:p w14:paraId="66D0C1DB">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③企业应安排专门人员对生产过程中的安全进行监督管理，密切注意各类装置易发生事故的部位，并定期对设备进行检查与维修保养，严禁带病或不正常运转。</w:t>
            </w:r>
          </w:p>
          <w:p w14:paraId="23AA7274">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w:t>
            </w:r>
            <w:r>
              <w:rPr>
                <w:rFonts w:hint="eastAsia" w:cs="Times New Roman"/>
                <w:b w:val="0"/>
                <w:bCs w:val="0"/>
                <w:color w:val="000000"/>
                <w:kern w:val="0"/>
                <w:sz w:val="24"/>
                <w:szCs w:val="24"/>
                <w:lang w:val="en-US" w:eastAsia="zh-CN"/>
              </w:rPr>
              <w:t>2</w:t>
            </w:r>
            <w:r>
              <w:rPr>
                <w:rFonts w:hint="default" w:ascii="Times New Roman" w:hAnsi="Times New Roman" w:eastAsia="宋体" w:cs="Times New Roman"/>
                <w:b w:val="0"/>
                <w:bCs w:val="0"/>
                <w:color w:val="000000"/>
                <w:kern w:val="0"/>
                <w:sz w:val="24"/>
                <w:szCs w:val="24"/>
                <w:lang w:val="en-US" w:eastAsia="zh-CN"/>
              </w:rPr>
              <w:t>）废气事故风险预防措施</w:t>
            </w:r>
          </w:p>
          <w:p w14:paraId="66F488ED">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①平时加强废气处理设施的维护保养，及时发现处理设备的隐患，并及时进行维修，确保废气处理系统正常运行；</w:t>
            </w:r>
          </w:p>
          <w:p w14:paraId="0BFFF171">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②已建立健全的环保机构，并定期委托第三方监测单位进行检测，对管理人员和技术人员进行岗位培训，对废气处理实行全过程跟踪控制。实行以上制度及相关措施后，减少了大气环境风险所造成的影响，满足现有工程要求。</w:t>
            </w:r>
          </w:p>
          <w:p w14:paraId="0E8A44A1">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w:t>
            </w:r>
            <w:r>
              <w:rPr>
                <w:rFonts w:hint="eastAsia" w:cs="Times New Roman"/>
                <w:b w:val="0"/>
                <w:bCs w:val="0"/>
                <w:color w:val="000000"/>
                <w:kern w:val="0"/>
                <w:sz w:val="24"/>
                <w:szCs w:val="24"/>
                <w:lang w:val="en-US" w:eastAsia="zh-CN"/>
              </w:rPr>
              <w:t>3</w:t>
            </w:r>
            <w:r>
              <w:rPr>
                <w:rFonts w:hint="default" w:ascii="Times New Roman" w:hAnsi="Times New Roman" w:eastAsia="宋体" w:cs="Times New Roman"/>
                <w:b w:val="0"/>
                <w:bCs w:val="0"/>
                <w:color w:val="000000"/>
                <w:kern w:val="0"/>
                <w:sz w:val="24"/>
                <w:szCs w:val="24"/>
                <w:lang w:val="en-US" w:eastAsia="zh-CN"/>
              </w:rPr>
              <w:t>）固废风险防范措施</w:t>
            </w:r>
          </w:p>
          <w:p w14:paraId="7A30F311">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本项目固废暂存的一般固废暂存处和危废暂存间依托，分类收集暂存后，一般工业固废综合利用，危险废物委托有资质单位进行处置。固废得到有效处置，不会对环境产生二次污染。</w:t>
            </w:r>
          </w:p>
          <w:p w14:paraId="4CE30DEB">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危废暂存间需严格按照《危险废物储存污染控制标准》的要求设计，并对地面采取防雨、防腐和防渗“三防”措施。在建设过程中须做到以下相关要求：</w:t>
            </w:r>
          </w:p>
          <w:p w14:paraId="7EE01CFE">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①基础必须全面防渗，防渗层须具备防腐性能；</w:t>
            </w:r>
          </w:p>
          <w:p w14:paraId="073DB545">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②地面与裙脚要用坚固、防渗的材料建造，建筑材料必须与危险废物相容；</w:t>
            </w:r>
          </w:p>
          <w:p w14:paraId="12698843">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③项目危废暂存于危废暂存间，危险废物贮存要贴上标签;容器及容器的材质要满足强度要求，并必须完整无损。</w:t>
            </w:r>
          </w:p>
          <w:p w14:paraId="1A1E2620">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④危险废物分类妥善收集后，按照相关操作规范储存、处理。废活性炭危险固废委托给具有处理资质的单位进行处置。项目处置危险固废的措施符合《中华人民共和国固体废物污染环境防治法》，并严格执行了《危险废物转移联单管理办法》规定的各项程序。</w:t>
            </w:r>
          </w:p>
          <w:p w14:paraId="4D37440D">
            <w:pPr>
              <w:ind w:firstLine="480"/>
              <w:rPr>
                <w:color w:val="auto"/>
                <w:kern w:val="0"/>
                <w:lang w:bidi="ar"/>
              </w:rPr>
            </w:pPr>
          </w:p>
          <w:p w14:paraId="13EA4A80">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71903601">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6D4DEF85">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24952585">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1D6F028D">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28928092">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70978EC6">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0135B217">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72366F26">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06A7C5C1">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19418FEA">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525F0906">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21A2DBCB">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58BCF508">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6F991C1B">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0527808D">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61B8B263">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001FC6D2">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1C18E751">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2E86D9AF">
            <w:pPr>
              <w:autoSpaceDE w:val="0"/>
              <w:autoSpaceDN w:val="0"/>
              <w:spacing w:line="460" w:lineRule="exact"/>
              <w:ind w:firstLine="0" w:firstLineChars="0"/>
              <w:jc w:val="center"/>
              <w:rPr>
                <w:rFonts w:hint="eastAsia" w:ascii="宋体" w:hAnsi="宋体" w:cs="宋体"/>
                <w:color w:val="auto"/>
                <w:kern w:val="0"/>
                <w:szCs w:val="21"/>
                <w:lang w:val="en-US" w:eastAsia="zh-CN"/>
              </w:rPr>
            </w:pPr>
          </w:p>
          <w:p w14:paraId="5079D42E">
            <w:pPr>
              <w:autoSpaceDE w:val="0"/>
              <w:autoSpaceDN w:val="0"/>
              <w:spacing w:line="460" w:lineRule="exact"/>
              <w:ind w:firstLine="0" w:firstLineChars="0"/>
              <w:jc w:val="both"/>
              <w:rPr>
                <w:rFonts w:hint="default" w:ascii="宋体" w:hAnsi="宋体" w:eastAsia="宋体" w:cs="宋体"/>
                <w:color w:val="auto"/>
                <w:kern w:val="0"/>
                <w:szCs w:val="21"/>
                <w:lang w:val="en-US" w:eastAsia="zh-CN"/>
              </w:rPr>
            </w:pPr>
          </w:p>
        </w:tc>
      </w:tr>
    </w:tbl>
    <w:p w14:paraId="0E73407D">
      <w:pPr>
        <w:pStyle w:val="13"/>
        <w:sectPr>
          <w:pgSz w:w="11907" w:h="16840"/>
          <w:pgMar w:top="1701" w:right="1531" w:bottom="2127" w:left="1531" w:header="851" w:footer="851" w:gutter="0"/>
          <w:pgNumType w:fmt="decimal"/>
          <w:cols w:space="720" w:num="1"/>
          <w:docGrid w:linePitch="312" w:charSpace="0"/>
        </w:sectPr>
      </w:pPr>
    </w:p>
    <w:p w14:paraId="069CF8D4">
      <w:pPr>
        <w:pStyle w:val="23"/>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20" w:name="_Hlk54167917"/>
      <w:r>
        <w:rPr>
          <w:rFonts w:hint="eastAsia" w:ascii="黑体" w:hAnsi="黑体" w:eastAsia="黑体"/>
          <w:snapToGrid w:val="0"/>
          <w:color w:val="auto"/>
          <w:sz w:val="30"/>
          <w:szCs w:val="30"/>
        </w:rPr>
        <w:t>环境保护措施监督检查清单</w:t>
      </w:r>
      <w:bookmarkEnd w:id="20"/>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22"/>
        <w:gridCol w:w="1163"/>
        <w:gridCol w:w="930"/>
        <w:gridCol w:w="3645"/>
        <w:gridCol w:w="1633"/>
      </w:tblGrid>
      <w:tr w14:paraId="55C09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tcBorders>
              <w:tl2br w:val="single" w:color="auto" w:sz="4" w:space="0"/>
            </w:tcBorders>
            <w:vAlign w:val="center"/>
          </w:tcPr>
          <w:p w14:paraId="2138C520">
            <w:pPr>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内容</w:t>
            </w:r>
          </w:p>
          <w:p w14:paraId="3E96020A">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color w:val="auto"/>
                <w:szCs w:val="21"/>
              </w:rPr>
            </w:pPr>
          </w:p>
          <w:p w14:paraId="5AB83379">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要素</w:t>
            </w:r>
          </w:p>
        </w:tc>
        <w:tc>
          <w:tcPr>
            <w:tcW w:w="922" w:type="dxa"/>
            <w:vAlign w:val="center"/>
          </w:tcPr>
          <w:p w14:paraId="5156058D">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排放口(编号、名称)/污染源</w:t>
            </w:r>
          </w:p>
        </w:tc>
        <w:tc>
          <w:tcPr>
            <w:tcW w:w="2093" w:type="dxa"/>
            <w:gridSpan w:val="2"/>
            <w:vAlign w:val="center"/>
          </w:tcPr>
          <w:p w14:paraId="6324F29B">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污染物项目</w:t>
            </w:r>
          </w:p>
        </w:tc>
        <w:tc>
          <w:tcPr>
            <w:tcW w:w="3645" w:type="dxa"/>
            <w:vAlign w:val="center"/>
          </w:tcPr>
          <w:p w14:paraId="407A3181">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环境保护措施</w:t>
            </w:r>
          </w:p>
        </w:tc>
        <w:tc>
          <w:tcPr>
            <w:tcW w:w="1633" w:type="dxa"/>
            <w:vAlign w:val="center"/>
          </w:tcPr>
          <w:p w14:paraId="65BC96F2">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执行标准</w:t>
            </w:r>
          </w:p>
        </w:tc>
      </w:tr>
      <w:tr w14:paraId="1C202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Merge w:val="restart"/>
            <w:vAlign w:val="center"/>
          </w:tcPr>
          <w:p w14:paraId="2DDF96B8">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大气环境</w:t>
            </w:r>
          </w:p>
        </w:tc>
        <w:tc>
          <w:tcPr>
            <w:tcW w:w="922" w:type="dxa"/>
            <w:vMerge w:val="restart"/>
            <w:vAlign w:val="center"/>
          </w:tcPr>
          <w:p w14:paraId="25F868AF">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szCs w:val="21"/>
              </w:rPr>
              <w:t>无组织</w:t>
            </w:r>
          </w:p>
        </w:tc>
        <w:tc>
          <w:tcPr>
            <w:tcW w:w="1163" w:type="dxa"/>
            <w:vAlign w:val="center"/>
          </w:tcPr>
          <w:p w14:paraId="74987057">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筒仓呼吸粉尘</w:t>
            </w:r>
          </w:p>
        </w:tc>
        <w:tc>
          <w:tcPr>
            <w:tcW w:w="930" w:type="dxa"/>
            <w:vMerge w:val="restart"/>
            <w:vAlign w:val="center"/>
          </w:tcPr>
          <w:p w14:paraId="458BE37F">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颗粒物</w:t>
            </w:r>
          </w:p>
        </w:tc>
        <w:tc>
          <w:tcPr>
            <w:tcW w:w="3645" w:type="dxa"/>
            <w:vAlign w:val="center"/>
          </w:tcPr>
          <w:p w14:paraId="65B05102">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筒仓呼吸粉尘经仓顶自带布袋除尘器处理后，车间内无组织排放</w:t>
            </w:r>
          </w:p>
        </w:tc>
        <w:tc>
          <w:tcPr>
            <w:tcW w:w="1633" w:type="dxa"/>
            <w:vMerge w:val="restart"/>
            <w:vAlign w:val="center"/>
          </w:tcPr>
          <w:p w14:paraId="21A16ED9">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安徽省地方标准《水泥工业大气污染物排放标准》（DB34/3576-2020）中相关标准</w:t>
            </w:r>
          </w:p>
        </w:tc>
      </w:tr>
      <w:tr w14:paraId="4B2F6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Merge w:val="continue"/>
            <w:vAlign w:val="center"/>
          </w:tcPr>
          <w:p w14:paraId="5FC4A97E">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c>
          <w:tcPr>
            <w:tcW w:w="922" w:type="dxa"/>
            <w:vMerge w:val="continue"/>
            <w:vAlign w:val="center"/>
          </w:tcPr>
          <w:p w14:paraId="09FC1426">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cs="Times New Roman"/>
                <w:color w:val="auto"/>
              </w:rPr>
            </w:pPr>
          </w:p>
        </w:tc>
        <w:tc>
          <w:tcPr>
            <w:tcW w:w="1163" w:type="dxa"/>
            <w:vAlign w:val="center"/>
          </w:tcPr>
          <w:p w14:paraId="76E5B52C">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卸料粉尘</w:t>
            </w:r>
          </w:p>
        </w:tc>
        <w:tc>
          <w:tcPr>
            <w:tcW w:w="930" w:type="dxa"/>
            <w:vMerge w:val="continue"/>
            <w:vAlign w:val="center"/>
          </w:tcPr>
          <w:p w14:paraId="635B934D">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c>
          <w:tcPr>
            <w:tcW w:w="3645" w:type="dxa"/>
            <w:vAlign w:val="center"/>
          </w:tcPr>
          <w:p w14:paraId="1078C631">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采取生产车间封闭（控尘效率90%）、安装喷淋装置（控尘效率50%）、减小卸料落差、地面硬化、定期清扫地面的措施</w:t>
            </w:r>
          </w:p>
        </w:tc>
        <w:tc>
          <w:tcPr>
            <w:tcW w:w="1633" w:type="dxa"/>
            <w:vMerge w:val="continue"/>
            <w:vAlign w:val="center"/>
          </w:tcPr>
          <w:p w14:paraId="607A26C7">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r>
      <w:tr w14:paraId="43649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Merge w:val="continue"/>
            <w:vAlign w:val="center"/>
          </w:tcPr>
          <w:p w14:paraId="1072713E">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c>
          <w:tcPr>
            <w:tcW w:w="922" w:type="dxa"/>
            <w:vMerge w:val="continue"/>
            <w:vAlign w:val="center"/>
          </w:tcPr>
          <w:p w14:paraId="253A4F8F">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cs="Times New Roman"/>
                <w:color w:val="auto"/>
              </w:rPr>
            </w:pPr>
          </w:p>
        </w:tc>
        <w:tc>
          <w:tcPr>
            <w:tcW w:w="1163" w:type="dxa"/>
            <w:vAlign w:val="center"/>
          </w:tcPr>
          <w:p w14:paraId="43EC37FA">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车辆运输扬尘</w:t>
            </w:r>
          </w:p>
        </w:tc>
        <w:tc>
          <w:tcPr>
            <w:tcW w:w="930" w:type="dxa"/>
            <w:vMerge w:val="continue"/>
            <w:vAlign w:val="center"/>
          </w:tcPr>
          <w:p w14:paraId="4CEB58CC">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c>
          <w:tcPr>
            <w:tcW w:w="3645" w:type="dxa"/>
            <w:vAlign w:val="center"/>
          </w:tcPr>
          <w:p w14:paraId="6691958E">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设置洗车平台，厂区内道路硬化、洒水抑尘、定期清扫地面的措施</w:t>
            </w:r>
          </w:p>
        </w:tc>
        <w:tc>
          <w:tcPr>
            <w:tcW w:w="1633" w:type="dxa"/>
            <w:vMerge w:val="continue"/>
            <w:vAlign w:val="center"/>
          </w:tcPr>
          <w:p w14:paraId="564178FC">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r>
      <w:tr w14:paraId="17A34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Merge w:val="continue"/>
            <w:vAlign w:val="center"/>
          </w:tcPr>
          <w:p w14:paraId="40FE85E7">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c>
          <w:tcPr>
            <w:tcW w:w="922" w:type="dxa"/>
            <w:vAlign w:val="center"/>
          </w:tcPr>
          <w:p w14:paraId="1D1E85C3">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DA00</w:t>
            </w:r>
            <w:r>
              <w:rPr>
                <w:rFonts w:hint="eastAsia" w:cs="Times New Roman"/>
                <w:color w:val="auto"/>
                <w:lang w:val="en-US" w:eastAsia="zh-CN"/>
              </w:rPr>
              <w:t>4</w:t>
            </w:r>
          </w:p>
        </w:tc>
        <w:tc>
          <w:tcPr>
            <w:tcW w:w="1163" w:type="dxa"/>
            <w:vAlign w:val="center"/>
          </w:tcPr>
          <w:p w14:paraId="78B8FC3B">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输送</w:t>
            </w:r>
            <w:r>
              <w:rPr>
                <w:rFonts w:hint="eastAsia" w:cs="Times New Roman"/>
                <w:color w:val="auto"/>
                <w:lang w:eastAsia="zh-CN"/>
              </w:rPr>
              <w:t>、</w:t>
            </w:r>
            <w:r>
              <w:rPr>
                <w:rFonts w:hint="default" w:ascii="Times New Roman" w:hAnsi="Times New Roman" w:cs="Times New Roman"/>
                <w:color w:val="auto"/>
              </w:rPr>
              <w:t>投料</w:t>
            </w:r>
            <w:r>
              <w:rPr>
                <w:rFonts w:hint="default" w:ascii="Times New Roman" w:hAnsi="Times New Roman" w:cs="Times New Roman"/>
                <w:color w:val="auto"/>
                <w:szCs w:val="21"/>
              </w:rPr>
              <w:t>粉尘</w:t>
            </w:r>
          </w:p>
        </w:tc>
        <w:tc>
          <w:tcPr>
            <w:tcW w:w="930" w:type="dxa"/>
            <w:vMerge w:val="continue"/>
            <w:vAlign w:val="center"/>
          </w:tcPr>
          <w:p w14:paraId="7A14E6D0">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c>
          <w:tcPr>
            <w:tcW w:w="3645" w:type="dxa"/>
            <w:vAlign w:val="center"/>
          </w:tcPr>
          <w:p w14:paraId="74E579D7">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采取</w:t>
            </w:r>
            <w:r>
              <w:rPr>
                <w:rFonts w:hint="eastAsia" w:cs="Times New Roman"/>
                <w:color w:val="auto"/>
                <w:lang w:val="en-US" w:eastAsia="zh-CN"/>
              </w:rPr>
              <w:t>输送带封闭、安装喷淋装置（降尘50%）、</w:t>
            </w:r>
            <w:r>
              <w:rPr>
                <w:rFonts w:hint="eastAsia" w:cs="Times New Roman"/>
                <w:color w:val="auto"/>
                <w:lang w:eastAsia="zh-CN"/>
              </w:rPr>
              <w:t>“</w:t>
            </w:r>
            <w:r>
              <w:rPr>
                <w:rFonts w:hint="default" w:ascii="Times New Roman" w:hAnsi="Times New Roman" w:cs="Times New Roman"/>
                <w:color w:val="auto"/>
                <w:lang w:val="en-US" w:eastAsia="zh-CN"/>
              </w:rPr>
              <w:t>集气罩收集（收集效率为90%）+布袋除尘器（处理效率9</w:t>
            </w:r>
            <w:r>
              <w:rPr>
                <w:rFonts w:hint="eastAsia" w:cs="Times New Roman"/>
                <w:color w:val="auto"/>
                <w:lang w:val="en-US" w:eastAsia="zh-CN"/>
              </w:rPr>
              <w:t>9</w:t>
            </w:r>
            <w:r>
              <w:rPr>
                <w:rFonts w:hint="default" w:ascii="Times New Roman" w:hAnsi="Times New Roman" w:cs="Times New Roman"/>
                <w:color w:val="auto"/>
                <w:lang w:val="en-US" w:eastAsia="zh-CN"/>
              </w:rPr>
              <w:t>%）</w:t>
            </w:r>
            <w:r>
              <w:rPr>
                <w:rFonts w:hint="eastAsia" w:cs="Times New Roman"/>
                <w:color w:val="auto"/>
                <w:lang w:eastAsia="zh-CN"/>
              </w:rPr>
              <w:t>”</w:t>
            </w:r>
            <w:r>
              <w:rPr>
                <w:rFonts w:hint="default" w:ascii="Times New Roman" w:hAnsi="Times New Roman" w:cs="Times New Roman"/>
                <w:color w:val="auto"/>
                <w:lang w:val="en-US" w:eastAsia="zh-CN"/>
              </w:rPr>
              <w:t>处理后，经15m（DA001）排气筒排放</w:t>
            </w:r>
          </w:p>
        </w:tc>
        <w:tc>
          <w:tcPr>
            <w:tcW w:w="1633" w:type="dxa"/>
            <w:vMerge w:val="continue"/>
            <w:vAlign w:val="center"/>
          </w:tcPr>
          <w:p w14:paraId="294B17CF">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r>
      <w:tr w14:paraId="79EA6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Merge w:val="continue"/>
            <w:vAlign w:val="center"/>
          </w:tcPr>
          <w:p w14:paraId="78E46D58">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c>
          <w:tcPr>
            <w:tcW w:w="922" w:type="dxa"/>
            <w:vAlign w:val="center"/>
          </w:tcPr>
          <w:p w14:paraId="4788C9FA">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食堂</w:t>
            </w:r>
          </w:p>
        </w:tc>
        <w:tc>
          <w:tcPr>
            <w:tcW w:w="2093" w:type="dxa"/>
            <w:gridSpan w:val="2"/>
            <w:vAlign w:val="center"/>
          </w:tcPr>
          <w:p w14:paraId="6BDBEF4B">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油烟</w:t>
            </w:r>
          </w:p>
        </w:tc>
        <w:tc>
          <w:tcPr>
            <w:tcW w:w="3645" w:type="dxa"/>
            <w:vAlign w:val="center"/>
          </w:tcPr>
          <w:p w14:paraId="5D8A2275">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油烟净化处理、专用烟道屋顶排放</w:t>
            </w:r>
          </w:p>
        </w:tc>
        <w:tc>
          <w:tcPr>
            <w:tcW w:w="1633" w:type="dxa"/>
            <w:vAlign w:val="center"/>
          </w:tcPr>
          <w:p w14:paraId="5F821963">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《饮食业油烟排放标准》（GB18483-2001）中的相关限值</w:t>
            </w:r>
          </w:p>
        </w:tc>
      </w:tr>
      <w:tr w14:paraId="68C04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67" w:type="dxa"/>
            <w:vAlign w:val="center"/>
          </w:tcPr>
          <w:p w14:paraId="241468DE">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地表水环境</w:t>
            </w:r>
          </w:p>
        </w:tc>
        <w:tc>
          <w:tcPr>
            <w:tcW w:w="922" w:type="dxa"/>
            <w:vAlign w:val="center"/>
          </w:tcPr>
          <w:p w14:paraId="01D3131A">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生活污水</w:t>
            </w:r>
          </w:p>
        </w:tc>
        <w:tc>
          <w:tcPr>
            <w:tcW w:w="2093" w:type="dxa"/>
            <w:gridSpan w:val="2"/>
            <w:vAlign w:val="center"/>
          </w:tcPr>
          <w:p w14:paraId="78F06A60">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lang w:val="de-DE"/>
              </w:rPr>
              <w:t>COD、</w:t>
            </w:r>
            <w:r>
              <w:rPr>
                <w:rFonts w:hint="default" w:ascii="Times New Roman" w:hAnsi="Times New Roman" w:cs="Times New Roman"/>
                <w:color w:val="auto"/>
              </w:rPr>
              <w:t>BOD</w:t>
            </w:r>
            <w:r>
              <w:rPr>
                <w:rFonts w:hint="default" w:ascii="Times New Roman" w:hAnsi="Times New Roman" w:cs="Times New Roman"/>
                <w:color w:val="auto"/>
                <w:vertAlign w:val="subscript"/>
              </w:rPr>
              <w:t>5</w:t>
            </w:r>
            <w:r>
              <w:rPr>
                <w:rFonts w:hint="default" w:ascii="Times New Roman" w:hAnsi="Times New Roman" w:cs="Times New Roman"/>
                <w:color w:val="auto"/>
                <w:lang w:val="de-DE"/>
              </w:rPr>
              <w:t>、SS等</w:t>
            </w:r>
          </w:p>
        </w:tc>
        <w:tc>
          <w:tcPr>
            <w:tcW w:w="3645" w:type="dxa"/>
            <w:vAlign w:val="center"/>
          </w:tcPr>
          <w:p w14:paraId="1DD0CFF9">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厂区雨污分流制，经隔油池</w:t>
            </w:r>
            <w:r>
              <w:rPr>
                <w:rFonts w:hint="default" w:ascii="Times New Roman" w:hAnsi="Times New Roman" w:cs="Times New Roman"/>
                <w:color w:val="auto"/>
                <w:lang w:val="en-US" w:eastAsia="zh-CN"/>
              </w:rPr>
              <w:t>（依托现有）</w:t>
            </w:r>
            <w:r>
              <w:rPr>
                <w:rFonts w:hint="default" w:ascii="Times New Roman" w:hAnsi="Times New Roman" w:cs="Times New Roman"/>
                <w:color w:val="auto"/>
              </w:rPr>
              <w:t>处理的食堂废水汇同生活污水经化粪池</w:t>
            </w:r>
            <w:r>
              <w:rPr>
                <w:rFonts w:hint="default" w:ascii="Times New Roman" w:hAnsi="Times New Roman" w:cs="Times New Roman"/>
                <w:color w:val="auto"/>
                <w:lang w:val="en-US" w:eastAsia="zh-CN"/>
              </w:rPr>
              <w:t>（依托现有）</w:t>
            </w:r>
            <w:r>
              <w:rPr>
                <w:rFonts w:hint="default" w:ascii="Times New Roman" w:hAnsi="Times New Roman" w:cs="Times New Roman"/>
                <w:color w:val="auto"/>
              </w:rPr>
              <w:t>处理后，吸粪车定期抽运；车辆冲洗废水、道路冲洗废水</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设备冲洗废水</w:t>
            </w:r>
            <w:r>
              <w:rPr>
                <w:rFonts w:hint="default" w:ascii="Times New Roman" w:hAnsi="Times New Roman" w:cs="Times New Roman"/>
                <w:color w:val="auto"/>
              </w:rPr>
              <w:t>经二级沉淀池</w:t>
            </w:r>
            <w:r>
              <w:rPr>
                <w:rFonts w:hint="default" w:ascii="Times New Roman" w:hAnsi="Times New Roman" w:cs="Times New Roman"/>
                <w:color w:val="auto"/>
                <w:lang w:val="en-US" w:eastAsia="zh-CN"/>
              </w:rPr>
              <w:t>（依托现有）</w:t>
            </w:r>
            <w:r>
              <w:rPr>
                <w:rFonts w:hint="default" w:ascii="Times New Roman" w:hAnsi="Times New Roman" w:cs="Times New Roman"/>
                <w:color w:val="auto"/>
              </w:rPr>
              <w:t>处理后循环使用，不外排</w:t>
            </w:r>
          </w:p>
        </w:tc>
        <w:tc>
          <w:tcPr>
            <w:tcW w:w="1633" w:type="dxa"/>
            <w:vAlign w:val="center"/>
          </w:tcPr>
          <w:p w14:paraId="547DEA58">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合理利用，不外排</w:t>
            </w:r>
          </w:p>
        </w:tc>
      </w:tr>
      <w:tr w14:paraId="73E0A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75193840">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922" w:type="dxa"/>
            <w:vAlign w:val="center"/>
          </w:tcPr>
          <w:p w14:paraId="1482EDFF">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设备</w:t>
            </w:r>
          </w:p>
        </w:tc>
        <w:tc>
          <w:tcPr>
            <w:tcW w:w="2093" w:type="dxa"/>
            <w:gridSpan w:val="2"/>
            <w:vAlign w:val="center"/>
          </w:tcPr>
          <w:p w14:paraId="6D5443F8">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噪声</w:t>
            </w:r>
          </w:p>
        </w:tc>
        <w:tc>
          <w:tcPr>
            <w:tcW w:w="3645" w:type="dxa"/>
            <w:vAlign w:val="center"/>
          </w:tcPr>
          <w:p w14:paraId="23C6BFE5">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选用低噪声设备、距离衰减、隔声减振、合理布置等措施</w:t>
            </w:r>
          </w:p>
        </w:tc>
        <w:tc>
          <w:tcPr>
            <w:tcW w:w="1633" w:type="dxa"/>
            <w:vAlign w:val="center"/>
          </w:tcPr>
          <w:p w14:paraId="1622E800">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lang w:val="en-US" w:eastAsia="zh-CN"/>
              </w:rPr>
              <w:t>满足</w:t>
            </w:r>
            <w:r>
              <w:rPr>
                <w:rFonts w:hint="default" w:ascii="Times New Roman" w:hAnsi="Times New Roman" w:cs="Times New Roman"/>
                <w:color w:val="auto"/>
              </w:rPr>
              <w:t>《工业企业厂界环境噪声排放标准》（GB12348-2008）2类标准</w:t>
            </w:r>
          </w:p>
        </w:tc>
      </w:tr>
      <w:tr w14:paraId="4C885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7A3468EC">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电磁辐射</w:t>
            </w:r>
          </w:p>
        </w:tc>
        <w:tc>
          <w:tcPr>
            <w:tcW w:w="8293" w:type="dxa"/>
            <w:gridSpan w:val="5"/>
            <w:vAlign w:val="center"/>
          </w:tcPr>
          <w:p w14:paraId="04558129">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r>
      <w:tr w14:paraId="73415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6E974A2B">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固体废物</w:t>
            </w:r>
          </w:p>
        </w:tc>
        <w:tc>
          <w:tcPr>
            <w:tcW w:w="8293" w:type="dxa"/>
            <w:gridSpan w:val="5"/>
            <w:vAlign w:val="center"/>
          </w:tcPr>
          <w:p w14:paraId="37B04B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lang w:val="en-US"/>
              </w:rPr>
            </w:pPr>
            <w:r>
              <w:rPr>
                <w:rFonts w:hint="default" w:ascii="Times New Roman" w:hAnsi="Times New Roman" w:cs="Times New Roman"/>
                <w:color w:val="auto"/>
              </w:rPr>
              <w:t>生活垃圾经收集后由环卫部门统一清运处理；</w:t>
            </w:r>
            <w:r>
              <w:rPr>
                <w:rFonts w:hint="default" w:ascii="Times New Roman" w:hAnsi="Times New Roman" w:cs="Times New Roman"/>
                <w:color w:val="auto"/>
                <w:lang w:val="en-US" w:eastAsia="zh-CN"/>
              </w:rPr>
              <w:t>除尘器收集粉尘</w:t>
            </w:r>
            <w:r>
              <w:rPr>
                <w:rFonts w:hint="eastAsia" w:cs="Times New Roman"/>
                <w:color w:val="auto"/>
                <w:lang w:val="en-US" w:eastAsia="zh-CN"/>
              </w:rPr>
              <w:t>、</w:t>
            </w:r>
            <w:r>
              <w:rPr>
                <w:rFonts w:hint="default" w:ascii="Times New Roman" w:hAnsi="Times New Roman" w:cs="Times New Roman"/>
                <w:color w:val="auto"/>
              </w:rPr>
              <w:t>地面清扫粉尘、沉淀池沉渣暂存于</w:t>
            </w:r>
            <w:r>
              <w:rPr>
                <w:rFonts w:hint="default" w:ascii="Times New Roman" w:hAnsi="Times New Roman" w:cs="Times New Roman"/>
                <w:color w:val="auto"/>
                <w:lang w:eastAsia="zh-CN"/>
              </w:rPr>
              <w:t>一般工业固体废物暂存场所</w:t>
            </w:r>
            <w:r>
              <w:rPr>
                <w:rFonts w:hint="default" w:ascii="Times New Roman" w:hAnsi="Times New Roman" w:cs="Times New Roman"/>
                <w:color w:val="auto"/>
              </w:rPr>
              <w:t>，统一收集后回用于生产线</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工业固体废物的贮存、处置执行《中华人民共和国固体废物污染环境防治法》。此外，一般工业固体废物处理参照执行《一般工业固体废物贮存和填埋污染控制标准》（GB18599-2020）；废机油、废机油桶暂存于危险废物贮存库，定期交由有资质单位处置，危险废物贮存库建设执行《危险废物贮存污染控制标准》（GB 18597—2023）中相关标准</w:t>
            </w:r>
          </w:p>
        </w:tc>
      </w:tr>
      <w:tr w14:paraId="09B3D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505D0B02">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土壤及地下水污染防治措施</w:t>
            </w:r>
          </w:p>
        </w:tc>
        <w:tc>
          <w:tcPr>
            <w:tcW w:w="8293" w:type="dxa"/>
            <w:gridSpan w:val="5"/>
            <w:vAlign w:val="center"/>
          </w:tcPr>
          <w:p w14:paraId="5FC676D2">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rPr>
              <w:t>隔油池（依托现有）、化粪池（依托现有）、洗车平台（依托现有）、沉淀池（依托现有）等设重点防渗；</w:t>
            </w:r>
            <w:r>
              <w:rPr>
                <w:rFonts w:hint="default" w:ascii="Times New Roman" w:hAnsi="Times New Roman" w:cs="Times New Roman"/>
                <w:color w:val="auto"/>
                <w:lang w:val="en-US" w:eastAsia="zh-CN"/>
              </w:rPr>
              <w:t>生产区等设简单防渗</w:t>
            </w:r>
          </w:p>
        </w:tc>
      </w:tr>
      <w:tr w14:paraId="77F5A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0C628EFB">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生态保护措施</w:t>
            </w:r>
          </w:p>
        </w:tc>
        <w:tc>
          <w:tcPr>
            <w:tcW w:w="8293" w:type="dxa"/>
            <w:gridSpan w:val="5"/>
            <w:vAlign w:val="center"/>
          </w:tcPr>
          <w:p w14:paraId="32E9BF28">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不涉及</w:t>
            </w:r>
          </w:p>
        </w:tc>
      </w:tr>
      <w:tr w14:paraId="3C605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740307A1">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环境风险</w:t>
            </w:r>
          </w:p>
          <w:p w14:paraId="24AF259B">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防范措施</w:t>
            </w:r>
          </w:p>
        </w:tc>
        <w:tc>
          <w:tcPr>
            <w:tcW w:w="8293" w:type="dxa"/>
            <w:gridSpan w:val="5"/>
            <w:vAlign w:val="center"/>
          </w:tcPr>
          <w:p w14:paraId="6179155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lang w:bidi="ar"/>
              </w:rPr>
              <w:t>设消防、火灾报警系统；编制应急预案；</w:t>
            </w:r>
          </w:p>
        </w:tc>
      </w:tr>
      <w:tr w14:paraId="00674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135CA2B0">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其他环境</w:t>
            </w:r>
          </w:p>
          <w:p w14:paraId="7EE35C61">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管理要求</w:t>
            </w:r>
          </w:p>
        </w:tc>
        <w:tc>
          <w:tcPr>
            <w:tcW w:w="8293" w:type="dxa"/>
            <w:gridSpan w:val="5"/>
            <w:vAlign w:val="center"/>
          </w:tcPr>
          <w:p w14:paraId="26177C77">
            <w:pPr>
              <w:pageBreakBefore w:val="0"/>
              <w:widowControl w:val="0"/>
              <w:kinsoku/>
              <w:wordWrap/>
              <w:overflowPunct/>
              <w:topLinePunct w:val="0"/>
              <w:autoSpaceDE/>
              <w:autoSpaceDN/>
              <w:bidi w:val="0"/>
              <w:spacing w:line="360" w:lineRule="auto"/>
              <w:ind w:firstLine="482"/>
              <w:jc w:val="left"/>
              <w:textAlignment w:val="auto"/>
              <w:rPr>
                <w:rFonts w:hint="default" w:ascii="Times New Roman" w:hAnsi="Times New Roman" w:cs="Times New Roman"/>
                <w:b/>
                <w:bCs/>
                <w:color w:val="auto"/>
              </w:rPr>
            </w:pPr>
            <w:r>
              <w:rPr>
                <w:rFonts w:hint="default" w:ascii="Times New Roman" w:hAnsi="Times New Roman" w:cs="Times New Roman"/>
                <w:b/>
                <w:bCs/>
                <w:color w:val="auto"/>
              </w:rPr>
              <w:t>5.1 标识牌设置</w:t>
            </w:r>
          </w:p>
          <w:p w14:paraId="1B712B85">
            <w:pPr>
              <w:pageBreakBefore w:val="0"/>
              <w:widowControl w:val="0"/>
              <w:kinsoku/>
              <w:wordWrap/>
              <w:overflowPunct/>
              <w:topLinePunct w:val="0"/>
              <w:autoSpaceDE/>
              <w:autoSpaceDN/>
              <w:bidi w:val="0"/>
              <w:spacing w:line="360" w:lineRule="auto"/>
              <w:ind w:firstLine="480"/>
              <w:jc w:val="left"/>
              <w:textAlignment w:val="auto"/>
              <w:rPr>
                <w:rFonts w:hint="default" w:ascii="Times New Roman" w:hAnsi="Times New Roman" w:cs="Times New Roman"/>
                <w:color w:val="auto"/>
              </w:rPr>
            </w:pPr>
            <w:r>
              <w:rPr>
                <w:rFonts w:hint="default" w:ascii="Times New Roman" w:hAnsi="Times New Roman" w:cs="Times New Roman"/>
                <w:color w:val="auto"/>
              </w:rPr>
              <w:t>标识牌的设置应按《关于印发排放口标志牌技术规范的通知》（环办〔2005〕95号）中相关规定实施，统计所有排污口的名称、位置、数量、以及排放污染物的名称、数量等内容上报当地环保部门，以便进行验收和排污口规范性管理。图形符号分别为提示图形和警告图形符号两种，分别为（GB15562.1-1995）、（GB15562.2-1995）执行，环境保护图形标志的形状及颜色见下表：</w:t>
            </w:r>
          </w:p>
          <w:p w14:paraId="09181163">
            <w:pPr>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Cs w:val="24"/>
              </w:rPr>
            </w:pPr>
            <w:r>
              <w:rPr>
                <w:rFonts w:hint="default" w:ascii="Times New Roman" w:hAnsi="Times New Roman" w:cs="Times New Roman"/>
                <w:b/>
                <w:bCs/>
                <w:color w:val="auto"/>
                <w:szCs w:val="24"/>
              </w:rPr>
              <w:t>表5-1  环境保护图形符号一览表</w:t>
            </w:r>
          </w:p>
          <w:tbl>
            <w:tblPr>
              <w:tblStyle w:val="27"/>
              <w:tblW w:w="8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10"/>
              <w:gridCol w:w="3096"/>
              <w:gridCol w:w="2402"/>
            </w:tblGrid>
            <w:tr w14:paraId="5B0D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07DCBDA8">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1610" w:type="dxa"/>
                  <w:vAlign w:val="center"/>
                </w:tcPr>
                <w:p w14:paraId="2455DB23">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排放口</w:t>
                  </w:r>
                </w:p>
              </w:tc>
              <w:tc>
                <w:tcPr>
                  <w:tcW w:w="3096" w:type="dxa"/>
                  <w:vAlign w:val="center"/>
                </w:tcPr>
                <w:p w14:paraId="66EEBB4E">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提示/警告图形标识</w:t>
                  </w:r>
                </w:p>
              </w:tc>
              <w:tc>
                <w:tcPr>
                  <w:tcW w:w="2402" w:type="dxa"/>
                  <w:vAlign w:val="center"/>
                </w:tcPr>
                <w:p w14:paraId="2F440F2F">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功能</w:t>
                  </w:r>
                </w:p>
              </w:tc>
            </w:tr>
            <w:tr w14:paraId="5883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7E2CA7EF">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1</w:t>
                  </w:r>
                </w:p>
              </w:tc>
              <w:tc>
                <w:tcPr>
                  <w:tcW w:w="1610" w:type="dxa"/>
                  <w:vAlign w:val="center"/>
                </w:tcPr>
                <w:p w14:paraId="6CC5E8A6">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排气筒</w:t>
                  </w:r>
                </w:p>
              </w:tc>
              <w:tc>
                <w:tcPr>
                  <w:tcW w:w="3096" w:type="dxa"/>
                  <w:vAlign w:val="center"/>
                </w:tcPr>
                <w:p w14:paraId="14B33E30">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687070" cy="694055"/>
                        <wp:effectExtent l="0" t="0" r="17780" b="10795"/>
                        <wp:docPr id="16" name="图片 8" descr="说明: 说明: 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说明: 说明: 说明: 13003"/>
                                <pic:cNvPicPr>
                                  <a:picLocks noChangeAspect="1"/>
                                </pic:cNvPicPr>
                              </pic:nvPicPr>
                              <pic:blipFill>
                                <a:blip r:embed="rId24"/>
                                <a:stretch>
                                  <a:fillRect/>
                                </a:stretch>
                              </pic:blipFill>
                              <pic:spPr>
                                <a:xfrm>
                                  <a:off x="0" y="0"/>
                                  <a:ext cx="687070" cy="694055"/>
                                </a:xfrm>
                                <a:prstGeom prst="rect">
                                  <a:avLst/>
                                </a:prstGeom>
                                <a:noFill/>
                                <a:ln>
                                  <a:noFill/>
                                </a:ln>
                              </pic:spPr>
                            </pic:pic>
                          </a:graphicData>
                        </a:graphic>
                      </wp:inline>
                    </w:drawing>
                  </w:r>
                </w:p>
              </w:tc>
              <w:tc>
                <w:tcPr>
                  <w:tcW w:w="2402" w:type="dxa"/>
                  <w:vAlign w:val="center"/>
                </w:tcPr>
                <w:p w14:paraId="18871953">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表示废气向大气排放</w:t>
                  </w:r>
                </w:p>
              </w:tc>
            </w:tr>
            <w:tr w14:paraId="1FE1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52A9CFD2">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2</w:t>
                  </w:r>
                </w:p>
              </w:tc>
              <w:tc>
                <w:tcPr>
                  <w:tcW w:w="1610" w:type="dxa"/>
                  <w:vAlign w:val="center"/>
                </w:tcPr>
                <w:p w14:paraId="711467B7">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噪声源</w:t>
                  </w:r>
                </w:p>
              </w:tc>
              <w:tc>
                <w:tcPr>
                  <w:tcW w:w="3096" w:type="dxa"/>
                  <w:vAlign w:val="center"/>
                </w:tcPr>
                <w:p w14:paraId="23733215">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714375" cy="714375"/>
                        <wp:effectExtent l="0" t="0" r="9525" b="9525"/>
                        <wp:docPr id="22" name="图片 9" descr="说明: 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说明: 说明: 说明: 200602201518049853"/>
                                <pic:cNvPicPr>
                                  <a:picLocks noChangeAspect="1"/>
                                </pic:cNvPicPr>
                              </pic:nvPicPr>
                              <pic:blipFill>
                                <a:blip r:embed="rId25"/>
                                <a:stretch>
                                  <a:fillRect/>
                                </a:stretch>
                              </pic:blipFill>
                              <pic:spPr>
                                <a:xfrm>
                                  <a:off x="0" y="0"/>
                                  <a:ext cx="714375" cy="714375"/>
                                </a:xfrm>
                                <a:prstGeom prst="rect">
                                  <a:avLst/>
                                </a:prstGeom>
                                <a:noFill/>
                                <a:ln>
                                  <a:noFill/>
                                </a:ln>
                              </pic:spPr>
                            </pic:pic>
                          </a:graphicData>
                        </a:graphic>
                      </wp:inline>
                    </w:drawing>
                  </w:r>
                </w:p>
              </w:tc>
              <w:tc>
                <w:tcPr>
                  <w:tcW w:w="2402" w:type="dxa"/>
                  <w:vAlign w:val="center"/>
                </w:tcPr>
                <w:p w14:paraId="140E26A7">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表示噪声向外环境排放</w:t>
                  </w:r>
                </w:p>
              </w:tc>
            </w:tr>
            <w:tr w14:paraId="0FEA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57C50FC9">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3</w:t>
                  </w:r>
                </w:p>
              </w:tc>
              <w:tc>
                <w:tcPr>
                  <w:tcW w:w="1610" w:type="dxa"/>
                  <w:vAlign w:val="center"/>
                </w:tcPr>
                <w:p w14:paraId="249ECD36">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一般固体废物</w:t>
                  </w:r>
                </w:p>
              </w:tc>
              <w:tc>
                <w:tcPr>
                  <w:tcW w:w="3096" w:type="dxa"/>
                  <w:vAlign w:val="center"/>
                </w:tcPr>
                <w:p w14:paraId="54B7AD3C">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1172845" cy="745490"/>
                        <wp:effectExtent l="0" t="0" r="8255" b="1651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26"/>
                                <a:stretch>
                                  <a:fillRect/>
                                </a:stretch>
                              </pic:blipFill>
                              <pic:spPr>
                                <a:xfrm>
                                  <a:off x="0" y="0"/>
                                  <a:ext cx="1172845" cy="745490"/>
                                </a:xfrm>
                                <a:prstGeom prst="rect">
                                  <a:avLst/>
                                </a:prstGeom>
                                <a:noFill/>
                                <a:ln>
                                  <a:noFill/>
                                </a:ln>
                              </pic:spPr>
                            </pic:pic>
                          </a:graphicData>
                        </a:graphic>
                      </wp:inline>
                    </w:drawing>
                  </w:r>
                </w:p>
              </w:tc>
              <w:tc>
                <w:tcPr>
                  <w:tcW w:w="2402" w:type="dxa"/>
                  <w:vAlign w:val="center"/>
                </w:tcPr>
                <w:p w14:paraId="090C71EA">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表示一般工业固体废物贮存、处置场</w:t>
                  </w:r>
                </w:p>
              </w:tc>
            </w:tr>
            <w:tr w14:paraId="2E99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shd w:val="clear" w:color="auto" w:fill="auto"/>
                  <w:vAlign w:val="center"/>
                </w:tcPr>
                <w:p w14:paraId="121100EC">
                  <w:pPr>
                    <w:pStyle w:val="3"/>
                    <w:keepNext/>
                    <w:keepLines/>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4</w:t>
                  </w:r>
                </w:p>
              </w:tc>
              <w:tc>
                <w:tcPr>
                  <w:tcW w:w="1610" w:type="dxa"/>
                  <w:shd w:val="clear" w:color="auto" w:fill="auto"/>
                  <w:vAlign w:val="center"/>
                </w:tcPr>
                <w:p w14:paraId="002C1692">
                  <w:pPr>
                    <w:pStyle w:val="3"/>
                    <w:keepNext/>
                    <w:keepLines/>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rPr>
                    <w:t>危险废物</w:t>
                  </w:r>
                </w:p>
              </w:tc>
              <w:tc>
                <w:tcPr>
                  <w:tcW w:w="3096" w:type="dxa"/>
                  <w:shd w:val="clear" w:color="auto" w:fill="auto"/>
                  <w:vAlign w:val="center"/>
                </w:tcPr>
                <w:p w14:paraId="36235C58">
                  <w:pPr>
                    <w:pStyle w:val="3"/>
                    <w:keepNext/>
                    <w:keepLines/>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FF"/>
                      <w:kern w:val="0"/>
                      <w:sz w:val="21"/>
                      <w:szCs w:val="21"/>
                      <w:lang w:val="en-US" w:eastAsia="zh-CN" w:bidi="ar-SA"/>
                    </w:rPr>
                  </w:pPr>
                  <w:r>
                    <w:rPr>
                      <w:rFonts w:hint="default" w:ascii="Times New Roman" w:hAnsi="Times New Roman" w:eastAsia="宋体" w:cs="Times New Roman"/>
                      <w:color w:val="0000FF"/>
                      <w:kern w:val="0"/>
                      <w:sz w:val="21"/>
                      <w:szCs w:val="21"/>
                      <w:lang w:val="en-US" w:eastAsia="zh-CN" w:bidi="ar-SA"/>
                    </w:rPr>
                    <w:drawing>
                      <wp:inline distT="0" distB="0" distL="114300" distR="114300">
                        <wp:extent cx="596265" cy="636270"/>
                        <wp:effectExtent l="0" t="0" r="13335" b="1143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27">
                                  <a:lum/>
                                </a:blip>
                                <a:stretch>
                                  <a:fillRect/>
                                </a:stretch>
                              </pic:blipFill>
                              <pic:spPr>
                                <a:xfrm>
                                  <a:off x="0" y="0"/>
                                  <a:ext cx="596265" cy="636270"/>
                                </a:xfrm>
                                <a:prstGeom prst="rect">
                                  <a:avLst/>
                                </a:prstGeom>
                                <a:noFill/>
                                <a:ln>
                                  <a:noFill/>
                                </a:ln>
                              </pic:spPr>
                            </pic:pic>
                          </a:graphicData>
                        </a:graphic>
                      </wp:inline>
                    </w:drawing>
                  </w:r>
                </w:p>
              </w:tc>
              <w:tc>
                <w:tcPr>
                  <w:tcW w:w="2402" w:type="dxa"/>
                  <w:shd w:val="clear" w:color="auto" w:fill="auto"/>
                  <w:vAlign w:val="center"/>
                </w:tcPr>
                <w:p w14:paraId="680044E9">
                  <w:pPr>
                    <w:pStyle w:val="3"/>
                    <w:keepNext/>
                    <w:keepLines/>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FF"/>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表示危险废物贮存库</w:t>
                  </w:r>
                </w:p>
              </w:tc>
            </w:tr>
          </w:tbl>
          <w:p w14:paraId="4FEACD25">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5.2</w:t>
            </w:r>
            <w:r>
              <w:rPr>
                <w:rFonts w:hint="default" w:ascii="Times New Roman" w:hAnsi="Times New Roman" w:cs="Times New Roman"/>
                <w:b/>
                <w:bCs/>
                <w:color w:val="auto"/>
              </w:rPr>
              <w:t>排污许可联动内容</w:t>
            </w:r>
          </w:p>
          <w:p w14:paraId="120AE3C9">
            <w:pPr>
              <w:pStyle w:val="10"/>
              <w:pageBreakBefore w:val="0"/>
              <w:widowControl w:val="0"/>
              <w:kinsoku/>
              <w:wordWrap/>
              <w:overflowPunct/>
              <w:topLinePunct w:val="0"/>
              <w:autoSpaceDE/>
              <w:autoSpaceDN/>
              <w:bidi w:val="0"/>
              <w:spacing w:line="360" w:lineRule="auto"/>
              <w:ind w:firstLine="480"/>
              <w:jc w:val="left"/>
              <w:textAlignment w:val="auto"/>
              <w:rPr>
                <w:rFonts w:hint="default" w:ascii="Times New Roman" w:hAnsi="Times New Roman" w:cs="Times New Roman"/>
                <w:b/>
                <w:bCs/>
                <w:color w:val="auto"/>
                <w:szCs w:val="24"/>
              </w:rPr>
            </w:pPr>
            <w:r>
              <w:rPr>
                <w:rFonts w:hint="default" w:ascii="Times New Roman" w:hAnsi="Times New Roman" w:cs="Times New Roman"/>
                <w:color w:val="auto"/>
                <w:szCs w:val="24"/>
              </w:rPr>
              <w:t>根据安徽省生态环境厅文件2021年1月30号《安徽省生态环境厅关于统筹做好固定污染源排污许可日常监管工作的通知》（皖环发(2021) 7号）文件内容：二、主要任务——第（七）条积极探索排污许可与环评制度的联动试点中——属于现行《固定污染源排污许可分类管理名录》内重点管理和简化管理的行业，在环评文件中一并明确“建设项目环境影响评价与排污许可联动内容”(附件1)和《建设项目排污许可申请与填报信息表》(附件2)，生态环境部门在环评文件受理和审批过程中同步审核。</w:t>
            </w:r>
          </w:p>
          <w:p w14:paraId="491ECFFA">
            <w:pPr>
              <w:pStyle w:val="10"/>
              <w:pageBreakBefore w:val="0"/>
              <w:widowControl w:val="0"/>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rPr>
              <w:t>本项目属于《固定污染源排污许可分类管理名录》中“</w:t>
            </w:r>
            <w:r>
              <w:rPr>
                <w:rFonts w:hint="default" w:ascii="Times New Roman" w:hAnsi="Times New Roman" w:cs="Times New Roman"/>
                <w:color w:val="auto"/>
                <w:szCs w:val="21"/>
                <w:lang w:val="en-US" w:eastAsia="zh-CN"/>
              </w:rPr>
              <w:t>二十五、非金属矿物制品业</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lang w:val="en-US" w:eastAsia="zh-CN"/>
              </w:rPr>
              <w:t>石膏、水泥制品及类似制品制造 302、其他水泥类似制品制造3029”</w:t>
            </w:r>
            <w:r>
              <w:rPr>
                <w:rFonts w:hint="default" w:ascii="Times New Roman" w:hAnsi="Times New Roman" w:cs="Times New Roman"/>
                <w:color w:val="auto"/>
              </w:rPr>
              <w:t>，属于</w:t>
            </w:r>
            <w:r>
              <w:rPr>
                <w:rFonts w:hint="default" w:ascii="Times New Roman" w:hAnsi="Times New Roman" w:cs="Times New Roman"/>
                <w:color w:val="auto"/>
                <w:lang w:val="en-US" w:eastAsia="zh-CN"/>
              </w:rPr>
              <w:t>登记</w:t>
            </w:r>
            <w:r>
              <w:rPr>
                <w:rFonts w:hint="default" w:ascii="Times New Roman" w:hAnsi="Times New Roman" w:cs="Times New Roman"/>
                <w:color w:val="auto"/>
              </w:rPr>
              <w:t>管理</w:t>
            </w:r>
            <w:r>
              <w:rPr>
                <w:rFonts w:hint="default" w:ascii="Times New Roman" w:hAnsi="Times New Roman" w:cs="Times New Roman"/>
                <w:color w:val="auto"/>
                <w:lang w:eastAsia="zh-CN"/>
              </w:rPr>
              <w:t>，</w:t>
            </w:r>
            <w:r>
              <w:rPr>
                <w:rFonts w:hint="default" w:ascii="Times New Roman" w:hAnsi="Times New Roman" w:cs="Times New Roman"/>
                <w:color w:val="auto"/>
                <w:sz w:val="24"/>
                <w:szCs w:val="24"/>
              </w:rPr>
              <w:t>无需填报环评与排污许可联动内容</w:t>
            </w:r>
            <w:r>
              <w:rPr>
                <w:rFonts w:hint="default" w:ascii="Times New Roman" w:hAnsi="Times New Roman" w:cs="Times New Roman"/>
                <w:color w:val="auto"/>
                <w:sz w:val="24"/>
                <w:szCs w:val="24"/>
                <w:lang w:eastAsia="zh-CN"/>
              </w:rPr>
              <w:t>。</w:t>
            </w:r>
          </w:p>
          <w:p w14:paraId="4B44488C">
            <w:pPr>
              <w:pageBreakBefore w:val="0"/>
              <w:widowControl w:val="0"/>
              <w:kinsoku/>
              <w:wordWrap/>
              <w:overflowPunct/>
              <w:topLinePunct w:val="0"/>
              <w:autoSpaceDE/>
              <w:autoSpaceDN/>
              <w:bidi w:val="0"/>
              <w:spacing w:line="360" w:lineRule="auto"/>
              <w:ind w:firstLine="0" w:firstLineChars="0"/>
              <w:jc w:val="both"/>
              <w:textAlignment w:val="auto"/>
              <w:rPr>
                <w:rFonts w:hint="default" w:ascii="Times New Roman" w:hAnsi="Times New Roman" w:eastAsia="宋体" w:cs="Times New Roman"/>
                <w:color w:val="auto"/>
                <w:szCs w:val="21"/>
                <w:lang w:val="en-US" w:eastAsia="zh-CN"/>
              </w:rPr>
            </w:pPr>
          </w:p>
        </w:tc>
      </w:tr>
    </w:tbl>
    <w:p w14:paraId="6CAFEF87">
      <w:pPr>
        <w:pStyle w:val="23"/>
        <w:spacing w:before="0" w:beforeAutospacing="0" w:after="0" w:afterAutospacing="0"/>
        <w:ind w:firstLine="0" w:firstLineChars="0"/>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6"/>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88BA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5DB88441">
            <w:pPr>
              <w:ind w:firstLine="480"/>
              <w:rPr>
                <w:color w:val="auto"/>
              </w:rPr>
            </w:pPr>
            <w:r>
              <w:rPr>
                <w:color w:val="auto"/>
              </w:rPr>
              <w:t>本项目选址于</w:t>
            </w:r>
            <w:r>
              <w:rPr>
                <w:rFonts w:hint="eastAsia"/>
                <w:color w:val="auto"/>
                <w:lang w:val="en-US" w:eastAsia="zh-CN"/>
              </w:rPr>
              <w:t>淮北市相山区渠沟镇油坊村</w:t>
            </w:r>
            <w:r>
              <w:rPr>
                <w:color w:val="auto"/>
              </w:rPr>
              <w:t>，项目建设符合我国现行的产业政策，选址合理，符合当地区域总体规划，总图布置可行。污染治理措施技术经济可行，采取相应的污染防治措施后可使污染物达标排放，对评价区域环境质量的影响不明显，项目选址与周边用地功能相容性较好，无重大环境制约因素。只要严格落实环境影响报告表和工程设计提出的环保对策措施，确保项目产生的污染物达标排放，从环境保护角度，本项目的建设是可行的</w:t>
            </w:r>
            <w:r>
              <w:rPr>
                <w:rFonts w:hint="eastAsia"/>
                <w:color w:val="auto"/>
              </w:rPr>
              <w:t>。</w:t>
            </w:r>
          </w:p>
          <w:p w14:paraId="4770AA16">
            <w:pPr>
              <w:ind w:firstLine="480"/>
              <w:rPr>
                <w:rFonts w:ascii="宋体" w:cs="宋体"/>
                <w:color w:val="auto"/>
              </w:rPr>
            </w:pPr>
          </w:p>
        </w:tc>
      </w:tr>
    </w:tbl>
    <w:p w14:paraId="4F0EBAB7">
      <w:pPr>
        <w:ind w:firstLine="480"/>
        <w:rPr>
          <w:rFonts w:ascii="宋体"/>
          <w:color w:val="auto"/>
        </w:rPr>
        <w:sectPr>
          <w:pgSz w:w="11906" w:h="16838"/>
          <w:pgMar w:top="1701" w:right="1531" w:bottom="1701" w:left="1531" w:header="851" w:footer="851" w:gutter="0"/>
          <w:pgNumType w:fmt="decimal"/>
          <w:cols w:space="720" w:num="1"/>
          <w:docGrid w:linePitch="312" w:charSpace="0"/>
        </w:sectPr>
      </w:pPr>
    </w:p>
    <w:p w14:paraId="24326EB0">
      <w:pPr>
        <w:pStyle w:val="23"/>
        <w:spacing w:before="0" w:beforeAutospacing="0" w:after="0" w:afterAutospacing="0" w:line="240" w:lineRule="auto"/>
        <w:ind w:firstLine="0" w:firstLineChars="0"/>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14:paraId="694839BB">
      <w:pPr>
        <w:pStyle w:val="23"/>
        <w:spacing w:before="0" w:beforeAutospacing="0" w:after="0" w:afterAutospacing="0" w:line="240" w:lineRule="auto"/>
        <w:ind w:firstLine="0" w:firstLineChars="0"/>
        <w:jc w:val="center"/>
        <w:outlineLvl w:val="0"/>
        <w:rPr>
          <w:rFonts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6"/>
        <w:tblW w:w="134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515"/>
        <w:gridCol w:w="1536"/>
        <w:gridCol w:w="1250"/>
        <w:gridCol w:w="1664"/>
        <w:gridCol w:w="1525"/>
        <w:gridCol w:w="1722"/>
        <w:gridCol w:w="1598"/>
        <w:gridCol w:w="1128"/>
      </w:tblGrid>
      <w:tr w14:paraId="073CB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tcBorders>
              <w:tl2br w:val="single" w:color="auto" w:sz="4" w:space="0"/>
            </w:tcBorders>
            <w:tcMar>
              <w:left w:w="28" w:type="dxa"/>
              <w:right w:w="28" w:type="dxa"/>
            </w:tcMar>
            <w:vAlign w:val="center"/>
          </w:tcPr>
          <w:p w14:paraId="0F16025F">
            <w:pPr>
              <w:pStyle w:val="3"/>
              <w:rPr>
                <w:b/>
                <w:bCs/>
                <w:color w:val="auto"/>
              </w:rPr>
            </w:pPr>
            <w:r>
              <w:rPr>
                <w:rFonts w:hint="eastAsia"/>
                <w:b/>
                <w:bCs/>
                <w:color w:val="auto"/>
              </w:rPr>
              <w:t>项目</w:t>
            </w:r>
          </w:p>
          <w:p w14:paraId="10806E64">
            <w:pPr>
              <w:pStyle w:val="3"/>
              <w:rPr>
                <w:b/>
                <w:bCs/>
                <w:color w:val="auto"/>
              </w:rPr>
            </w:pPr>
            <w:r>
              <w:rPr>
                <w:rFonts w:hint="eastAsia"/>
                <w:b/>
                <w:bCs/>
                <w:color w:val="auto"/>
              </w:rPr>
              <w:t>分类</w:t>
            </w:r>
          </w:p>
        </w:tc>
        <w:tc>
          <w:tcPr>
            <w:tcW w:w="1515" w:type="dxa"/>
            <w:tcMar>
              <w:left w:w="28" w:type="dxa"/>
              <w:right w:w="28" w:type="dxa"/>
            </w:tcMar>
            <w:vAlign w:val="center"/>
          </w:tcPr>
          <w:p w14:paraId="49B24F1E">
            <w:pPr>
              <w:pStyle w:val="3"/>
              <w:rPr>
                <w:b/>
                <w:bCs/>
                <w:color w:val="auto"/>
              </w:rPr>
            </w:pPr>
            <w:r>
              <w:rPr>
                <w:rFonts w:hint="eastAsia"/>
                <w:b/>
                <w:bCs/>
                <w:color w:val="auto"/>
              </w:rPr>
              <w:t>污染物名称</w:t>
            </w:r>
          </w:p>
        </w:tc>
        <w:tc>
          <w:tcPr>
            <w:tcW w:w="1536" w:type="dxa"/>
            <w:tcMar>
              <w:left w:w="28" w:type="dxa"/>
              <w:right w:w="28" w:type="dxa"/>
            </w:tcMar>
            <w:vAlign w:val="center"/>
          </w:tcPr>
          <w:p w14:paraId="5AD45631">
            <w:pPr>
              <w:pStyle w:val="3"/>
              <w:rPr>
                <w:b/>
                <w:bCs/>
                <w:color w:val="auto"/>
              </w:rPr>
            </w:pPr>
            <w:r>
              <w:rPr>
                <w:b/>
                <w:bCs/>
                <w:color w:val="auto"/>
              </w:rPr>
              <w:t>现有工程</w:t>
            </w:r>
          </w:p>
          <w:p w14:paraId="46DF285D">
            <w:pPr>
              <w:pStyle w:val="3"/>
              <w:rPr>
                <w:b/>
                <w:bCs/>
                <w:color w:val="auto"/>
              </w:rPr>
            </w:pPr>
            <w:r>
              <w:rPr>
                <w:b/>
                <w:bCs/>
                <w:color w:val="auto"/>
              </w:rPr>
              <w:t>排放量（固</w:t>
            </w:r>
            <w:r>
              <w:rPr>
                <w:rFonts w:hint="eastAsia"/>
                <w:b/>
                <w:bCs/>
                <w:color w:val="auto"/>
              </w:rPr>
              <w:t>体</w:t>
            </w:r>
            <w:r>
              <w:rPr>
                <w:b/>
                <w:bCs/>
                <w:color w:val="auto"/>
              </w:rPr>
              <w:t>废</w:t>
            </w:r>
            <w:r>
              <w:rPr>
                <w:rFonts w:hint="eastAsia"/>
                <w:b/>
                <w:bCs/>
                <w:color w:val="auto"/>
              </w:rPr>
              <w:t>物</w:t>
            </w:r>
            <w:r>
              <w:rPr>
                <w:b/>
                <w:bCs/>
                <w:color w:val="auto"/>
              </w:rPr>
              <w:t>产生量）</w:t>
            </w:r>
            <w:r>
              <w:rPr>
                <w:b/>
                <w:bCs/>
                <w:color w:val="auto"/>
              </w:rPr>
              <w:fldChar w:fldCharType="begin"/>
            </w:r>
            <w:r>
              <w:rPr>
                <w:b/>
                <w:bCs/>
                <w:color w:val="auto"/>
              </w:rPr>
              <w:instrText xml:space="preserve"> = 1 \* GB3 \* MERGEFORMAT </w:instrText>
            </w:r>
            <w:r>
              <w:rPr>
                <w:b/>
                <w:bCs/>
                <w:color w:val="auto"/>
              </w:rPr>
              <w:fldChar w:fldCharType="separate"/>
            </w:r>
            <w:r>
              <w:rPr>
                <w:rFonts w:hint="eastAsia"/>
                <w:b/>
                <w:bCs/>
                <w:color w:val="auto"/>
              </w:rPr>
              <w:t>①</w:t>
            </w:r>
            <w:r>
              <w:rPr>
                <w:b/>
                <w:bCs/>
                <w:color w:val="auto"/>
              </w:rPr>
              <w:fldChar w:fldCharType="end"/>
            </w:r>
          </w:p>
        </w:tc>
        <w:tc>
          <w:tcPr>
            <w:tcW w:w="1250" w:type="dxa"/>
            <w:tcMar>
              <w:left w:w="28" w:type="dxa"/>
              <w:right w:w="28" w:type="dxa"/>
            </w:tcMar>
            <w:vAlign w:val="center"/>
          </w:tcPr>
          <w:p w14:paraId="6C68D2FC">
            <w:pPr>
              <w:pStyle w:val="3"/>
              <w:rPr>
                <w:b/>
                <w:bCs/>
                <w:color w:val="auto"/>
              </w:rPr>
            </w:pPr>
            <w:r>
              <w:rPr>
                <w:b/>
                <w:bCs/>
                <w:color w:val="auto"/>
              </w:rPr>
              <w:t>现有工程</w:t>
            </w:r>
          </w:p>
          <w:p w14:paraId="23AC8527">
            <w:pPr>
              <w:pStyle w:val="3"/>
              <w:rPr>
                <w:b/>
                <w:bCs/>
                <w:color w:val="auto"/>
              </w:rPr>
            </w:pPr>
            <w:r>
              <w:rPr>
                <w:b/>
                <w:bCs/>
                <w:color w:val="auto"/>
              </w:rPr>
              <w:t>许可排放量</w:t>
            </w:r>
          </w:p>
          <w:p w14:paraId="2A22050D">
            <w:pPr>
              <w:pStyle w:val="3"/>
              <w:rPr>
                <w:b/>
                <w:bCs/>
                <w:color w:val="auto"/>
              </w:rPr>
            </w:pPr>
            <w:r>
              <w:rPr>
                <w:b/>
                <w:bCs/>
                <w:color w:val="auto"/>
              </w:rPr>
              <w:fldChar w:fldCharType="begin"/>
            </w:r>
            <w:r>
              <w:rPr>
                <w:b/>
                <w:bCs/>
                <w:color w:val="auto"/>
              </w:rPr>
              <w:instrText xml:space="preserve"> = 2 \* GB3 \* MERGEFORMAT </w:instrText>
            </w:r>
            <w:r>
              <w:rPr>
                <w:b/>
                <w:bCs/>
                <w:color w:val="auto"/>
              </w:rPr>
              <w:fldChar w:fldCharType="separate"/>
            </w:r>
            <w:r>
              <w:rPr>
                <w:rFonts w:hint="eastAsia"/>
                <w:b/>
                <w:bCs/>
                <w:color w:val="auto"/>
              </w:rPr>
              <w:t>②</w:t>
            </w:r>
            <w:r>
              <w:rPr>
                <w:b/>
                <w:bCs/>
                <w:color w:val="auto"/>
              </w:rPr>
              <w:fldChar w:fldCharType="end"/>
            </w:r>
          </w:p>
        </w:tc>
        <w:tc>
          <w:tcPr>
            <w:tcW w:w="1664" w:type="dxa"/>
            <w:tcMar>
              <w:left w:w="28" w:type="dxa"/>
              <w:right w:w="28" w:type="dxa"/>
            </w:tcMar>
            <w:vAlign w:val="center"/>
          </w:tcPr>
          <w:p w14:paraId="31ECB1FB">
            <w:pPr>
              <w:pStyle w:val="3"/>
              <w:rPr>
                <w:b/>
                <w:bCs/>
                <w:color w:val="auto"/>
              </w:rPr>
            </w:pPr>
            <w:r>
              <w:rPr>
                <w:b/>
                <w:bCs/>
                <w:color w:val="auto"/>
              </w:rPr>
              <w:t>在建工程</w:t>
            </w:r>
          </w:p>
          <w:p w14:paraId="4F6EC3F5">
            <w:pPr>
              <w:pStyle w:val="3"/>
              <w:rPr>
                <w:b/>
                <w:bCs/>
                <w:color w:val="auto"/>
              </w:rPr>
            </w:pPr>
            <w:r>
              <w:rPr>
                <w:b/>
                <w:bCs/>
                <w:color w:val="auto"/>
              </w:rPr>
              <w:t>排放量（固</w:t>
            </w:r>
            <w:r>
              <w:rPr>
                <w:rFonts w:hint="eastAsia"/>
                <w:b/>
                <w:bCs/>
                <w:color w:val="auto"/>
              </w:rPr>
              <w:t>体</w:t>
            </w:r>
            <w:r>
              <w:rPr>
                <w:b/>
                <w:bCs/>
                <w:color w:val="auto"/>
              </w:rPr>
              <w:t>废</w:t>
            </w:r>
            <w:r>
              <w:rPr>
                <w:rFonts w:hint="eastAsia"/>
                <w:b/>
                <w:bCs/>
                <w:color w:val="auto"/>
              </w:rPr>
              <w:t>物</w:t>
            </w:r>
            <w:r>
              <w:rPr>
                <w:b/>
                <w:bCs/>
                <w:color w:val="auto"/>
              </w:rPr>
              <w:t>产生量）</w:t>
            </w:r>
            <w:r>
              <w:rPr>
                <w:b/>
                <w:bCs/>
                <w:color w:val="auto"/>
              </w:rPr>
              <w:fldChar w:fldCharType="begin"/>
            </w:r>
            <w:r>
              <w:rPr>
                <w:b/>
                <w:bCs/>
                <w:color w:val="auto"/>
              </w:rPr>
              <w:instrText xml:space="preserve"> = 3 \* GB3 \* MERGEFORMAT </w:instrText>
            </w:r>
            <w:r>
              <w:rPr>
                <w:b/>
                <w:bCs/>
                <w:color w:val="auto"/>
              </w:rPr>
              <w:fldChar w:fldCharType="separate"/>
            </w:r>
            <w:r>
              <w:rPr>
                <w:rFonts w:hint="eastAsia"/>
                <w:b/>
                <w:bCs/>
                <w:color w:val="auto"/>
              </w:rPr>
              <w:t>③</w:t>
            </w:r>
            <w:r>
              <w:rPr>
                <w:b/>
                <w:bCs/>
                <w:color w:val="auto"/>
              </w:rPr>
              <w:fldChar w:fldCharType="end"/>
            </w:r>
          </w:p>
        </w:tc>
        <w:tc>
          <w:tcPr>
            <w:tcW w:w="1525" w:type="dxa"/>
            <w:tcMar>
              <w:left w:w="28" w:type="dxa"/>
              <w:right w:w="28" w:type="dxa"/>
            </w:tcMar>
            <w:vAlign w:val="center"/>
          </w:tcPr>
          <w:p w14:paraId="2B3B1118">
            <w:pPr>
              <w:pStyle w:val="3"/>
              <w:rPr>
                <w:b/>
                <w:bCs/>
                <w:color w:val="auto"/>
              </w:rPr>
            </w:pPr>
            <w:r>
              <w:rPr>
                <w:b/>
                <w:bCs/>
                <w:color w:val="auto"/>
              </w:rPr>
              <w:t>本项目</w:t>
            </w:r>
          </w:p>
          <w:p w14:paraId="7CEEF69D">
            <w:pPr>
              <w:pStyle w:val="3"/>
              <w:rPr>
                <w:b/>
                <w:bCs/>
                <w:color w:val="auto"/>
              </w:rPr>
            </w:pPr>
            <w:r>
              <w:rPr>
                <w:b/>
                <w:bCs/>
                <w:color w:val="auto"/>
              </w:rPr>
              <w:t>排放量（固</w:t>
            </w:r>
            <w:r>
              <w:rPr>
                <w:rFonts w:hint="eastAsia"/>
                <w:b/>
                <w:bCs/>
                <w:color w:val="auto"/>
              </w:rPr>
              <w:t>体</w:t>
            </w:r>
            <w:r>
              <w:rPr>
                <w:b/>
                <w:bCs/>
                <w:color w:val="auto"/>
              </w:rPr>
              <w:t>废</w:t>
            </w:r>
            <w:r>
              <w:rPr>
                <w:rFonts w:hint="eastAsia"/>
                <w:b/>
                <w:bCs/>
                <w:color w:val="auto"/>
              </w:rPr>
              <w:t>物</w:t>
            </w:r>
            <w:r>
              <w:rPr>
                <w:b/>
                <w:bCs/>
                <w:color w:val="auto"/>
              </w:rPr>
              <w:t>产生量）</w:t>
            </w:r>
            <w:r>
              <w:rPr>
                <w:b/>
                <w:bCs/>
                <w:color w:val="auto"/>
              </w:rPr>
              <w:fldChar w:fldCharType="begin"/>
            </w:r>
            <w:r>
              <w:rPr>
                <w:b/>
                <w:bCs/>
                <w:color w:val="auto"/>
              </w:rPr>
              <w:instrText xml:space="preserve"> = 4 \* GB3 \* MERGEFORMAT </w:instrText>
            </w:r>
            <w:r>
              <w:rPr>
                <w:b/>
                <w:bCs/>
                <w:color w:val="auto"/>
              </w:rPr>
              <w:fldChar w:fldCharType="separate"/>
            </w:r>
            <w:r>
              <w:rPr>
                <w:rFonts w:hint="eastAsia"/>
                <w:b/>
                <w:bCs/>
                <w:color w:val="auto"/>
              </w:rPr>
              <w:t>④</w:t>
            </w:r>
            <w:r>
              <w:rPr>
                <w:b/>
                <w:bCs/>
                <w:color w:val="auto"/>
              </w:rPr>
              <w:fldChar w:fldCharType="end"/>
            </w:r>
          </w:p>
        </w:tc>
        <w:tc>
          <w:tcPr>
            <w:tcW w:w="1722" w:type="dxa"/>
            <w:tcMar>
              <w:left w:w="28" w:type="dxa"/>
              <w:right w:w="28" w:type="dxa"/>
            </w:tcMar>
            <w:vAlign w:val="center"/>
          </w:tcPr>
          <w:p w14:paraId="246463DE">
            <w:pPr>
              <w:pStyle w:val="3"/>
              <w:rPr>
                <w:b/>
                <w:bCs/>
                <w:color w:val="auto"/>
              </w:rPr>
            </w:pPr>
            <w:r>
              <w:rPr>
                <w:b/>
                <w:bCs/>
                <w:color w:val="auto"/>
              </w:rPr>
              <w:t>以新带老削减量</w:t>
            </w:r>
          </w:p>
          <w:p w14:paraId="0CC27625">
            <w:pPr>
              <w:pStyle w:val="3"/>
              <w:rPr>
                <w:b/>
                <w:bCs/>
                <w:color w:val="auto"/>
              </w:rPr>
            </w:pPr>
            <w:r>
              <w:rPr>
                <w:b/>
                <w:bCs/>
                <w:color w:val="auto"/>
              </w:rPr>
              <w:t>（新建项目不填）</w:t>
            </w:r>
            <w:r>
              <w:rPr>
                <w:b/>
                <w:bCs/>
                <w:color w:val="auto"/>
              </w:rPr>
              <w:fldChar w:fldCharType="begin"/>
            </w:r>
            <w:r>
              <w:rPr>
                <w:b/>
                <w:bCs/>
                <w:color w:val="auto"/>
              </w:rPr>
              <w:instrText xml:space="preserve"> = 5 \* GB3 \* MERGEFORMAT </w:instrText>
            </w:r>
            <w:r>
              <w:rPr>
                <w:b/>
                <w:bCs/>
                <w:color w:val="auto"/>
              </w:rPr>
              <w:fldChar w:fldCharType="separate"/>
            </w:r>
            <w:r>
              <w:rPr>
                <w:rFonts w:hint="eastAsia"/>
                <w:b/>
                <w:bCs/>
                <w:color w:val="auto"/>
              </w:rPr>
              <w:t>⑤</w:t>
            </w:r>
            <w:r>
              <w:rPr>
                <w:b/>
                <w:bCs/>
                <w:color w:val="auto"/>
              </w:rPr>
              <w:fldChar w:fldCharType="end"/>
            </w:r>
          </w:p>
        </w:tc>
        <w:tc>
          <w:tcPr>
            <w:tcW w:w="1598" w:type="dxa"/>
            <w:tcMar>
              <w:left w:w="28" w:type="dxa"/>
              <w:right w:w="28" w:type="dxa"/>
            </w:tcMar>
            <w:vAlign w:val="center"/>
          </w:tcPr>
          <w:p w14:paraId="6A2AF565">
            <w:pPr>
              <w:pStyle w:val="3"/>
              <w:rPr>
                <w:b/>
                <w:bCs/>
                <w:color w:val="auto"/>
              </w:rPr>
            </w:pPr>
            <w:r>
              <w:rPr>
                <w:b/>
                <w:bCs/>
                <w:color w:val="auto"/>
              </w:rPr>
              <w:t>本项目建成后</w:t>
            </w:r>
          </w:p>
          <w:p w14:paraId="000EE831">
            <w:pPr>
              <w:pStyle w:val="3"/>
              <w:rPr>
                <w:b/>
                <w:bCs/>
                <w:color w:val="auto"/>
              </w:rPr>
            </w:pPr>
            <w:r>
              <w:rPr>
                <w:rFonts w:hint="eastAsia"/>
                <w:b/>
                <w:bCs/>
                <w:color w:val="auto"/>
              </w:rPr>
              <w:t>全厂</w:t>
            </w:r>
            <w:r>
              <w:rPr>
                <w:b/>
                <w:bCs/>
                <w:color w:val="auto"/>
              </w:rPr>
              <w:t>排放量（固</w:t>
            </w:r>
            <w:r>
              <w:rPr>
                <w:rFonts w:hint="eastAsia"/>
                <w:b/>
                <w:bCs/>
                <w:color w:val="auto"/>
              </w:rPr>
              <w:t>体</w:t>
            </w:r>
            <w:r>
              <w:rPr>
                <w:b/>
                <w:bCs/>
                <w:color w:val="auto"/>
              </w:rPr>
              <w:t>废</w:t>
            </w:r>
            <w:r>
              <w:rPr>
                <w:rFonts w:hint="eastAsia"/>
                <w:b/>
                <w:bCs/>
                <w:color w:val="auto"/>
              </w:rPr>
              <w:t>物</w:t>
            </w:r>
            <w:r>
              <w:rPr>
                <w:b/>
                <w:bCs/>
                <w:color w:val="auto"/>
              </w:rPr>
              <w:t>产生量）</w:t>
            </w:r>
            <w:r>
              <w:rPr>
                <w:b/>
                <w:bCs/>
                <w:color w:val="auto"/>
              </w:rPr>
              <w:fldChar w:fldCharType="begin"/>
            </w:r>
            <w:r>
              <w:rPr>
                <w:b/>
                <w:bCs/>
                <w:color w:val="auto"/>
              </w:rPr>
              <w:instrText xml:space="preserve"> = 6 \* GB3 \* MERGEFORMAT </w:instrText>
            </w:r>
            <w:r>
              <w:rPr>
                <w:b/>
                <w:bCs/>
                <w:color w:val="auto"/>
              </w:rPr>
              <w:fldChar w:fldCharType="separate"/>
            </w:r>
            <w:r>
              <w:rPr>
                <w:rFonts w:hint="eastAsia"/>
                <w:b/>
                <w:bCs/>
                <w:color w:val="auto"/>
              </w:rPr>
              <w:t>⑥</w:t>
            </w:r>
            <w:r>
              <w:rPr>
                <w:b/>
                <w:bCs/>
                <w:color w:val="auto"/>
              </w:rPr>
              <w:fldChar w:fldCharType="end"/>
            </w:r>
          </w:p>
        </w:tc>
        <w:tc>
          <w:tcPr>
            <w:tcW w:w="1128" w:type="dxa"/>
            <w:tcMar>
              <w:left w:w="28" w:type="dxa"/>
              <w:right w:w="28" w:type="dxa"/>
            </w:tcMar>
            <w:vAlign w:val="center"/>
          </w:tcPr>
          <w:p w14:paraId="75E36346">
            <w:pPr>
              <w:pStyle w:val="3"/>
              <w:rPr>
                <w:b/>
                <w:bCs/>
                <w:color w:val="auto"/>
              </w:rPr>
            </w:pPr>
            <w:r>
              <w:rPr>
                <w:b/>
                <w:bCs/>
                <w:color w:val="auto"/>
              </w:rPr>
              <w:t>变化量</w:t>
            </w:r>
          </w:p>
          <w:p w14:paraId="7DDB7C09">
            <w:pPr>
              <w:pStyle w:val="3"/>
              <w:rPr>
                <w:b/>
                <w:bCs/>
                <w:color w:val="auto"/>
              </w:rPr>
            </w:pPr>
            <w:r>
              <w:rPr>
                <w:b/>
                <w:bCs/>
                <w:color w:val="auto"/>
              </w:rPr>
              <w:fldChar w:fldCharType="begin"/>
            </w:r>
            <w:r>
              <w:rPr>
                <w:b/>
                <w:bCs/>
                <w:color w:val="auto"/>
              </w:rPr>
              <w:instrText xml:space="preserve"> = 7 \* GB3 \* MERGEFORMAT </w:instrText>
            </w:r>
            <w:r>
              <w:rPr>
                <w:b/>
                <w:bCs/>
                <w:color w:val="auto"/>
              </w:rPr>
              <w:fldChar w:fldCharType="separate"/>
            </w:r>
            <w:r>
              <w:rPr>
                <w:rFonts w:hint="eastAsia"/>
                <w:b/>
                <w:bCs/>
                <w:color w:val="auto"/>
              </w:rPr>
              <w:t>⑦</w:t>
            </w:r>
            <w:r>
              <w:rPr>
                <w:b/>
                <w:bCs/>
                <w:color w:val="auto"/>
              </w:rPr>
              <w:fldChar w:fldCharType="end"/>
            </w:r>
          </w:p>
        </w:tc>
      </w:tr>
      <w:tr w14:paraId="65343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Align w:val="center"/>
          </w:tcPr>
          <w:p w14:paraId="2CABDA29">
            <w:pPr>
              <w:pStyle w:val="3"/>
              <w:ind w:firstLine="0" w:firstLineChars="0"/>
              <w:rPr>
                <w:rFonts w:hint="eastAsia" w:eastAsia="宋体"/>
                <w:color w:val="auto"/>
                <w:lang w:val="en-US" w:eastAsia="zh-CN"/>
              </w:rPr>
            </w:pPr>
            <w:r>
              <w:rPr>
                <w:rFonts w:hint="eastAsia"/>
                <w:color w:val="auto"/>
                <w:lang w:val="en-US" w:eastAsia="zh-CN"/>
              </w:rPr>
              <w:t>废气</w:t>
            </w:r>
          </w:p>
        </w:tc>
        <w:tc>
          <w:tcPr>
            <w:tcW w:w="1515" w:type="dxa"/>
            <w:vAlign w:val="center"/>
          </w:tcPr>
          <w:p w14:paraId="41F69A74">
            <w:pPr>
              <w:pStyle w:val="3"/>
              <w:ind w:firstLine="0" w:firstLineChars="0"/>
              <w:rPr>
                <w:rFonts w:hint="eastAsia"/>
                <w:color w:val="auto"/>
              </w:rPr>
            </w:pPr>
            <w:r>
              <w:rPr>
                <w:rFonts w:hint="eastAsia"/>
                <w:color w:val="auto"/>
                <w:lang w:val="en-US" w:eastAsia="zh-CN"/>
              </w:rPr>
              <w:t>颗粒物</w:t>
            </w:r>
          </w:p>
        </w:tc>
        <w:tc>
          <w:tcPr>
            <w:tcW w:w="1536" w:type="dxa"/>
            <w:vAlign w:val="center"/>
          </w:tcPr>
          <w:p w14:paraId="522485A1">
            <w:pPr>
              <w:pStyle w:val="3"/>
              <w:ind w:firstLine="0" w:firstLineChars="0"/>
              <w:rPr>
                <w:rFonts w:hint="default" w:eastAsia="宋体"/>
                <w:color w:val="auto"/>
                <w:lang w:val="en-US" w:eastAsia="zh-CN"/>
              </w:rPr>
            </w:pPr>
            <w:r>
              <w:rPr>
                <w:rFonts w:hint="eastAsia"/>
                <w:color w:val="auto"/>
                <w:lang w:val="en-US" w:eastAsia="zh-CN"/>
              </w:rPr>
              <w:t>0.8544</w:t>
            </w:r>
          </w:p>
        </w:tc>
        <w:tc>
          <w:tcPr>
            <w:tcW w:w="1250" w:type="dxa"/>
            <w:vAlign w:val="center"/>
          </w:tcPr>
          <w:p w14:paraId="168CE990">
            <w:pPr>
              <w:pStyle w:val="3"/>
              <w:ind w:firstLine="0" w:firstLineChars="0"/>
              <w:rPr>
                <w:rFonts w:hint="default"/>
                <w:color w:val="auto"/>
                <w:lang w:val="en-US" w:eastAsia="zh-CN"/>
              </w:rPr>
            </w:pPr>
            <w:r>
              <w:rPr>
                <w:rFonts w:hint="eastAsia"/>
                <w:color w:val="auto"/>
                <w:lang w:val="en-US" w:eastAsia="zh-CN"/>
              </w:rPr>
              <w:t>0.8544</w:t>
            </w:r>
          </w:p>
        </w:tc>
        <w:tc>
          <w:tcPr>
            <w:tcW w:w="1664" w:type="dxa"/>
            <w:vAlign w:val="center"/>
          </w:tcPr>
          <w:p w14:paraId="5ED103A8">
            <w:pPr>
              <w:pStyle w:val="3"/>
              <w:ind w:firstLine="0" w:firstLineChars="0"/>
              <w:rPr>
                <w:rFonts w:hint="default" w:eastAsia="宋体"/>
                <w:color w:val="auto"/>
                <w:lang w:val="en-US" w:eastAsia="zh-CN"/>
              </w:rPr>
            </w:pPr>
            <w:r>
              <w:rPr>
                <w:rFonts w:hint="eastAsia"/>
                <w:color w:val="auto"/>
                <w:lang w:val="en-US" w:eastAsia="zh-CN"/>
              </w:rPr>
              <w:t>0</w:t>
            </w:r>
          </w:p>
        </w:tc>
        <w:tc>
          <w:tcPr>
            <w:tcW w:w="1525" w:type="dxa"/>
            <w:vAlign w:val="center"/>
          </w:tcPr>
          <w:p w14:paraId="5C908EAB">
            <w:pPr>
              <w:pStyle w:val="3"/>
              <w:ind w:firstLine="0" w:firstLineChars="0"/>
              <w:rPr>
                <w:rFonts w:hint="default"/>
                <w:color w:val="auto"/>
                <w:lang w:val="en-US" w:eastAsia="zh-CN"/>
              </w:rPr>
            </w:pPr>
            <w:r>
              <w:rPr>
                <w:rFonts w:hint="eastAsia"/>
                <w:color w:val="auto"/>
                <w:lang w:val="en-US" w:eastAsia="zh-CN"/>
              </w:rPr>
              <w:t>0.235</w:t>
            </w:r>
          </w:p>
        </w:tc>
        <w:tc>
          <w:tcPr>
            <w:tcW w:w="1722" w:type="dxa"/>
            <w:vAlign w:val="center"/>
          </w:tcPr>
          <w:p w14:paraId="022A8A6A">
            <w:pPr>
              <w:pStyle w:val="3"/>
              <w:ind w:firstLine="0" w:firstLineChars="0"/>
              <w:rPr>
                <w:rFonts w:hint="eastAsia" w:eastAsia="宋体"/>
                <w:color w:val="auto"/>
                <w:lang w:val="en-US" w:eastAsia="zh-CN"/>
              </w:rPr>
            </w:pPr>
            <w:r>
              <w:rPr>
                <w:rFonts w:hint="eastAsia" w:cs="Times New Roman"/>
                <w:color w:val="auto"/>
                <w:lang w:val="en-US" w:eastAsia="zh-CN"/>
              </w:rPr>
              <w:t>0.4272</w:t>
            </w:r>
          </w:p>
        </w:tc>
        <w:tc>
          <w:tcPr>
            <w:tcW w:w="1598" w:type="dxa"/>
            <w:vAlign w:val="center"/>
          </w:tcPr>
          <w:p w14:paraId="07BF8F0C">
            <w:pPr>
              <w:pStyle w:val="3"/>
              <w:ind w:firstLine="0" w:firstLineChars="0"/>
              <w:rPr>
                <w:rFonts w:hint="default"/>
                <w:color w:val="auto"/>
                <w:lang w:val="en-US" w:eastAsia="zh-CN"/>
              </w:rPr>
            </w:pPr>
            <w:r>
              <w:rPr>
                <w:rFonts w:hint="eastAsia"/>
                <w:color w:val="auto"/>
                <w:lang w:val="en-US" w:eastAsia="zh-CN"/>
              </w:rPr>
              <w:t>0.6622</w:t>
            </w:r>
          </w:p>
        </w:tc>
        <w:tc>
          <w:tcPr>
            <w:tcW w:w="1128" w:type="dxa"/>
            <w:vAlign w:val="center"/>
          </w:tcPr>
          <w:p w14:paraId="71FA074F">
            <w:pPr>
              <w:pStyle w:val="3"/>
              <w:ind w:firstLine="0" w:firstLineChars="0"/>
              <w:rPr>
                <w:rFonts w:hint="default"/>
                <w:color w:val="auto"/>
                <w:lang w:val="en-US" w:eastAsia="zh-CN"/>
              </w:rPr>
            </w:pPr>
            <w:r>
              <w:rPr>
                <w:rFonts w:hint="eastAsia"/>
                <w:color w:val="auto"/>
                <w:lang w:val="en-US" w:eastAsia="zh-CN"/>
              </w:rPr>
              <w:t>-0.1922</w:t>
            </w:r>
          </w:p>
        </w:tc>
      </w:tr>
      <w:tr w14:paraId="55ED7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Merge w:val="restart"/>
            <w:vAlign w:val="center"/>
          </w:tcPr>
          <w:p w14:paraId="2A09BBEB">
            <w:pPr>
              <w:pStyle w:val="3"/>
              <w:rPr>
                <w:color w:val="auto"/>
              </w:rPr>
            </w:pPr>
            <w:r>
              <w:rPr>
                <w:rFonts w:hint="eastAsia"/>
                <w:color w:val="auto"/>
              </w:rPr>
              <w:t>废水</w:t>
            </w:r>
          </w:p>
        </w:tc>
        <w:tc>
          <w:tcPr>
            <w:tcW w:w="1515" w:type="dxa"/>
            <w:vAlign w:val="center"/>
          </w:tcPr>
          <w:p w14:paraId="427DDB31">
            <w:pPr>
              <w:pStyle w:val="3"/>
              <w:rPr>
                <w:color w:val="auto"/>
              </w:rPr>
            </w:pPr>
            <w:r>
              <w:rPr>
                <w:rFonts w:hint="eastAsia"/>
                <w:color w:val="auto"/>
              </w:rPr>
              <w:t>COD</w:t>
            </w:r>
          </w:p>
        </w:tc>
        <w:tc>
          <w:tcPr>
            <w:tcW w:w="1536" w:type="dxa"/>
            <w:vAlign w:val="center"/>
          </w:tcPr>
          <w:p w14:paraId="1C84E75F">
            <w:pPr>
              <w:pStyle w:val="3"/>
              <w:rPr>
                <w:rFonts w:hint="default" w:eastAsia="宋体"/>
                <w:color w:val="auto"/>
                <w:lang w:val="en-US" w:eastAsia="zh-CN"/>
              </w:rPr>
            </w:pPr>
            <w:r>
              <w:rPr>
                <w:rFonts w:hint="eastAsia"/>
                <w:color w:val="auto"/>
                <w:lang w:val="en-US" w:eastAsia="zh-CN"/>
              </w:rPr>
              <w:t>0.079</w:t>
            </w:r>
          </w:p>
        </w:tc>
        <w:tc>
          <w:tcPr>
            <w:tcW w:w="1250" w:type="dxa"/>
            <w:vAlign w:val="center"/>
          </w:tcPr>
          <w:p w14:paraId="191467FC">
            <w:pPr>
              <w:pStyle w:val="3"/>
              <w:ind w:firstLine="0" w:firstLineChars="0"/>
              <w:rPr>
                <w:color w:val="auto"/>
              </w:rPr>
            </w:pPr>
            <w:r>
              <w:rPr>
                <w:rFonts w:hint="eastAsia"/>
                <w:color w:val="auto"/>
                <w:lang w:val="en-US" w:eastAsia="zh-CN"/>
              </w:rPr>
              <w:t>0.079</w:t>
            </w:r>
          </w:p>
        </w:tc>
        <w:tc>
          <w:tcPr>
            <w:tcW w:w="1664" w:type="dxa"/>
            <w:vAlign w:val="center"/>
          </w:tcPr>
          <w:p w14:paraId="01BA03BB">
            <w:pPr>
              <w:pStyle w:val="3"/>
              <w:rPr>
                <w:color w:val="auto"/>
              </w:rPr>
            </w:pPr>
            <w:r>
              <w:rPr>
                <w:rFonts w:hint="eastAsia"/>
                <w:color w:val="auto"/>
              </w:rPr>
              <w:t>0</w:t>
            </w:r>
          </w:p>
        </w:tc>
        <w:tc>
          <w:tcPr>
            <w:tcW w:w="1525" w:type="dxa"/>
            <w:vAlign w:val="center"/>
          </w:tcPr>
          <w:p w14:paraId="08C78BD5">
            <w:pPr>
              <w:pStyle w:val="3"/>
              <w:rPr>
                <w:rFonts w:hint="default" w:eastAsia="宋体"/>
                <w:color w:val="auto"/>
                <w:lang w:val="en-US" w:eastAsia="zh-CN"/>
              </w:rPr>
            </w:pPr>
            <w:r>
              <w:rPr>
                <w:rFonts w:hint="eastAsia"/>
                <w:color w:val="auto"/>
                <w:lang w:val="en-US" w:eastAsia="zh-CN"/>
              </w:rPr>
              <w:t>0.095</w:t>
            </w:r>
          </w:p>
        </w:tc>
        <w:tc>
          <w:tcPr>
            <w:tcW w:w="1722" w:type="dxa"/>
            <w:vAlign w:val="center"/>
          </w:tcPr>
          <w:p w14:paraId="2CF36EFB">
            <w:pPr>
              <w:pStyle w:val="3"/>
              <w:rPr>
                <w:color w:val="auto"/>
              </w:rPr>
            </w:pPr>
            <w:r>
              <w:rPr>
                <w:rFonts w:hint="eastAsia"/>
                <w:color w:val="auto"/>
              </w:rPr>
              <w:t>0</w:t>
            </w:r>
          </w:p>
        </w:tc>
        <w:tc>
          <w:tcPr>
            <w:tcW w:w="1598" w:type="dxa"/>
            <w:vAlign w:val="center"/>
          </w:tcPr>
          <w:p w14:paraId="4932A4CB">
            <w:pPr>
              <w:pStyle w:val="3"/>
              <w:rPr>
                <w:rFonts w:hint="default" w:eastAsia="宋体"/>
                <w:color w:val="auto"/>
                <w:lang w:val="en-US" w:eastAsia="zh-CN"/>
              </w:rPr>
            </w:pPr>
            <w:r>
              <w:rPr>
                <w:rFonts w:hint="eastAsia"/>
                <w:color w:val="auto"/>
                <w:lang w:val="en-US" w:eastAsia="zh-CN"/>
              </w:rPr>
              <w:t>0.174</w:t>
            </w:r>
          </w:p>
        </w:tc>
        <w:tc>
          <w:tcPr>
            <w:tcW w:w="1128" w:type="dxa"/>
            <w:vAlign w:val="center"/>
          </w:tcPr>
          <w:p w14:paraId="1951CDEB">
            <w:pPr>
              <w:pStyle w:val="3"/>
              <w:ind w:firstLine="0" w:firstLineChars="0"/>
              <w:rPr>
                <w:color w:val="auto"/>
              </w:rPr>
            </w:pPr>
            <w:r>
              <w:rPr>
                <w:rFonts w:hint="eastAsia"/>
                <w:color w:val="auto"/>
                <w:lang w:val="en-US" w:eastAsia="zh-CN"/>
              </w:rPr>
              <w:t>0.095</w:t>
            </w:r>
          </w:p>
        </w:tc>
      </w:tr>
      <w:tr w14:paraId="696886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Merge w:val="continue"/>
            <w:vAlign w:val="center"/>
          </w:tcPr>
          <w:p w14:paraId="3320192E">
            <w:pPr>
              <w:pStyle w:val="3"/>
              <w:rPr>
                <w:color w:val="auto"/>
              </w:rPr>
            </w:pPr>
          </w:p>
        </w:tc>
        <w:tc>
          <w:tcPr>
            <w:tcW w:w="1515" w:type="dxa"/>
            <w:vAlign w:val="center"/>
          </w:tcPr>
          <w:p w14:paraId="55D9C65A">
            <w:pPr>
              <w:pStyle w:val="3"/>
              <w:rPr>
                <w:color w:val="auto"/>
              </w:rPr>
            </w:pPr>
            <w:r>
              <w:rPr>
                <w:rFonts w:hint="eastAsia"/>
                <w:color w:val="auto"/>
              </w:rPr>
              <w:t>NH</w:t>
            </w:r>
            <w:r>
              <w:rPr>
                <w:rFonts w:hint="eastAsia"/>
                <w:color w:val="auto"/>
                <w:vertAlign w:val="subscript"/>
              </w:rPr>
              <w:t>3</w:t>
            </w:r>
            <w:r>
              <w:rPr>
                <w:rFonts w:hint="eastAsia"/>
                <w:color w:val="auto"/>
              </w:rPr>
              <w:t>-N</w:t>
            </w:r>
          </w:p>
        </w:tc>
        <w:tc>
          <w:tcPr>
            <w:tcW w:w="1536" w:type="dxa"/>
            <w:vAlign w:val="center"/>
          </w:tcPr>
          <w:p w14:paraId="4B3EF75C">
            <w:pPr>
              <w:pStyle w:val="3"/>
              <w:rPr>
                <w:rFonts w:hint="default" w:eastAsia="宋体"/>
                <w:color w:val="auto"/>
                <w:lang w:val="en-US" w:eastAsia="zh-CN"/>
              </w:rPr>
            </w:pPr>
            <w:r>
              <w:rPr>
                <w:rFonts w:hint="eastAsia"/>
                <w:color w:val="auto"/>
                <w:lang w:val="en-US" w:eastAsia="zh-CN"/>
              </w:rPr>
              <w:t>0.045</w:t>
            </w:r>
          </w:p>
        </w:tc>
        <w:tc>
          <w:tcPr>
            <w:tcW w:w="1250" w:type="dxa"/>
            <w:vAlign w:val="center"/>
          </w:tcPr>
          <w:p w14:paraId="226B0D43">
            <w:pPr>
              <w:pStyle w:val="3"/>
              <w:ind w:firstLine="0" w:firstLineChars="0"/>
              <w:rPr>
                <w:color w:val="auto"/>
              </w:rPr>
            </w:pPr>
            <w:r>
              <w:rPr>
                <w:rFonts w:hint="eastAsia"/>
                <w:color w:val="auto"/>
                <w:lang w:val="en-US" w:eastAsia="zh-CN"/>
              </w:rPr>
              <w:t>0.045</w:t>
            </w:r>
          </w:p>
        </w:tc>
        <w:tc>
          <w:tcPr>
            <w:tcW w:w="1664" w:type="dxa"/>
            <w:vAlign w:val="center"/>
          </w:tcPr>
          <w:p w14:paraId="7EBE49DB">
            <w:pPr>
              <w:pStyle w:val="3"/>
              <w:rPr>
                <w:color w:val="auto"/>
              </w:rPr>
            </w:pPr>
            <w:r>
              <w:rPr>
                <w:rFonts w:hint="eastAsia"/>
                <w:color w:val="auto"/>
              </w:rPr>
              <w:t>0</w:t>
            </w:r>
          </w:p>
        </w:tc>
        <w:tc>
          <w:tcPr>
            <w:tcW w:w="1525" w:type="dxa"/>
            <w:vAlign w:val="center"/>
          </w:tcPr>
          <w:p w14:paraId="577172AF">
            <w:pPr>
              <w:pStyle w:val="3"/>
              <w:rPr>
                <w:rFonts w:hint="default" w:eastAsia="宋体"/>
                <w:color w:val="auto"/>
                <w:lang w:val="en-US" w:eastAsia="zh-CN"/>
              </w:rPr>
            </w:pPr>
            <w:r>
              <w:rPr>
                <w:rFonts w:hint="eastAsia"/>
                <w:color w:val="auto"/>
                <w:lang w:val="en-US" w:eastAsia="zh-CN"/>
              </w:rPr>
              <w:t>0.011</w:t>
            </w:r>
          </w:p>
        </w:tc>
        <w:tc>
          <w:tcPr>
            <w:tcW w:w="1722" w:type="dxa"/>
            <w:vAlign w:val="center"/>
          </w:tcPr>
          <w:p w14:paraId="7F3CA890">
            <w:pPr>
              <w:pStyle w:val="3"/>
              <w:rPr>
                <w:color w:val="auto"/>
              </w:rPr>
            </w:pPr>
            <w:r>
              <w:rPr>
                <w:rFonts w:hint="eastAsia"/>
                <w:color w:val="auto"/>
              </w:rPr>
              <w:t>0</w:t>
            </w:r>
          </w:p>
        </w:tc>
        <w:tc>
          <w:tcPr>
            <w:tcW w:w="1598" w:type="dxa"/>
            <w:vAlign w:val="center"/>
          </w:tcPr>
          <w:p w14:paraId="2C4E6E5B">
            <w:pPr>
              <w:pStyle w:val="3"/>
              <w:rPr>
                <w:rFonts w:hint="default" w:eastAsia="宋体"/>
                <w:color w:val="auto"/>
                <w:lang w:val="en-US" w:eastAsia="zh-CN"/>
              </w:rPr>
            </w:pPr>
            <w:r>
              <w:rPr>
                <w:rFonts w:hint="eastAsia"/>
                <w:color w:val="auto"/>
                <w:lang w:val="en-US" w:eastAsia="zh-CN"/>
              </w:rPr>
              <w:t>0.056</w:t>
            </w:r>
          </w:p>
        </w:tc>
        <w:tc>
          <w:tcPr>
            <w:tcW w:w="1128" w:type="dxa"/>
            <w:vAlign w:val="center"/>
          </w:tcPr>
          <w:p w14:paraId="51FE1CB5">
            <w:pPr>
              <w:pStyle w:val="3"/>
              <w:ind w:firstLine="0" w:firstLineChars="0"/>
              <w:rPr>
                <w:color w:val="auto"/>
              </w:rPr>
            </w:pPr>
            <w:r>
              <w:rPr>
                <w:rFonts w:hint="eastAsia"/>
                <w:color w:val="auto"/>
                <w:lang w:val="en-US" w:eastAsia="zh-CN"/>
              </w:rPr>
              <w:t>0.011</w:t>
            </w:r>
          </w:p>
        </w:tc>
      </w:tr>
      <w:tr w14:paraId="5AE12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Merge w:val="restart"/>
            <w:vAlign w:val="center"/>
          </w:tcPr>
          <w:p w14:paraId="6FBAE36F">
            <w:pPr>
              <w:pStyle w:val="3"/>
              <w:rPr>
                <w:color w:val="auto"/>
              </w:rPr>
            </w:pPr>
            <w:r>
              <w:rPr>
                <w:rFonts w:hint="eastAsia"/>
                <w:color w:val="auto"/>
              </w:rPr>
              <w:t>一般工业</w:t>
            </w:r>
          </w:p>
          <w:p w14:paraId="29AF59EF">
            <w:pPr>
              <w:pStyle w:val="3"/>
              <w:rPr>
                <w:color w:val="auto"/>
              </w:rPr>
            </w:pPr>
            <w:r>
              <w:rPr>
                <w:rFonts w:hint="eastAsia"/>
                <w:color w:val="auto"/>
              </w:rPr>
              <w:t>固体废物</w:t>
            </w:r>
          </w:p>
        </w:tc>
        <w:tc>
          <w:tcPr>
            <w:tcW w:w="1515" w:type="dxa"/>
            <w:vAlign w:val="center"/>
          </w:tcPr>
          <w:p w14:paraId="5804AF5C">
            <w:pPr>
              <w:pStyle w:val="3"/>
              <w:rPr>
                <w:color w:val="auto"/>
              </w:rPr>
            </w:pPr>
            <w:r>
              <w:rPr>
                <w:rFonts w:hint="eastAsia"/>
                <w:color w:val="auto"/>
              </w:rPr>
              <w:t>生活垃圾</w:t>
            </w:r>
          </w:p>
        </w:tc>
        <w:tc>
          <w:tcPr>
            <w:tcW w:w="1536" w:type="dxa"/>
            <w:vAlign w:val="center"/>
          </w:tcPr>
          <w:p w14:paraId="51719E42">
            <w:pPr>
              <w:pStyle w:val="3"/>
              <w:rPr>
                <w:rFonts w:hint="default" w:eastAsia="宋体"/>
                <w:color w:val="auto"/>
                <w:lang w:val="en-US" w:eastAsia="zh-CN"/>
              </w:rPr>
            </w:pPr>
            <w:r>
              <w:rPr>
                <w:rFonts w:hint="eastAsia"/>
                <w:color w:val="auto"/>
                <w:lang w:val="en-US" w:eastAsia="zh-CN"/>
              </w:rPr>
              <w:t>1.6</w:t>
            </w:r>
          </w:p>
        </w:tc>
        <w:tc>
          <w:tcPr>
            <w:tcW w:w="1250" w:type="dxa"/>
            <w:vAlign w:val="center"/>
          </w:tcPr>
          <w:p w14:paraId="57EAAD4D">
            <w:pPr>
              <w:pStyle w:val="3"/>
              <w:rPr>
                <w:rFonts w:hint="default" w:eastAsia="宋体"/>
                <w:color w:val="auto"/>
                <w:lang w:val="en-US" w:eastAsia="zh-CN"/>
              </w:rPr>
            </w:pPr>
            <w:r>
              <w:rPr>
                <w:rFonts w:hint="eastAsia"/>
                <w:color w:val="auto"/>
                <w:lang w:val="en-US" w:eastAsia="zh-CN"/>
              </w:rPr>
              <w:t>1.6</w:t>
            </w:r>
          </w:p>
        </w:tc>
        <w:tc>
          <w:tcPr>
            <w:tcW w:w="1664" w:type="dxa"/>
            <w:vAlign w:val="center"/>
          </w:tcPr>
          <w:p w14:paraId="22757A0B">
            <w:pPr>
              <w:pStyle w:val="3"/>
              <w:rPr>
                <w:color w:val="auto"/>
              </w:rPr>
            </w:pPr>
            <w:r>
              <w:rPr>
                <w:rFonts w:hint="eastAsia"/>
                <w:color w:val="auto"/>
              </w:rPr>
              <w:t>0</w:t>
            </w:r>
          </w:p>
        </w:tc>
        <w:tc>
          <w:tcPr>
            <w:tcW w:w="1525" w:type="dxa"/>
            <w:vAlign w:val="center"/>
          </w:tcPr>
          <w:p w14:paraId="16609168">
            <w:pPr>
              <w:pStyle w:val="3"/>
              <w:ind w:firstLine="0" w:firstLineChars="0"/>
              <w:outlineLvl w:val="0"/>
              <w:rPr>
                <w:color w:val="auto"/>
              </w:rPr>
            </w:pPr>
            <w:r>
              <w:rPr>
                <w:rFonts w:hint="eastAsia"/>
                <w:color w:val="auto"/>
                <w:szCs w:val="32"/>
                <w:lang w:val="en-US" w:eastAsia="zh-CN"/>
              </w:rPr>
              <w:t>1.944</w:t>
            </w:r>
          </w:p>
        </w:tc>
        <w:tc>
          <w:tcPr>
            <w:tcW w:w="1722" w:type="dxa"/>
            <w:vAlign w:val="center"/>
          </w:tcPr>
          <w:p w14:paraId="6BA03E18">
            <w:pPr>
              <w:pStyle w:val="3"/>
              <w:rPr>
                <w:color w:val="auto"/>
              </w:rPr>
            </w:pPr>
            <w:r>
              <w:rPr>
                <w:rFonts w:hint="eastAsia"/>
                <w:color w:val="auto"/>
              </w:rPr>
              <w:t>0</w:t>
            </w:r>
          </w:p>
        </w:tc>
        <w:tc>
          <w:tcPr>
            <w:tcW w:w="1598" w:type="dxa"/>
            <w:vAlign w:val="center"/>
          </w:tcPr>
          <w:p w14:paraId="7D76A2EC">
            <w:pPr>
              <w:pStyle w:val="3"/>
              <w:rPr>
                <w:rFonts w:hint="default" w:eastAsia="宋体"/>
                <w:color w:val="auto"/>
                <w:lang w:val="en-US" w:eastAsia="zh-CN"/>
              </w:rPr>
            </w:pPr>
            <w:r>
              <w:rPr>
                <w:rFonts w:hint="eastAsia"/>
                <w:color w:val="auto"/>
                <w:lang w:val="en-US" w:eastAsia="zh-CN"/>
              </w:rPr>
              <w:t>3.544</w:t>
            </w:r>
          </w:p>
        </w:tc>
        <w:tc>
          <w:tcPr>
            <w:tcW w:w="1128" w:type="dxa"/>
            <w:vAlign w:val="center"/>
          </w:tcPr>
          <w:p w14:paraId="0BB411CC">
            <w:pPr>
              <w:pStyle w:val="3"/>
              <w:ind w:firstLine="0" w:firstLineChars="0"/>
              <w:outlineLvl w:val="0"/>
              <w:rPr>
                <w:rFonts w:hint="default" w:eastAsia="宋体"/>
                <w:color w:val="auto"/>
                <w:lang w:val="en-US" w:eastAsia="zh-CN"/>
              </w:rPr>
            </w:pPr>
            <w:r>
              <w:rPr>
                <w:rFonts w:hint="eastAsia"/>
                <w:color w:val="auto"/>
                <w:szCs w:val="32"/>
                <w:lang w:val="en-US" w:eastAsia="zh-CN"/>
              </w:rPr>
              <w:t>+1.944</w:t>
            </w:r>
          </w:p>
        </w:tc>
      </w:tr>
      <w:tr w14:paraId="65D31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Merge w:val="continue"/>
            <w:vAlign w:val="center"/>
          </w:tcPr>
          <w:p w14:paraId="7096C857">
            <w:pPr>
              <w:pStyle w:val="3"/>
              <w:rPr>
                <w:color w:val="auto"/>
              </w:rPr>
            </w:pPr>
          </w:p>
        </w:tc>
        <w:tc>
          <w:tcPr>
            <w:tcW w:w="1515" w:type="dxa"/>
            <w:vAlign w:val="center"/>
          </w:tcPr>
          <w:p w14:paraId="45FC19BC">
            <w:pPr>
              <w:pStyle w:val="3"/>
              <w:rPr>
                <w:color w:val="auto"/>
              </w:rPr>
            </w:pPr>
            <w:r>
              <w:rPr>
                <w:rFonts w:hint="eastAsia"/>
                <w:color w:val="auto"/>
              </w:rPr>
              <w:t>地面清扫粉尘</w:t>
            </w:r>
          </w:p>
        </w:tc>
        <w:tc>
          <w:tcPr>
            <w:tcW w:w="1536" w:type="dxa"/>
            <w:vAlign w:val="center"/>
          </w:tcPr>
          <w:p w14:paraId="32F2C50F">
            <w:pPr>
              <w:pStyle w:val="3"/>
              <w:rPr>
                <w:rFonts w:hint="default" w:eastAsia="宋体"/>
                <w:color w:val="auto"/>
                <w:lang w:val="en-US" w:eastAsia="zh-CN"/>
              </w:rPr>
            </w:pPr>
            <w:r>
              <w:rPr>
                <w:rFonts w:hint="eastAsia"/>
                <w:color w:val="auto"/>
                <w:lang w:val="en-US" w:eastAsia="zh-CN"/>
              </w:rPr>
              <w:t>27.33</w:t>
            </w:r>
          </w:p>
        </w:tc>
        <w:tc>
          <w:tcPr>
            <w:tcW w:w="1250" w:type="dxa"/>
            <w:vAlign w:val="center"/>
          </w:tcPr>
          <w:p w14:paraId="4CDD1F42">
            <w:pPr>
              <w:pStyle w:val="3"/>
              <w:ind w:firstLine="0" w:firstLineChars="0"/>
              <w:rPr>
                <w:rFonts w:hint="default" w:eastAsia="宋体"/>
                <w:color w:val="auto"/>
                <w:lang w:val="en-US" w:eastAsia="zh-CN"/>
              </w:rPr>
            </w:pPr>
            <w:r>
              <w:rPr>
                <w:rFonts w:hint="eastAsia"/>
                <w:color w:val="auto"/>
                <w:lang w:val="en-US" w:eastAsia="zh-CN"/>
              </w:rPr>
              <w:t>27.33</w:t>
            </w:r>
          </w:p>
        </w:tc>
        <w:tc>
          <w:tcPr>
            <w:tcW w:w="1664" w:type="dxa"/>
            <w:vAlign w:val="center"/>
          </w:tcPr>
          <w:p w14:paraId="2E310BF5">
            <w:pPr>
              <w:pStyle w:val="3"/>
              <w:rPr>
                <w:color w:val="auto"/>
              </w:rPr>
            </w:pPr>
            <w:r>
              <w:rPr>
                <w:rFonts w:hint="eastAsia"/>
                <w:color w:val="auto"/>
              </w:rPr>
              <w:t>0</w:t>
            </w:r>
          </w:p>
        </w:tc>
        <w:tc>
          <w:tcPr>
            <w:tcW w:w="1525" w:type="dxa"/>
            <w:vAlign w:val="center"/>
          </w:tcPr>
          <w:p w14:paraId="0AEFF5CA">
            <w:pPr>
              <w:pStyle w:val="3"/>
              <w:ind w:firstLine="0" w:firstLineChars="0"/>
              <w:outlineLvl w:val="0"/>
              <w:rPr>
                <w:rFonts w:hint="default" w:eastAsia="宋体"/>
                <w:color w:val="auto"/>
                <w:lang w:val="en-US" w:eastAsia="zh-CN"/>
              </w:rPr>
            </w:pPr>
            <w:r>
              <w:rPr>
                <w:rFonts w:hint="eastAsia"/>
                <w:lang w:val="en-US" w:eastAsia="zh-CN"/>
              </w:rPr>
              <w:t>30.232</w:t>
            </w:r>
          </w:p>
        </w:tc>
        <w:tc>
          <w:tcPr>
            <w:tcW w:w="1722" w:type="dxa"/>
            <w:vAlign w:val="center"/>
          </w:tcPr>
          <w:p w14:paraId="5C6E6EA5">
            <w:pPr>
              <w:pStyle w:val="3"/>
              <w:rPr>
                <w:color w:val="auto"/>
              </w:rPr>
            </w:pPr>
            <w:r>
              <w:rPr>
                <w:rFonts w:hint="eastAsia"/>
                <w:color w:val="auto"/>
              </w:rPr>
              <w:t>0</w:t>
            </w:r>
          </w:p>
        </w:tc>
        <w:tc>
          <w:tcPr>
            <w:tcW w:w="1598" w:type="dxa"/>
            <w:vAlign w:val="center"/>
          </w:tcPr>
          <w:p w14:paraId="0435044F">
            <w:pPr>
              <w:pStyle w:val="3"/>
              <w:rPr>
                <w:rFonts w:hint="default" w:eastAsia="宋体"/>
                <w:color w:val="auto"/>
                <w:lang w:val="en-US" w:eastAsia="zh-CN"/>
              </w:rPr>
            </w:pPr>
            <w:r>
              <w:rPr>
                <w:rFonts w:hint="eastAsia"/>
                <w:color w:val="auto"/>
                <w:lang w:val="en-US" w:eastAsia="zh-CN"/>
              </w:rPr>
              <w:t>57.562</w:t>
            </w:r>
          </w:p>
        </w:tc>
        <w:tc>
          <w:tcPr>
            <w:tcW w:w="1128" w:type="dxa"/>
            <w:vAlign w:val="center"/>
          </w:tcPr>
          <w:p w14:paraId="39636953">
            <w:pPr>
              <w:pStyle w:val="3"/>
              <w:ind w:firstLine="0" w:firstLineChars="0"/>
              <w:outlineLvl w:val="0"/>
              <w:rPr>
                <w:color w:val="auto"/>
              </w:rPr>
            </w:pPr>
            <w:r>
              <w:rPr>
                <w:rFonts w:hint="eastAsia"/>
                <w:lang w:val="en-US" w:eastAsia="zh-CN"/>
              </w:rPr>
              <w:t>+30.232</w:t>
            </w:r>
          </w:p>
        </w:tc>
      </w:tr>
      <w:tr w14:paraId="4631EA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Merge w:val="continue"/>
            <w:vAlign w:val="center"/>
          </w:tcPr>
          <w:p w14:paraId="288438DE">
            <w:pPr>
              <w:pStyle w:val="3"/>
              <w:rPr>
                <w:color w:val="auto"/>
              </w:rPr>
            </w:pPr>
          </w:p>
        </w:tc>
        <w:tc>
          <w:tcPr>
            <w:tcW w:w="1515" w:type="dxa"/>
            <w:vAlign w:val="center"/>
          </w:tcPr>
          <w:p w14:paraId="177B9FB3">
            <w:pPr>
              <w:pStyle w:val="3"/>
              <w:rPr>
                <w:color w:val="auto"/>
              </w:rPr>
            </w:pPr>
            <w:r>
              <w:rPr>
                <w:rFonts w:hint="eastAsia"/>
                <w:color w:val="auto"/>
              </w:rPr>
              <w:t>沉淀池沉渣</w:t>
            </w:r>
          </w:p>
        </w:tc>
        <w:tc>
          <w:tcPr>
            <w:tcW w:w="1536" w:type="dxa"/>
            <w:vAlign w:val="center"/>
          </w:tcPr>
          <w:p w14:paraId="0066206C">
            <w:pPr>
              <w:pStyle w:val="3"/>
              <w:rPr>
                <w:rFonts w:hint="default" w:eastAsia="宋体"/>
                <w:color w:val="auto"/>
                <w:lang w:val="en-US" w:eastAsia="zh-CN"/>
              </w:rPr>
            </w:pPr>
            <w:r>
              <w:rPr>
                <w:rFonts w:hint="eastAsia"/>
                <w:color w:val="auto"/>
                <w:lang w:val="en-US" w:eastAsia="zh-CN"/>
              </w:rPr>
              <w:t>2.7</w:t>
            </w:r>
          </w:p>
        </w:tc>
        <w:tc>
          <w:tcPr>
            <w:tcW w:w="1250" w:type="dxa"/>
            <w:vAlign w:val="center"/>
          </w:tcPr>
          <w:p w14:paraId="53235B8C">
            <w:pPr>
              <w:pStyle w:val="3"/>
              <w:ind w:firstLine="0" w:firstLineChars="0"/>
              <w:rPr>
                <w:rFonts w:hint="eastAsia" w:eastAsia="宋体"/>
                <w:color w:val="auto"/>
                <w:lang w:eastAsia="zh-CN"/>
              </w:rPr>
            </w:pPr>
            <w:r>
              <w:rPr>
                <w:rFonts w:hint="eastAsia"/>
                <w:color w:val="auto"/>
                <w:lang w:val="en-US" w:eastAsia="zh-CN"/>
              </w:rPr>
              <w:t>2.7</w:t>
            </w:r>
          </w:p>
        </w:tc>
        <w:tc>
          <w:tcPr>
            <w:tcW w:w="1664" w:type="dxa"/>
            <w:vAlign w:val="center"/>
          </w:tcPr>
          <w:p w14:paraId="348C0050">
            <w:pPr>
              <w:pStyle w:val="3"/>
              <w:rPr>
                <w:color w:val="auto"/>
              </w:rPr>
            </w:pPr>
            <w:r>
              <w:rPr>
                <w:rFonts w:hint="eastAsia"/>
                <w:color w:val="auto"/>
              </w:rPr>
              <w:t>0</w:t>
            </w:r>
          </w:p>
        </w:tc>
        <w:tc>
          <w:tcPr>
            <w:tcW w:w="1525" w:type="dxa"/>
            <w:vAlign w:val="center"/>
          </w:tcPr>
          <w:p w14:paraId="4286BC49">
            <w:pPr>
              <w:pStyle w:val="3"/>
              <w:ind w:firstLine="0" w:firstLineChars="0"/>
              <w:outlineLvl w:val="0"/>
              <w:rPr>
                <w:color w:val="auto"/>
              </w:rPr>
            </w:pPr>
            <w:r>
              <w:rPr>
                <w:rFonts w:hint="eastAsia"/>
                <w:color w:val="auto"/>
              </w:rPr>
              <w:t>2</w:t>
            </w:r>
          </w:p>
        </w:tc>
        <w:tc>
          <w:tcPr>
            <w:tcW w:w="1722" w:type="dxa"/>
            <w:vAlign w:val="center"/>
          </w:tcPr>
          <w:p w14:paraId="45311E33">
            <w:pPr>
              <w:pStyle w:val="3"/>
              <w:rPr>
                <w:color w:val="auto"/>
              </w:rPr>
            </w:pPr>
            <w:r>
              <w:rPr>
                <w:rFonts w:hint="eastAsia"/>
                <w:color w:val="auto"/>
              </w:rPr>
              <w:t>0</w:t>
            </w:r>
          </w:p>
        </w:tc>
        <w:tc>
          <w:tcPr>
            <w:tcW w:w="1598" w:type="dxa"/>
            <w:vAlign w:val="center"/>
          </w:tcPr>
          <w:p w14:paraId="42245D01">
            <w:pPr>
              <w:pStyle w:val="3"/>
              <w:rPr>
                <w:rFonts w:hint="default" w:eastAsia="宋体"/>
                <w:color w:val="auto"/>
                <w:lang w:val="en-US" w:eastAsia="zh-CN"/>
              </w:rPr>
            </w:pPr>
            <w:r>
              <w:rPr>
                <w:rFonts w:hint="eastAsia"/>
                <w:color w:val="auto"/>
                <w:lang w:val="en-US" w:eastAsia="zh-CN"/>
              </w:rPr>
              <w:t>4.7</w:t>
            </w:r>
          </w:p>
        </w:tc>
        <w:tc>
          <w:tcPr>
            <w:tcW w:w="1128" w:type="dxa"/>
            <w:vAlign w:val="center"/>
          </w:tcPr>
          <w:p w14:paraId="58C57CFA">
            <w:pPr>
              <w:pStyle w:val="3"/>
              <w:ind w:firstLine="0" w:firstLineChars="0"/>
              <w:outlineLvl w:val="0"/>
              <w:rPr>
                <w:color w:val="auto"/>
              </w:rPr>
            </w:pPr>
            <w:r>
              <w:rPr>
                <w:rFonts w:hint="eastAsia"/>
                <w:color w:val="auto"/>
                <w:lang w:val="en-US" w:eastAsia="zh-CN"/>
              </w:rPr>
              <w:t>+</w:t>
            </w:r>
            <w:r>
              <w:rPr>
                <w:rFonts w:hint="eastAsia"/>
                <w:color w:val="auto"/>
              </w:rPr>
              <w:t>2</w:t>
            </w:r>
          </w:p>
        </w:tc>
      </w:tr>
      <w:tr w14:paraId="24199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Merge w:val="continue"/>
            <w:vAlign w:val="center"/>
          </w:tcPr>
          <w:p w14:paraId="24991EF1">
            <w:pPr>
              <w:pStyle w:val="3"/>
              <w:rPr>
                <w:color w:val="auto"/>
              </w:rPr>
            </w:pPr>
          </w:p>
        </w:tc>
        <w:tc>
          <w:tcPr>
            <w:tcW w:w="1515" w:type="dxa"/>
            <w:vAlign w:val="center"/>
          </w:tcPr>
          <w:p w14:paraId="624FF9D1">
            <w:pPr>
              <w:pStyle w:val="3"/>
              <w:rPr>
                <w:rFonts w:hint="default" w:eastAsia="宋体"/>
                <w:color w:val="auto"/>
                <w:lang w:val="en-US" w:eastAsia="zh-CN"/>
              </w:rPr>
            </w:pPr>
            <w:r>
              <w:rPr>
                <w:rFonts w:hint="eastAsia"/>
                <w:color w:val="auto"/>
                <w:lang w:val="en-US" w:eastAsia="zh-CN"/>
              </w:rPr>
              <w:t>除尘器收集粉尘</w:t>
            </w:r>
          </w:p>
        </w:tc>
        <w:tc>
          <w:tcPr>
            <w:tcW w:w="1536" w:type="dxa"/>
            <w:vAlign w:val="center"/>
          </w:tcPr>
          <w:p w14:paraId="47AFAEE5">
            <w:pPr>
              <w:pStyle w:val="3"/>
              <w:rPr>
                <w:rFonts w:hint="default" w:eastAsia="宋体"/>
                <w:color w:val="auto"/>
                <w:lang w:val="en-US" w:eastAsia="zh-CN"/>
              </w:rPr>
            </w:pPr>
            <w:r>
              <w:rPr>
                <w:rFonts w:hint="eastAsia"/>
                <w:color w:val="auto"/>
                <w:lang w:val="en-US" w:eastAsia="zh-CN"/>
              </w:rPr>
              <w:t>456.49</w:t>
            </w:r>
          </w:p>
        </w:tc>
        <w:tc>
          <w:tcPr>
            <w:tcW w:w="1250" w:type="dxa"/>
            <w:vAlign w:val="center"/>
          </w:tcPr>
          <w:p w14:paraId="4FBCB4CB">
            <w:pPr>
              <w:pStyle w:val="3"/>
              <w:ind w:firstLine="0" w:firstLineChars="0"/>
              <w:rPr>
                <w:rFonts w:hint="default" w:eastAsia="宋体"/>
                <w:color w:val="auto"/>
                <w:lang w:val="en-US" w:eastAsia="zh-CN"/>
              </w:rPr>
            </w:pPr>
            <w:r>
              <w:rPr>
                <w:rFonts w:hint="eastAsia"/>
                <w:color w:val="auto"/>
                <w:lang w:val="en-US" w:eastAsia="zh-CN"/>
              </w:rPr>
              <w:t>456.49</w:t>
            </w:r>
          </w:p>
        </w:tc>
        <w:tc>
          <w:tcPr>
            <w:tcW w:w="1664" w:type="dxa"/>
            <w:vAlign w:val="center"/>
          </w:tcPr>
          <w:p w14:paraId="1A62F713">
            <w:pPr>
              <w:pStyle w:val="3"/>
              <w:rPr>
                <w:rFonts w:hint="eastAsia" w:eastAsia="宋体"/>
                <w:color w:val="auto"/>
                <w:lang w:val="en-US" w:eastAsia="zh-CN"/>
              </w:rPr>
            </w:pPr>
            <w:r>
              <w:rPr>
                <w:rFonts w:hint="eastAsia"/>
                <w:color w:val="auto"/>
                <w:lang w:val="en-US" w:eastAsia="zh-CN"/>
              </w:rPr>
              <w:t>0</w:t>
            </w:r>
          </w:p>
        </w:tc>
        <w:tc>
          <w:tcPr>
            <w:tcW w:w="1525" w:type="dxa"/>
            <w:vAlign w:val="center"/>
          </w:tcPr>
          <w:p w14:paraId="76DDE57E">
            <w:pPr>
              <w:pStyle w:val="3"/>
              <w:ind w:firstLine="0" w:firstLineChars="0"/>
              <w:outlineLvl w:val="0"/>
              <w:rPr>
                <w:rFonts w:hint="default" w:eastAsia="宋体"/>
                <w:color w:val="auto"/>
                <w:lang w:val="en-US" w:eastAsia="zh-CN"/>
              </w:rPr>
            </w:pPr>
            <w:r>
              <w:rPr>
                <w:rFonts w:hint="default" w:eastAsia="宋体"/>
                <w:color w:val="auto"/>
                <w:lang w:val="en-US" w:eastAsia="zh-CN"/>
              </w:rPr>
              <w:t>26.232</w:t>
            </w:r>
          </w:p>
        </w:tc>
        <w:tc>
          <w:tcPr>
            <w:tcW w:w="1722" w:type="dxa"/>
            <w:vAlign w:val="center"/>
          </w:tcPr>
          <w:p w14:paraId="4A8115D4">
            <w:pPr>
              <w:pStyle w:val="3"/>
              <w:rPr>
                <w:rFonts w:hint="eastAsia" w:eastAsia="宋体"/>
                <w:color w:val="auto"/>
                <w:lang w:val="en-US" w:eastAsia="zh-CN"/>
              </w:rPr>
            </w:pPr>
            <w:r>
              <w:rPr>
                <w:rFonts w:hint="eastAsia"/>
                <w:color w:val="auto"/>
                <w:lang w:val="en-US" w:eastAsia="zh-CN"/>
              </w:rPr>
              <w:t>0</w:t>
            </w:r>
          </w:p>
        </w:tc>
        <w:tc>
          <w:tcPr>
            <w:tcW w:w="1598" w:type="dxa"/>
            <w:vAlign w:val="center"/>
          </w:tcPr>
          <w:p w14:paraId="326CF9FD">
            <w:pPr>
              <w:pStyle w:val="3"/>
              <w:rPr>
                <w:rFonts w:hint="default" w:eastAsia="宋体"/>
                <w:color w:val="auto"/>
                <w:lang w:val="en-US" w:eastAsia="zh-CN"/>
              </w:rPr>
            </w:pPr>
            <w:r>
              <w:rPr>
                <w:rFonts w:hint="eastAsia"/>
                <w:color w:val="auto"/>
                <w:lang w:val="en-US" w:eastAsia="zh-CN"/>
              </w:rPr>
              <w:t>482.722</w:t>
            </w:r>
          </w:p>
        </w:tc>
        <w:tc>
          <w:tcPr>
            <w:tcW w:w="1128" w:type="dxa"/>
            <w:vAlign w:val="center"/>
          </w:tcPr>
          <w:p w14:paraId="24CD5AEB">
            <w:pPr>
              <w:pStyle w:val="3"/>
              <w:ind w:firstLine="0" w:firstLineChars="0"/>
              <w:outlineLvl w:val="0"/>
              <w:rPr>
                <w:rFonts w:hint="default" w:eastAsia="宋体"/>
                <w:color w:val="auto"/>
                <w:lang w:val="en-US" w:eastAsia="zh-CN"/>
              </w:rPr>
            </w:pPr>
            <w:r>
              <w:rPr>
                <w:rFonts w:hint="eastAsia" w:eastAsia="宋体"/>
                <w:color w:val="auto"/>
                <w:lang w:val="en-US" w:eastAsia="zh-CN"/>
              </w:rPr>
              <w:t>+</w:t>
            </w:r>
            <w:r>
              <w:rPr>
                <w:rFonts w:hint="default" w:eastAsia="宋体"/>
                <w:color w:val="auto"/>
                <w:lang w:val="en-US" w:eastAsia="zh-CN"/>
              </w:rPr>
              <w:t>26.232</w:t>
            </w:r>
          </w:p>
        </w:tc>
      </w:tr>
      <w:tr w14:paraId="13A90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Align w:val="center"/>
          </w:tcPr>
          <w:p w14:paraId="698FC29D">
            <w:pPr>
              <w:pStyle w:val="3"/>
              <w:rPr>
                <w:color w:val="auto"/>
              </w:rPr>
            </w:pPr>
            <w:r>
              <w:rPr>
                <w:rFonts w:hint="eastAsia"/>
                <w:color w:val="auto"/>
              </w:rPr>
              <w:t>危险废物</w:t>
            </w:r>
          </w:p>
        </w:tc>
        <w:tc>
          <w:tcPr>
            <w:tcW w:w="1515" w:type="dxa"/>
            <w:vAlign w:val="center"/>
          </w:tcPr>
          <w:p w14:paraId="2A743B64">
            <w:pPr>
              <w:pStyle w:val="3"/>
              <w:rPr>
                <w:rFonts w:hint="default" w:eastAsia="宋体"/>
                <w:color w:val="auto"/>
                <w:lang w:val="en-US" w:eastAsia="zh-CN"/>
              </w:rPr>
            </w:pPr>
            <w:r>
              <w:rPr>
                <w:rFonts w:hint="eastAsia"/>
                <w:color w:val="auto"/>
                <w:lang w:val="en-US" w:eastAsia="zh-CN"/>
              </w:rPr>
              <w:t>废机油废机油桶</w:t>
            </w:r>
          </w:p>
        </w:tc>
        <w:tc>
          <w:tcPr>
            <w:tcW w:w="1536" w:type="dxa"/>
            <w:vAlign w:val="center"/>
          </w:tcPr>
          <w:p w14:paraId="29C58F52">
            <w:pPr>
              <w:pStyle w:val="3"/>
              <w:rPr>
                <w:rFonts w:hint="default" w:eastAsia="宋体"/>
                <w:color w:val="auto"/>
                <w:lang w:val="en-US" w:eastAsia="zh-CN"/>
              </w:rPr>
            </w:pPr>
            <w:r>
              <w:rPr>
                <w:rFonts w:hint="eastAsia"/>
                <w:color w:val="auto"/>
                <w:lang w:val="en-US" w:eastAsia="zh-CN"/>
              </w:rPr>
              <w:t>0.2</w:t>
            </w:r>
          </w:p>
        </w:tc>
        <w:tc>
          <w:tcPr>
            <w:tcW w:w="1250" w:type="dxa"/>
            <w:vAlign w:val="center"/>
          </w:tcPr>
          <w:p w14:paraId="092E1B2E">
            <w:pPr>
              <w:pStyle w:val="3"/>
              <w:ind w:firstLine="0" w:firstLineChars="0"/>
              <w:rPr>
                <w:rFonts w:hint="default" w:eastAsia="宋体"/>
                <w:color w:val="auto"/>
                <w:lang w:val="en-US" w:eastAsia="zh-CN"/>
              </w:rPr>
            </w:pPr>
            <w:r>
              <w:rPr>
                <w:rFonts w:hint="eastAsia"/>
                <w:color w:val="auto"/>
                <w:lang w:val="en-US" w:eastAsia="zh-CN"/>
              </w:rPr>
              <w:t>0.2</w:t>
            </w:r>
          </w:p>
        </w:tc>
        <w:tc>
          <w:tcPr>
            <w:tcW w:w="1664" w:type="dxa"/>
            <w:vAlign w:val="center"/>
          </w:tcPr>
          <w:p w14:paraId="09EBE38D">
            <w:pPr>
              <w:pStyle w:val="3"/>
              <w:rPr>
                <w:color w:val="auto"/>
              </w:rPr>
            </w:pPr>
            <w:r>
              <w:rPr>
                <w:rFonts w:hint="eastAsia"/>
                <w:color w:val="auto"/>
              </w:rPr>
              <w:t>0</w:t>
            </w:r>
          </w:p>
        </w:tc>
        <w:tc>
          <w:tcPr>
            <w:tcW w:w="1525" w:type="dxa"/>
            <w:vAlign w:val="center"/>
          </w:tcPr>
          <w:p w14:paraId="755756C6">
            <w:pPr>
              <w:pStyle w:val="3"/>
              <w:ind w:firstLine="0" w:firstLineChars="0"/>
              <w:outlineLvl w:val="0"/>
              <w:rPr>
                <w:color w:val="auto"/>
              </w:rPr>
            </w:pPr>
            <w:r>
              <w:rPr>
                <w:rFonts w:hint="eastAsia"/>
                <w:color w:val="auto"/>
                <w:lang w:val="en-US" w:eastAsia="zh-CN"/>
              </w:rPr>
              <w:t>0.2</w:t>
            </w:r>
          </w:p>
        </w:tc>
        <w:tc>
          <w:tcPr>
            <w:tcW w:w="1722" w:type="dxa"/>
            <w:vAlign w:val="center"/>
          </w:tcPr>
          <w:p w14:paraId="6B144152">
            <w:pPr>
              <w:pStyle w:val="3"/>
              <w:rPr>
                <w:color w:val="auto"/>
              </w:rPr>
            </w:pPr>
            <w:r>
              <w:rPr>
                <w:rFonts w:hint="eastAsia"/>
                <w:color w:val="auto"/>
              </w:rPr>
              <w:t>0</w:t>
            </w:r>
          </w:p>
        </w:tc>
        <w:tc>
          <w:tcPr>
            <w:tcW w:w="1598" w:type="dxa"/>
            <w:vAlign w:val="center"/>
          </w:tcPr>
          <w:p w14:paraId="6B65CAFC">
            <w:pPr>
              <w:pStyle w:val="3"/>
              <w:rPr>
                <w:rFonts w:hint="default" w:eastAsia="宋体"/>
                <w:color w:val="auto"/>
                <w:lang w:val="en-US" w:eastAsia="zh-CN"/>
              </w:rPr>
            </w:pPr>
            <w:r>
              <w:rPr>
                <w:rFonts w:hint="eastAsia"/>
                <w:color w:val="auto"/>
                <w:lang w:val="en-US" w:eastAsia="zh-CN"/>
              </w:rPr>
              <w:t>0.4</w:t>
            </w:r>
          </w:p>
        </w:tc>
        <w:tc>
          <w:tcPr>
            <w:tcW w:w="1128" w:type="dxa"/>
            <w:vAlign w:val="center"/>
          </w:tcPr>
          <w:p w14:paraId="241F76E8">
            <w:pPr>
              <w:pStyle w:val="3"/>
              <w:ind w:firstLine="0" w:firstLineChars="0"/>
              <w:outlineLvl w:val="0"/>
              <w:rPr>
                <w:color w:val="auto"/>
              </w:rPr>
            </w:pPr>
            <w:r>
              <w:rPr>
                <w:rFonts w:hint="eastAsia"/>
                <w:color w:val="auto"/>
                <w:lang w:val="en-US" w:eastAsia="zh-CN"/>
              </w:rPr>
              <w:t>+0.2</w:t>
            </w:r>
          </w:p>
        </w:tc>
      </w:tr>
    </w:tbl>
    <w:p w14:paraId="43B21B63">
      <w:pPr>
        <w:pStyle w:val="36"/>
        <w:spacing w:before="192" w:beforeLines="80" w:after="24"/>
        <w:ind w:firstLine="480"/>
        <w:jc w:val="left"/>
        <w:rPr>
          <w:rFonts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sectPr>
      <w:footerReference r:id="rId6" w:type="default"/>
      <w:pgSz w:w="16838" w:h="11906" w:orient="landscape"/>
      <w:pgMar w:top="1531" w:right="1701" w:bottom="1531" w:left="1701" w:header="851" w:footer="851"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03C1">
    <w:pPr>
      <w:pStyle w:val="1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D1E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70D1E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ABEC">
    <w:pPr>
      <w:pStyle w:val="18"/>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DC471">
                          <w:pPr>
                            <w:pStyle w:val="1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FDC471">
                    <w:pPr>
                      <w:pStyle w:val="1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DB18"/>
    <w:multiLevelType w:val="singleLevel"/>
    <w:tmpl w:val="9032DB18"/>
    <w:lvl w:ilvl="0" w:tentative="0">
      <w:start w:val="1"/>
      <w:numFmt w:val="chineseCounting"/>
      <w:suff w:val="nothing"/>
      <w:lvlText w:val="%1、"/>
      <w:lvlJc w:val="left"/>
      <w:rPr>
        <w:rFonts w:hint="eastAsia"/>
      </w:rPr>
    </w:lvl>
  </w:abstractNum>
  <w:abstractNum w:abstractNumId="1">
    <w:nsid w:val="A4EAD91E"/>
    <w:multiLevelType w:val="singleLevel"/>
    <w:tmpl w:val="A4EAD91E"/>
    <w:lvl w:ilvl="0" w:tentative="0">
      <w:start w:val="6"/>
      <w:numFmt w:val="decimal"/>
      <w:suff w:val="nothing"/>
      <w:lvlText w:val="（%1）"/>
      <w:lvlJc w:val="left"/>
    </w:lvl>
  </w:abstractNum>
  <w:abstractNum w:abstractNumId="2">
    <w:nsid w:val="DEDD97A1"/>
    <w:multiLevelType w:val="singleLevel"/>
    <w:tmpl w:val="DEDD97A1"/>
    <w:lvl w:ilvl="0" w:tentative="0">
      <w:start w:val="2"/>
      <w:numFmt w:val="decimal"/>
      <w:suff w:val="nothing"/>
      <w:lvlText w:val="%1、"/>
      <w:lvlJc w:val="left"/>
    </w:lvl>
  </w:abstractNum>
  <w:abstractNum w:abstractNumId="3">
    <w:nsid w:val="05C7733D"/>
    <w:multiLevelType w:val="singleLevel"/>
    <w:tmpl w:val="05C7733D"/>
    <w:lvl w:ilvl="0" w:tentative="0">
      <w:start w:val="1"/>
      <w:numFmt w:val="decimal"/>
      <w:suff w:val="nothing"/>
      <w:lvlText w:val="（%1）"/>
      <w:lvlJc w:val="left"/>
    </w:lvl>
  </w:abstractNum>
  <w:abstractNum w:abstractNumId="4">
    <w:nsid w:val="07003864"/>
    <w:multiLevelType w:val="singleLevel"/>
    <w:tmpl w:val="07003864"/>
    <w:lvl w:ilvl="0" w:tentative="0">
      <w:start w:val="5"/>
      <w:numFmt w:val="decimal"/>
      <w:suff w:val="nothing"/>
      <w:lvlText w:val="%1、"/>
      <w:lvlJc w:val="left"/>
    </w:lvl>
  </w:abstractNum>
  <w:abstractNum w:abstractNumId="5">
    <w:nsid w:val="0932E7E0"/>
    <w:multiLevelType w:val="singleLevel"/>
    <w:tmpl w:val="0932E7E0"/>
    <w:lvl w:ilvl="0" w:tentative="0">
      <w:start w:val="1"/>
      <w:numFmt w:val="lowerLetter"/>
      <w:suff w:val="nothing"/>
      <w:lvlText w:val="%1、"/>
      <w:lvlJc w:val="left"/>
    </w:lvl>
  </w:abstractNum>
  <w:abstractNum w:abstractNumId="6">
    <w:nsid w:val="42067DDD"/>
    <w:multiLevelType w:val="singleLevel"/>
    <w:tmpl w:val="42067DDD"/>
    <w:lvl w:ilvl="0" w:tentative="0">
      <w:start w:val="1"/>
      <w:numFmt w:val="decimal"/>
      <w:suff w:val="nothing"/>
      <w:lvlText w:val="（%1）"/>
      <w:lvlJc w:val="left"/>
    </w:lvl>
  </w:abstractNum>
  <w:abstractNum w:abstractNumId="7">
    <w:nsid w:val="4EEEB91B"/>
    <w:multiLevelType w:val="singleLevel"/>
    <w:tmpl w:val="4EEEB91B"/>
    <w:lvl w:ilvl="0" w:tentative="0">
      <w:start w:val="4"/>
      <w:numFmt w:val="decimal"/>
      <w:suff w:val="nothing"/>
      <w:lvlText w:val="（%1）"/>
      <w:lvlJc w:val="left"/>
    </w:lvl>
  </w:abstractNum>
  <w:num w:numId="1">
    <w:abstractNumId w:val="4"/>
  </w:num>
  <w:num w:numId="2">
    <w:abstractNumId w:val="3"/>
  </w:num>
  <w:num w:numId="3">
    <w:abstractNumId w:val="1"/>
  </w:num>
  <w:num w:numId="4">
    <w:abstractNumId w:val="7"/>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YWViZmZkY2MyZjgzNGI3NjQ5ODc1NDAyNTQ2NTYifQ=="/>
  </w:docVars>
  <w:rsids>
    <w:rsidRoot w:val="65583102"/>
    <w:rsid w:val="00083B1B"/>
    <w:rsid w:val="00204D4B"/>
    <w:rsid w:val="002772A2"/>
    <w:rsid w:val="002879B7"/>
    <w:rsid w:val="002C27E7"/>
    <w:rsid w:val="003177C4"/>
    <w:rsid w:val="00365339"/>
    <w:rsid w:val="003704D4"/>
    <w:rsid w:val="003A35B9"/>
    <w:rsid w:val="00444431"/>
    <w:rsid w:val="004801B9"/>
    <w:rsid w:val="00525CF6"/>
    <w:rsid w:val="005575A5"/>
    <w:rsid w:val="00892D09"/>
    <w:rsid w:val="008B0E9A"/>
    <w:rsid w:val="00A30479"/>
    <w:rsid w:val="00E62966"/>
    <w:rsid w:val="00F30DE2"/>
    <w:rsid w:val="015E4AD6"/>
    <w:rsid w:val="01F354BA"/>
    <w:rsid w:val="02641C78"/>
    <w:rsid w:val="029702A0"/>
    <w:rsid w:val="02C941D1"/>
    <w:rsid w:val="031E607D"/>
    <w:rsid w:val="032E7575"/>
    <w:rsid w:val="0422008B"/>
    <w:rsid w:val="04F55E4B"/>
    <w:rsid w:val="07740BAF"/>
    <w:rsid w:val="07AD2313"/>
    <w:rsid w:val="088C4B74"/>
    <w:rsid w:val="097B1D33"/>
    <w:rsid w:val="09A34AFA"/>
    <w:rsid w:val="0A01237E"/>
    <w:rsid w:val="0A450286"/>
    <w:rsid w:val="0B511B4F"/>
    <w:rsid w:val="0BDA11FD"/>
    <w:rsid w:val="0C8A5240"/>
    <w:rsid w:val="0CCA0DCD"/>
    <w:rsid w:val="0CCF1425"/>
    <w:rsid w:val="0E9C6A9B"/>
    <w:rsid w:val="0ECE1FF2"/>
    <w:rsid w:val="0FAE5144"/>
    <w:rsid w:val="0FBB3A4A"/>
    <w:rsid w:val="0FCD3553"/>
    <w:rsid w:val="0FDF3286"/>
    <w:rsid w:val="0FE572AA"/>
    <w:rsid w:val="101B4EEB"/>
    <w:rsid w:val="1041251C"/>
    <w:rsid w:val="11AE540E"/>
    <w:rsid w:val="11CB14DA"/>
    <w:rsid w:val="12942106"/>
    <w:rsid w:val="130037DE"/>
    <w:rsid w:val="13CC394E"/>
    <w:rsid w:val="13FB47D7"/>
    <w:rsid w:val="140968FC"/>
    <w:rsid w:val="14861F22"/>
    <w:rsid w:val="14A100CB"/>
    <w:rsid w:val="15450EB0"/>
    <w:rsid w:val="15475056"/>
    <w:rsid w:val="167C35DD"/>
    <w:rsid w:val="16897AA8"/>
    <w:rsid w:val="16AC2E3A"/>
    <w:rsid w:val="17000A35"/>
    <w:rsid w:val="17B44FDF"/>
    <w:rsid w:val="18552337"/>
    <w:rsid w:val="18997576"/>
    <w:rsid w:val="19A25DA8"/>
    <w:rsid w:val="19D674A8"/>
    <w:rsid w:val="1A451CAF"/>
    <w:rsid w:val="1A937147"/>
    <w:rsid w:val="1BC31FA6"/>
    <w:rsid w:val="1CBD38F1"/>
    <w:rsid w:val="1CF163A7"/>
    <w:rsid w:val="1E3450EF"/>
    <w:rsid w:val="1EBD543E"/>
    <w:rsid w:val="206941C2"/>
    <w:rsid w:val="20D504B9"/>
    <w:rsid w:val="215C4736"/>
    <w:rsid w:val="21BA145D"/>
    <w:rsid w:val="224F6049"/>
    <w:rsid w:val="22C24A6D"/>
    <w:rsid w:val="238204BE"/>
    <w:rsid w:val="24602185"/>
    <w:rsid w:val="24AF7CF7"/>
    <w:rsid w:val="24B77ED6"/>
    <w:rsid w:val="27090EBD"/>
    <w:rsid w:val="274E5DDE"/>
    <w:rsid w:val="275E288B"/>
    <w:rsid w:val="280451E0"/>
    <w:rsid w:val="290611BA"/>
    <w:rsid w:val="29AE30FA"/>
    <w:rsid w:val="29BD13E0"/>
    <w:rsid w:val="2AFF0777"/>
    <w:rsid w:val="2B870602"/>
    <w:rsid w:val="2BA54F2C"/>
    <w:rsid w:val="2BAC62BA"/>
    <w:rsid w:val="2C047EA4"/>
    <w:rsid w:val="2CAA26D9"/>
    <w:rsid w:val="2CB96A46"/>
    <w:rsid w:val="2D2D2D65"/>
    <w:rsid w:val="2D3F05A4"/>
    <w:rsid w:val="2DAB630A"/>
    <w:rsid w:val="2DFF0595"/>
    <w:rsid w:val="2E823302"/>
    <w:rsid w:val="30342335"/>
    <w:rsid w:val="30471CF4"/>
    <w:rsid w:val="30896BCA"/>
    <w:rsid w:val="30EF0104"/>
    <w:rsid w:val="30FD3114"/>
    <w:rsid w:val="310B75DF"/>
    <w:rsid w:val="34055B3D"/>
    <w:rsid w:val="3524459F"/>
    <w:rsid w:val="3529410F"/>
    <w:rsid w:val="358866EC"/>
    <w:rsid w:val="35FA5E74"/>
    <w:rsid w:val="365A1CE1"/>
    <w:rsid w:val="36716136"/>
    <w:rsid w:val="370E617F"/>
    <w:rsid w:val="37880D76"/>
    <w:rsid w:val="379954A8"/>
    <w:rsid w:val="3851621F"/>
    <w:rsid w:val="385E6405"/>
    <w:rsid w:val="39A87C23"/>
    <w:rsid w:val="3BC80237"/>
    <w:rsid w:val="3BF666F8"/>
    <w:rsid w:val="3CFF4D4D"/>
    <w:rsid w:val="3D0A2E41"/>
    <w:rsid w:val="3E1F55C9"/>
    <w:rsid w:val="3FDF34CE"/>
    <w:rsid w:val="400F413D"/>
    <w:rsid w:val="4073395D"/>
    <w:rsid w:val="415E375B"/>
    <w:rsid w:val="42F37DCA"/>
    <w:rsid w:val="43056584"/>
    <w:rsid w:val="431C1579"/>
    <w:rsid w:val="434F77FF"/>
    <w:rsid w:val="43934D06"/>
    <w:rsid w:val="43A23DD3"/>
    <w:rsid w:val="44E65F41"/>
    <w:rsid w:val="45260A34"/>
    <w:rsid w:val="453F38A4"/>
    <w:rsid w:val="458F5091"/>
    <w:rsid w:val="45DA73CD"/>
    <w:rsid w:val="46676778"/>
    <w:rsid w:val="46EA5546"/>
    <w:rsid w:val="473531B0"/>
    <w:rsid w:val="47C033D6"/>
    <w:rsid w:val="48D013E2"/>
    <w:rsid w:val="49465201"/>
    <w:rsid w:val="4A0E6826"/>
    <w:rsid w:val="4A7474E5"/>
    <w:rsid w:val="4AF33247"/>
    <w:rsid w:val="4B1A4B97"/>
    <w:rsid w:val="4B6F5B99"/>
    <w:rsid w:val="4BB96205"/>
    <w:rsid w:val="4CC978D5"/>
    <w:rsid w:val="4CF1216C"/>
    <w:rsid w:val="4DD54DA5"/>
    <w:rsid w:val="4E254D28"/>
    <w:rsid w:val="4F810C75"/>
    <w:rsid w:val="51A75EC9"/>
    <w:rsid w:val="52BD6C15"/>
    <w:rsid w:val="534C3D5B"/>
    <w:rsid w:val="543739B3"/>
    <w:rsid w:val="54B81118"/>
    <w:rsid w:val="55BF6A67"/>
    <w:rsid w:val="56076A84"/>
    <w:rsid w:val="57657032"/>
    <w:rsid w:val="57AF7A62"/>
    <w:rsid w:val="58227EAC"/>
    <w:rsid w:val="589676B6"/>
    <w:rsid w:val="58A6013D"/>
    <w:rsid w:val="59366A68"/>
    <w:rsid w:val="594D25DB"/>
    <w:rsid w:val="596A0A97"/>
    <w:rsid w:val="5AEE56F8"/>
    <w:rsid w:val="5B0D2022"/>
    <w:rsid w:val="5B163AB7"/>
    <w:rsid w:val="5B4F6DF9"/>
    <w:rsid w:val="5B914A01"/>
    <w:rsid w:val="5BD26DC8"/>
    <w:rsid w:val="5C8613EC"/>
    <w:rsid w:val="5D1C2678"/>
    <w:rsid w:val="5D2331A2"/>
    <w:rsid w:val="5E9345EC"/>
    <w:rsid w:val="5F184B73"/>
    <w:rsid w:val="5F722139"/>
    <w:rsid w:val="5FE628FB"/>
    <w:rsid w:val="60D3467A"/>
    <w:rsid w:val="61077514"/>
    <w:rsid w:val="614C3178"/>
    <w:rsid w:val="61D139D5"/>
    <w:rsid w:val="61F643F0"/>
    <w:rsid w:val="62AF7E63"/>
    <w:rsid w:val="63B36F43"/>
    <w:rsid w:val="63F32DD8"/>
    <w:rsid w:val="64392552"/>
    <w:rsid w:val="64B021D3"/>
    <w:rsid w:val="65583102"/>
    <w:rsid w:val="657B5DDA"/>
    <w:rsid w:val="658A426F"/>
    <w:rsid w:val="65B431E5"/>
    <w:rsid w:val="65E46075"/>
    <w:rsid w:val="66114818"/>
    <w:rsid w:val="66384800"/>
    <w:rsid w:val="66697695"/>
    <w:rsid w:val="667E2026"/>
    <w:rsid w:val="66EB3CB4"/>
    <w:rsid w:val="66FF6AED"/>
    <w:rsid w:val="67395F4D"/>
    <w:rsid w:val="67B24307"/>
    <w:rsid w:val="67BF5672"/>
    <w:rsid w:val="67C1666E"/>
    <w:rsid w:val="685C1EF3"/>
    <w:rsid w:val="68802085"/>
    <w:rsid w:val="69823BDB"/>
    <w:rsid w:val="698F7158"/>
    <w:rsid w:val="6A1F58CE"/>
    <w:rsid w:val="6A7C7C19"/>
    <w:rsid w:val="6ADA504D"/>
    <w:rsid w:val="6B040620"/>
    <w:rsid w:val="6BF568E6"/>
    <w:rsid w:val="6C836772"/>
    <w:rsid w:val="6D8E12A6"/>
    <w:rsid w:val="6E746256"/>
    <w:rsid w:val="6EDF562C"/>
    <w:rsid w:val="6F814935"/>
    <w:rsid w:val="6FB42615"/>
    <w:rsid w:val="6FB576E8"/>
    <w:rsid w:val="6FB67594"/>
    <w:rsid w:val="70311054"/>
    <w:rsid w:val="72475174"/>
    <w:rsid w:val="726E274B"/>
    <w:rsid w:val="73A806E2"/>
    <w:rsid w:val="74855152"/>
    <w:rsid w:val="75391C4E"/>
    <w:rsid w:val="754C32EF"/>
    <w:rsid w:val="75C86CF7"/>
    <w:rsid w:val="77274014"/>
    <w:rsid w:val="773A5AF5"/>
    <w:rsid w:val="79615F04"/>
    <w:rsid w:val="798B3300"/>
    <w:rsid w:val="79A60BD9"/>
    <w:rsid w:val="7A2404B5"/>
    <w:rsid w:val="7B2F4DDF"/>
    <w:rsid w:val="7C466E68"/>
    <w:rsid w:val="7CDB5685"/>
    <w:rsid w:val="7D1F4A73"/>
    <w:rsid w:val="7D8C59CD"/>
    <w:rsid w:val="7D957F29"/>
    <w:rsid w:val="7E176B90"/>
    <w:rsid w:val="7E660E57"/>
    <w:rsid w:val="7F624356"/>
    <w:rsid w:val="7FFC3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1"/>
    <w:qFormat/>
    <w:uiPriority w:val="0"/>
    <w:pPr>
      <w:keepNext/>
      <w:keepLines/>
      <w:spacing w:line="240" w:lineRule="auto"/>
      <w:ind w:firstLine="0" w:firstLineChars="0"/>
      <w:jc w:val="center"/>
      <w:outlineLvl w:val="0"/>
    </w:pPr>
    <w:rPr>
      <w:kern w:val="44"/>
      <w:sz w:val="21"/>
    </w:rPr>
  </w:style>
  <w:style w:type="paragraph" w:styleId="4">
    <w:name w:val="heading 2"/>
    <w:basedOn w:val="1"/>
    <w:next w:val="1"/>
    <w:link w:val="47"/>
    <w:unhideWhenUsed/>
    <w:qFormat/>
    <w:uiPriority w:val="0"/>
    <w:pPr>
      <w:keepNext/>
      <w:keepLines/>
      <w:ind w:firstLine="0" w:firstLineChars="0"/>
      <w:outlineLvl w:val="1"/>
    </w:pPr>
  </w:style>
  <w:style w:type="paragraph" w:styleId="5">
    <w:name w:val="heading 4"/>
    <w:basedOn w:val="1"/>
    <w:next w:val="1"/>
    <w:unhideWhenUsed/>
    <w:qFormat/>
    <w:uiPriority w:val="0"/>
    <w:pPr>
      <w:ind w:firstLine="0" w:firstLineChars="0"/>
      <w:outlineLvl w:val="3"/>
    </w:pPr>
    <w:rPr>
      <w:rFonts w:cs="宋体"/>
      <w:b/>
      <w:bCs/>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customStyle="1" w:styleId="2">
    <w:name w:val="标号正文"/>
    <w:basedOn w:val="1"/>
    <w:next w:val="1"/>
    <w:qFormat/>
    <w:uiPriority w:val="0"/>
    <w:pPr>
      <w:tabs>
        <w:tab w:val="left" w:pos="1540"/>
      </w:tabs>
      <w:overflowPunct w:val="0"/>
      <w:snapToGrid w:val="0"/>
      <w:spacing w:line="360" w:lineRule="auto"/>
      <w:ind w:left="0" w:firstLine="1040"/>
      <w:jc w:val="left"/>
    </w:pPr>
    <w:rPr>
      <w:rFonts w:ascii="Arial" w:hAnsi="Arial" w:eastAsia="宋体"/>
      <w:sz w:val="24"/>
      <w:szCs w:val="20"/>
    </w:rPr>
  </w:style>
  <w:style w:type="paragraph" w:styleId="6">
    <w:name w:val="Normal Indent"/>
    <w:basedOn w:val="1"/>
    <w:next w:val="7"/>
    <w:qFormat/>
    <w:uiPriority w:val="99"/>
    <w:pPr>
      <w:ind w:firstLine="420"/>
    </w:pPr>
    <w:rPr>
      <w:szCs w:val="21"/>
    </w:rPr>
  </w:style>
  <w:style w:type="paragraph" w:styleId="7">
    <w:name w:val="Body Text First Indent 2"/>
    <w:basedOn w:val="8"/>
    <w:next w:val="1"/>
    <w:unhideWhenUsed/>
    <w:qFormat/>
    <w:uiPriority w:val="99"/>
    <w:pPr>
      <w:spacing w:line="240" w:lineRule="auto"/>
      <w:ind w:firstLine="420"/>
    </w:pPr>
    <w:rPr>
      <w:rFonts w:eastAsia="仿宋_GB2312"/>
      <w:snapToGrid w:val="0"/>
      <w:color w:val="000000"/>
      <w:sz w:val="28"/>
    </w:rPr>
  </w:style>
  <w:style w:type="paragraph" w:styleId="8">
    <w:name w:val="Body Text Indent"/>
    <w:basedOn w:val="1"/>
    <w:next w:val="9"/>
    <w:qFormat/>
    <w:uiPriority w:val="0"/>
    <w:pPr>
      <w:spacing w:after="120"/>
      <w:ind w:left="420" w:leftChars="200"/>
    </w:pPr>
    <w:rPr>
      <w:kern w:val="0"/>
      <w:szCs w:val="20"/>
    </w:rPr>
  </w:style>
  <w:style w:type="paragraph" w:styleId="9">
    <w:name w:val="Body Text Indent 2"/>
    <w:basedOn w:val="1"/>
    <w:next w:val="7"/>
    <w:qFormat/>
    <w:uiPriority w:val="0"/>
    <w:pPr>
      <w:spacing w:line="620" w:lineRule="exact"/>
      <w:ind w:firstLine="570"/>
    </w:pPr>
  </w:style>
  <w:style w:type="paragraph" w:styleId="10">
    <w:name w:val="annotation text"/>
    <w:basedOn w:val="1"/>
    <w:link w:val="50"/>
    <w:semiHidden/>
    <w:qFormat/>
    <w:uiPriority w:val="99"/>
    <w:pPr>
      <w:jc w:val="left"/>
    </w:pPr>
    <w:rPr>
      <w:kern w:val="0"/>
      <w:szCs w:val="20"/>
    </w:rPr>
  </w:style>
  <w:style w:type="paragraph" w:styleId="11">
    <w:name w:val="Salutation"/>
    <w:basedOn w:val="1"/>
    <w:next w:val="1"/>
    <w:semiHidden/>
    <w:qFormat/>
    <w:uiPriority w:val="0"/>
    <w:pPr>
      <w:pBdr>
        <w:top w:val="single" w:color="auto" w:sz="4" w:space="1"/>
      </w:pBdr>
      <w:adjustRightInd w:val="0"/>
      <w:spacing w:line="360" w:lineRule="atLeast"/>
      <w:jc w:val="left"/>
      <w:textAlignment w:val="baseline"/>
    </w:pPr>
    <w:rPr>
      <w:kern w:val="0"/>
      <w:szCs w:val="20"/>
    </w:rPr>
  </w:style>
  <w:style w:type="paragraph" w:styleId="12">
    <w:name w:val="Body Text"/>
    <w:basedOn w:val="1"/>
    <w:next w:val="13"/>
    <w:qFormat/>
    <w:uiPriority w:val="0"/>
    <w:pPr>
      <w:spacing w:after="120"/>
    </w:pPr>
  </w:style>
  <w:style w:type="paragraph" w:customStyle="1" w:styleId="13">
    <w:name w:val="xl27"/>
    <w:basedOn w:val="1"/>
    <w:next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styleId="14">
    <w:name w:val="Block Text"/>
    <w:basedOn w:val="1"/>
    <w:qFormat/>
    <w:uiPriority w:val="0"/>
    <w:pPr>
      <w:adjustRightInd w:val="0"/>
      <w:snapToGrid w:val="0"/>
      <w:spacing w:line="490" w:lineRule="atLeast"/>
      <w:ind w:left="10" w:leftChars="5" w:right="-449" w:rightChars="-214" w:firstLine="560" w:firstLineChars="200"/>
    </w:pPr>
    <w:rPr>
      <w:color w:val="000000"/>
      <w:sz w:val="28"/>
    </w:rPr>
  </w:style>
  <w:style w:type="paragraph" w:styleId="15">
    <w:name w:val="Plain Text"/>
    <w:basedOn w:val="1"/>
    <w:next w:val="11"/>
    <w:qFormat/>
    <w:uiPriority w:val="0"/>
    <w:rPr>
      <w:rFonts w:ascii="宋体" w:hAnsi="Courier New"/>
      <w:szCs w:val="21"/>
    </w:rPr>
  </w:style>
  <w:style w:type="paragraph" w:styleId="16">
    <w:name w:val="Date"/>
    <w:basedOn w:val="1"/>
    <w:next w:val="1"/>
    <w:qFormat/>
    <w:uiPriority w:val="0"/>
    <w:rPr>
      <w:sz w:val="28"/>
      <w:szCs w:val="20"/>
    </w:rPr>
  </w:style>
  <w:style w:type="paragraph" w:styleId="17">
    <w:name w:val="Balloon Text"/>
    <w:basedOn w:val="1"/>
    <w:link w:val="52"/>
    <w:qFormat/>
    <w:uiPriority w:val="0"/>
    <w:pPr>
      <w:spacing w:line="240" w:lineRule="auto"/>
    </w:pPr>
    <w:rPr>
      <w:sz w:val="18"/>
      <w:szCs w:val="18"/>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0">
    <w:name w:val="index heading"/>
    <w:basedOn w:val="1"/>
    <w:next w:val="21"/>
    <w:qFormat/>
    <w:uiPriority w:val="0"/>
    <w:rPr>
      <w:rFonts w:ascii="Arial" w:hAnsi="Arial"/>
      <w:b/>
    </w:rPr>
  </w:style>
  <w:style w:type="paragraph" w:styleId="21">
    <w:name w:val="index 1"/>
    <w:basedOn w:val="1"/>
    <w:next w:val="1"/>
    <w:qFormat/>
    <w:uiPriority w:val="0"/>
  </w:style>
  <w:style w:type="paragraph" w:styleId="22">
    <w:name w:val="Body Text 2"/>
    <w:basedOn w:val="1"/>
    <w:next w:val="1"/>
    <w:qFormat/>
    <w:uiPriority w:val="0"/>
    <w:pPr>
      <w:spacing w:after="120" w:line="480" w:lineRule="auto"/>
    </w:pPr>
  </w:style>
  <w:style w:type="paragraph" w:styleId="23">
    <w:name w:val="Normal (Web)"/>
    <w:basedOn w:val="1"/>
    <w:qFormat/>
    <w:uiPriority w:val="0"/>
    <w:pPr>
      <w:widowControl/>
      <w:spacing w:before="100" w:beforeAutospacing="1" w:after="100" w:afterAutospacing="1"/>
      <w:jc w:val="left"/>
    </w:pPr>
    <w:rPr>
      <w:rFonts w:ascii="宋体" w:hAnsi="宋体"/>
      <w:kern w:val="0"/>
      <w:szCs w:val="20"/>
    </w:rPr>
  </w:style>
  <w:style w:type="paragraph" w:styleId="24">
    <w:name w:val="annotation subject"/>
    <w:basedOn w:val="10"/>
    <w:next w:val="10"/>
    <w:link w:val="51"/>
    <w:qFormat/>
    <w:uiPriority w:val="0"/>
    <w:rPr>
      <w:b/>
      <w:bCs/>
      <w:kern w:val="2"/>
      <w:szCs w:val="24"/>
    </w:rPr>
  </w:style>
  <w:style w:type="paragraph" w:styleId="25">
    <w:name w:val="Body Text First Indent"/>
    <w:basedOn w:val="12"/>
    <w:next w:val="1"/>
    <w:qFormat/>
    <w:uiPriority w:val="0"/>
    <w:pPr>
      <w:ind w:firstLine="420" w:firstLineChars="100"/>
    </w:pPr>
    <w:rPr>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Emphasis"/>
    <w:basedOn w:val="28"/>
    <w:qFormat/>
    <w:uiPriority w:val="0"/>
    <w:rPr>
      <w:i/>
    </w:rPr>
  </w:style>
  <w:style w:type="character" w:styleId="31">
    <w:name w:val="Hyperlink"/>
    <w:basedOn w:val="28"/>
    <w:qFormat/>
    <w:uiPriority w:val="0"/>
    <w:rPr>
      <w:color w:val="0000FF"/>
      <w:u w:val="single"/>
    </w:rPr>
  </w:style>
  <w:style w:type="character" w:styleId="32">
    <w:name w:val="annotation reference"/>
    <w:basedOn w:val="28"/>
    <w:qFormat/>
    <w:uiPriority w:val="99"/>
    <w:rPr>
      <w:sz w:val="21"/>
      <w:szCs w:val="21"/>
    </w:rPr>
  </w:style>
  <w:style w:type="paragraph" w:customStyle="1" w:styleId="33">
    <w:name w:val="A正文"/>
    <w:basedOn w:val="1"/>
    <w:qFormat/>
    <w:uiPriority w:val="0"/>
    <w:pPr>
      <w:spacing w:line="360" w:lineRule="auto"/>
      <w:ind w:firstLine="200" w:firstLineChars="200"/>
    </w:pPr>
    <w:rPr>
      <w:sz w:val="24"/>
    </w:rPr>
  </w:style>
  <w:style w:type="paragraph" w:customStyle="1" w:styleId="34">
    <w:name w:val="表格内容"/>
    <w:basedOn w:val="35"/>
    <w:next w:val="15"/>
    <w:qFormat/>
    <w:uiPriority w:val="0"/>
    <w:pPr>
      <w:spacing w:line="240" w:lineRule="atLeast"/>
      <w:ind w:firstLine="0" w:firstLineChars="0"/>
    </w:pPr>
    <w:rPr>
      <w:rFonts w:eastAsia="宋体"/>
      <w:sz w:val="21"/>
    </w:rPr>
  </w:style>
  <w:style w:type="paragraph" w:customStyle="1" w:styleId="35">
    <w:name w:val="表格标题"/>
    <w:basedOn w:val="25"/>
    <w:next w:val="34"/>
    <w:qFormat/>
    <w:uiPriority w:val="0"/>
    <w:pPr>
      <w:jc w:val="center"/>
    </w:pPr>
    <w:rPr>
      <w:rFonts w:eastAsia="黑体"/>
    </w:rPr>
  </w:style>
  <w:style w:type="paragraph" w:customStyle="1" w:styleId="36">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7">
    <w:name w:val="Default"/>
    <w:basedOn w:val="38"/>
    <w:next w:val="39"/>
    <w:qFormat/>
    <w:uiPriority w:val="0"/>
    <w:pPr>
      <w:autoSpaceDE w:val="0"/>
      <w:autoSpaceDN w:val="0"/>
      <w:adjustRightInd w:val="0"/>
    </w:pPr>
    <w:rPr>
      <w:rFonts w:ascii="宋体" w:hAnsi="Times New Roman" w:cs="宋体"/>
      <w:sz w:val="24"/>
    </w:rPr>
  </w:style>
  <w:style w:type="paragraph" w:customStyle="1" w:styleId="38">
    <w:name w:val="纯文本1"/>
    <w:basedOn w:val="1"/>
    <w:qFormat/>
    <w:uiPriority w:val="99"/>
    <w:pPr>
      <w:widowControl/>
      <w:jc w:val="left"/>
    </w:pPr>
    <w:rPr>
      <w:rFonts w:ascii="宋体" w:hAnsi="Courier New" w:eastAsia="宋体" w:cs="宋体"/>
      <w:kern w:val="0"/>
      <w:sz w:val="24"/>
      <w:szCs w:val="21"/>
    </w:rPr>
  </w:style>
  <w:style w:type="paragraph" w:customStyle="1" w:styleId="39">
    <w:name w:val="样式1"/>
    <w:basedOn w:val="20"/>
    <w:next w:val="14"/>
    <w:qFormat/>
    <w:uiPriority w:val="0"/>
    <w:rPr>
      <w:color w:val="000000"/>
      <w:sz w:val="24"/>
    </w:rPr>
  </w:style>
  <w:style w:type="paragraph" w:customStyle="1" w:styleId="40">
    <w:name w:val="批注文字1"/>
    <w:qFormat/>
    <w:uiPriority w:val="0"/>
    <w:pPr>
      <w:widowControl w:val="0"/>
    </w:pPr>
    <w:rPr>
      <w:rFonts w:ascii="Calibri" w:hAnsi="Calibri" w:eastAsia="宋体" w:cs="Times New Roman"/>
      <w:color w:val="000000"/>
      <w:kern w:val="2"/>
      <w:sz w:val="21"/>
      <w:szCs w:val="24"/>
      <w:lang w:val="en-US" w:eastAsia="zh-CN" w:bidi="ar-SA"/>
    </w:rPr>
  </w:style>
  <w:style w:type="character" w:customStyle="1" w:styleId="41">
    <w:name w:val="标题 1 Char"/>
    <w:link w:val="3"/>
    <w:qFormat/>
    <w:uiPriority w:val="0"/>
    <w:rPr>
      <w:rFonts w:eastAsia="宋体"/>
      <w:kern w:val="44"/>
      <w:sz w:val="21"/>
    </w:rPr>
  </w:style>
  <w:style w:type="paragraph" w:customStyle="1" w:styleId="42">
    <w:name w:val="Table Paragraph"/>
    <w:basedOn w:val="1"/>
    <w:qFormat/>
    <w:uiPriority w:val="1"/>
    <w:pPr>
      <w:jc w:val="center"/>
    </w:pPr>
    <w:rPr>
      <w:rFonts w:ascii="宋体" w:hAnsi="宋体" w:cs="宋体"/>
      <w:lang w:val="zh-CN" w:bidi="zh-CN"/>
    </w:rPr>
  </w:style>
  <w:style w:type="paragraph" w:customStyle="1" w:styleId="43">
    <w:name w:val="正文（用）"/>
    <w:basedOn w:val="1"/>
    <w:qFormat/>
    <w:uiPriority w:val="99"/>
    <w:pPr>
      <w:ind w:firstLine="480"/>
      <w:jc w:val="left"/>
    </w:pPr>
    <w:rPr>
      <w:rFonts w:ascii="宋体" w:hAnsi="宋体" w:cs="宋体"/>
    </w:rPr>
  </w:style>
  <w:style w:type="paragraph" w:customStyle="1" w:styleId="44">
    <w:name w:val="1正文段落"/>
    <w:basedOn w:val="1"/>
    <w:qFormat/>
    <w:uiPriority w:val="0"/>
    <w:pPr>
      <w:ind w:firstLine="480"/>
      <w:jc w:val="left"/>
    </w:pPr>
    <w:rPr>
      <w:snapToGrid w:val="0"/>
      <w:kern w:val="0"/>
    </w:rPr>
  </w:style>
  <w:style w:type="paragraph" w:customStyle="1" w:styleId="45">
    <w:name w:val="A标准格式"/>
    <w:basedOn w:val="1"/>
    <w:qFormat/>
    <w:uiPriority w:val="0"/>
    <w:pPr>
      <w:spacing w:line="440" w:lineRule="exact"/>
      <w:ind w:firstLine="480"/>
    </w:pPr>
  </w:style>
  <w:style w:type="paragraph" w:customStyle="1" w:styleId="46">
    <w:name w:val="正文思密达"/>
    <w:basedOn w:val="1"/>
    <w:qFormat/>
    <w:uiPriority w:val="0"/>
    <w:pPr>
      <w:ind w:right="105" w:rightChars="50" w:firstLine="480"/>
    </w:pPr>
    <w:rPr>
      <w:rFonts w:ascii="Calibri" w:hAnsi="Calibri"/>
    </w:rPr>
  </w:style>
  <w:style w:type="character" w:customStyle="1" w:styleId="47">
    <w:name w:val="标题 2 Char"/>
    <w:link w:val="4"/>
    <w:qFormat/>
    <w:uiPriority w:val="0"/>
    <w:rPr>
      <w:rFonts w:ascii="Times New Roman" w:hAnsi="Times New Roman" w:eastAsia="宋体"/>
      <w:sz w:val="24"/>
    </w:rPr>
  </w:style>
  <w:style w:type="paragraph" w:customStyle="1" w:styleId="48">
    <w:name w:val="图"/>
    <w:basedOn w:val="34"/>
    <w:qFormat/>
    <w:uiPriority w:val="0"/>
    <w:rPr>
      <w:sz w:val="24"/>
    </w:rPr>
  </w:style>
  <w:style w:type="paragraph" w:customStyle="1" w:styleId="49">
    <w:name w:val="环评正文"/>
    <w:basedOn w:val="16"/>
    <w:qFormat/>
    <w:uiPriority w:val="0"/>
    <w:pPr>
      <w:spacing w:line="500" w:lineRule="exact"/>
      <w:ind w:firstLine="560"/>
    </w:pPr>
    <w:rPr>
      <w:rFonts w:ascii="仿宋_GB2312" w:hAnsi="Calibri" w:eastAsia="仿宋_GB2312"/>
      <w:szCs w:val="22"/>
    </w:rPr>
  </w:style>
  <w:style w:type="character" w:customStyle="1" w:styleId="50">
    <w:name w:val="批注文字 Char"/>
    <w:basedOn w:val="28"/>
    <w:link w:val="10"/>
    <w:semiHidden/>
    <w:qFormat/>
    <w:uiPriority w:val="99"/>
    <w:rPr>
      <w:sz w:val="24"/>
    </w:rPr>
  </w:style>
  <w:style w:type="character" w:customStyle="1" w:styleId="51">
    <w:name w:val="批注主题 Char"/>
    <w:basedOn w:val="50"/>
    <w:link w:val="24"/>
    <w:qFormat/>
    <w:uiPriority w:val="0"/>
    <w:rPr>
      <w:b/>
      <w:bCs/>
      <w:kern w:val="2"/>
      <w:sz w:val="24"/>
      <w:szCs w:val="24"/>
    </w:rPr>
  </w:style>
  <w:style w:type="character" w:customStyle="1" w:styleId="52">
    <w:name w:val="批注框文本 Char"/>
    <w:basedOn w:val="28"/>
    <w:link w:val="17"/>
    <w:qFormat/>
    <w:uiPriority w:val="0"/>
    <w:rPr>
      <w:kern w:val="2"/>
      <w:sz w:val="18"/>
      <w:szCs w:val="18"/>
    </w:rPr>
  </w:style>
  <w:style w:type="character" w:customStyle="1" w:styleId="53">
    <w:name w:val="NormalCharacter"/>
    <w:qFormat/>
    <w:uiPriority w:val="0"/>
    <w:rPr>
      <w:kern w:val="2"/>
      <w:sz w:val="21"/>
      <w:szCs w:val="24"/>
      <w:lang w:val="en-US" w:eastAsia="zh-CN" w:bidi="ar-SA"/>
    </w:rPr>
  </w:style>
  <w:style w:type="paragraph" w:customStyle="1" w:styleId="54">
    <w:name w:val="列出段落3"/>
    <w:basedOn w:val="1"/>
    <w:qFormat/>
    <w:uiPriority w:val="0"/>
    <w:pPr>
      <w:ind w:firstLine="420" w:firstLineChars="200"/>
    </w:pPr>
    <w:rPr>
      <w:rFonts w:ascii="Calibri" w:hAnsi="Calibri" w:cs="宋体"/>
      <w:szCs w:val="21"/>
    </w:rPr>
  </w:style>
  <w:style w:type="paragraph" w:customStyle="1" w:styleId="55">
    <w:name w:val="表格正文"/>
    <w:basedOn w:val="6"/>
    <w:next w:val="1"/>
    <w:qFormat/>
    <w:uiPriority w:val="0"/>
    <w:pPr>
      <w:widowControl/>
      <w:spacing w:line="240" w:lineRule="auto"/>
      <w:ind w:firstLine="0" w:firstLineChars="0"/>
      <w:jc w:val="center"/>
    </w:pPr>
    <w:rPr>
      <w:sz w:val="21"/>
    </w:rPr>
  </w:style>
  <w:style w:type="paragraph" w:customStyle="1" w:styleId="56">
    <w:name w:val="表格内标题"/>
    <w:basedOn w:val="6"/>
    <w:next w:val="1"/>
    <w:qFormat/>
    <w:uiPriority w:val="0"/>
    <w:pPr>
      <w:widowControl/>
      <w:spacing w:line="240" w:lineRule="auto"/>
      <w:ind w:firstLine="0" w:firstLineChars="0"/>
      <w:jc w:val="center"/>
    </w:pPr>
    <w:rPr>
      <w:b/>
      <w:sz w:val="21"/>
      <w:szCs w:val="21"/>
    </w:rPr>
  </w:style>
  <w:style w:type="paragraph" w:customStyle="1" w:styleId="57">
    <w:name w:val="+正文"/>
    <w:basedOn w:val="1"/>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17714</Words>
  <Characters>19293</Characters>
  <Lines>78</Lines>
  <Paragraphs>86</Paragraphs>
  <TotalTime>0</TotalTime>
  <ScaleCrop>false</ScaleCrop>
  <LinksUpToDate>false</LinksUpToDate>
  <CharactersWithSpaces>19356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2022-10-26T11:23:00Z</dcterms:created>
  <dc:creator>zoe</dc:creator>
  <cp:lastModifiedBy>zoe</cp:lastModifiedBy>
  <cp:lastPrinted>2022-10-08T01:17:00Z</cp:lastPrinted>
  <dcterms:modified xsi:type="dcterms:W3CDTF">2024-12-31T01:10:02Z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6E28532BC7A242249CF2EE60444D1745</vt:lpwstr>
  </property>
  <property fmtid="{D5CDD505-2E9C-101B-9397-08002B2CF9AE}" pid="4" name="KSOTemplateDocerSaveRecord">
    <vt:lpwstr>eyJoZGlkIjoiZjkyYWViZmZkY2MyZjgzNGI3NjQ5ODc1NDAyNTQ2NTYiLCJ1c2VySWQiOiIzNTc3MTk4NTgifQ==</vt:lpwstr>
  </property>
</Properties>
</file>