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宋体" w:eastAsia="黑体" w:cs="Times New Roman"/>
          <w:sz w:val="32"/>
          <w:szCs w:val="32"/>
          <w:lang w:val="en-US"/>
        </w:rPr>
      </w:pPr>
      <w:r>
        <w:rPr>
          <w:rFonts w:hint="eastAsia" w:ascii="Times New Roman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宋体" w:eastAsia="黑体" w:cs="Times New Roman"/>
          <w:kern w:val="2"/>
          <w:sz w:val="32"/>
          <w:szCs w:val="32"/>
          <w:lang w:val="en-US" w:eastAsia="zh-CN" w:bidi="ar"/>
        </w:rPr>
        <w:t>1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安徽省</w:t>
      </w:r>
      <w:r>
        <w:rPr>
          <w:rFonts w:hint="eastAsia" w:ascii="华文中宋" w:hAnsi="华文中宋" w:eastAsia="华文中宋" w:cs="华文中宋"/>
          <w:b/>
          <w:sz w:val="44"/>
          <w:szCs w:val="44"/>
          <w:lang w:eastAsia="zh-CN"/>
        </w:rPr>
        <w:t>淮北市相山区中湖社会事务服务中心2022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年部门预算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  <w:lang w:eastAsia="zh-CN"/>
        </w:rPr>
        <w:t>2022</w:t>
      </w:r>
      <w:r>
        <w:rPr>
          <w:rFonts w:hint="eastAsia" w:ascii="黑体" w:hAnsi="黑体" w:eastAsia="黑体"/>
          <w:bCs/>
          <w:sz w:val="44"/>
          <w:szCs w:val="44"/>
        </w:rPr>
        <w:t>年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/>
          <w:bCs/>
          <w:sz w:val="44"/>
          <w:szCs w:val="44"/>
        </w:rPr>
        <w:t>月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jc w:val="center"/>
        <w:rPr>
          <w:rFonts w:hint="eastAsia" w:ascii="黑体" w:hAnsi="黑体" w:eastAsia="黑体"/>
          <w:bCs/>
          <w:sz w:val="44"/>
          <w:szCs w:val="44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目 录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jc w:val="both"/>
        <w:rPr>
          <w:rFonts w:hint="eastAsia"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jc w:val="both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第一部分 部门概况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1.主要职责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2.部门预算构成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3.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年度主要工作任务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 xml:space="preserve">第二部分 </w:t>
      </w:r>
      <w:r>
        <w:rPr>
          <w:rFonts w:hint="eastAsia" w:ascii="仿宋_GB2312" w:hAnsi="仿宋" w:eastAsia="仿宋_GB2312" w:cs="仿宋"/>
          <w:b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b/>
          <w:sz w:val="32"/>
          <w:szCs w:val="32"/>
        </w:rPr>
        <w:t>年部门预算表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outlineLvl w:val="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1.安徽省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年收支总表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2.安徽省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年收入总表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outlineLvl w:val="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3.安徽省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年支出总表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4.安徽省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年财政拨款收支总表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outlineLvl w:val="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5.安徽省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年一般公共预算支出表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6.安徽省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年一般公共预算基本支出表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7.安徽省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年政府性基金预算支出表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8.安徽省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年国有资本经营预算支出表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9.安徽省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年项目支出表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10.安徽省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年政府采购支出表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11.安徽省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年政府购买服务支出表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 xml:space="preserve">第三部分 </w:t>
      </w:r>
      <w:r>
        <w:rPr>
          <w:rFonts w:hint="eastAsia" w:ascii="仿宋_GB2312" w:hAnsi="仿宋" w:eastAsia="仿宋_GB2312" w:cs="仿宋"/>
          <w:b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b/>
          <w:sz w:val="32"/>
          <w:szCs w:val="32"/>
        </w:rPr>
        <w:t>年部门预算情况说明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outlineLvl w:val="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1.关于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年收支总表的说明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2.关于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年收入总表的说明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3.关于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年支出总表的说明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4.关于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年财政拨款收支总表的说明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5.关于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年一般公共预算支出表的说明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6.关于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年一般公共预算基本支出表的说明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7.关于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年政府性基金预算支出表的说明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8.关于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年国有资本经营预算支出表的说明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9.关于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年项目支出表的说明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10.关于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年政府采购支出表的说明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11.关于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年政府购买服务支出表的说明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12.其他重要事项情况说明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第四部分 名词解释</w:t>
      </w: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第一部分 部门概况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627" w:firstLineChars="196"/>
        <w:jc w:val="both"/>
      </w:pPr>
      <w:r>
        <w:rPr>
          <w:rFonts w:hint="eastAsia" w:ascii="黑体" w:hAnsi="黑体" w:eastAsia="黑体"/>
          <w:bCs/>
          <w:sz w:val="32"/>
          <w:szCs w:val="32"/>
        </w:rPr>
        <w:t>一、主要职责</w:t>
      </w:r>
    </w:p>
    <w:p>
      <w:pPr>
        <w:pStyle w:val="4"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负责中湖景区开发保护及日常管理服务工作。进一步提升中湖景区形象和品质。</w:t>
      </w:r>
    </w:p>
    <w:p>
      <w:pPr>
        <w:pStyle w:val="4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ind w:firstLine="627" w:firstLineChars="196"/>
        <w:jc w:val="both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部门预算构成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480" w:firstLineChars="150"/>
        <w:outlineLvl w:val="0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安徽省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年度单位预算仅包括单位本级预算，无其他下属单位预算。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480" w:firstLineChars="150"/>
        <w:outlineLvl w:val="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三、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2022</w:t>
      </w:r>
      <w:r>
        <w:rPr>
          <w:rFonts w:hint="eastAsia" w:ascii="黑体" w:hAnsi="黑体" w:eastAsia="黑体"/>
          <w:bCs/>
          <w:sz w:val="32"/>
          <w:szCs w:val="32"/>
        </w:rPr>
        <w:t>年度主要工作任务</w:t>
      </w:r>
    </w:p>
    <w:p>
      <w:pPr>
        <w:pStyle w:val="4"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负责中湖景区开发保护及日常管理服务工作。进一步提升中湖景区形象和品质。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numPr>
          <w:ilvl w:val="0"/>
          <w:numId w:val="2"/>
        </w:numPr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  <w:lang w:eastAsia="zh-CN"/>
        </w:rPr>
        <w:t>2022</w:t>
      </w:r>
      <w:r>
        <w:rPr>
          <w:rFonts w:hint="eastAsia" w:ascii="黑体" w:hAnsi="黑体" w:eastAsia="黑体"/>
          <w:bCs/>
          <w:sz w:val="36"/>
          <w:szCs w:val="36"/>
        </w:rPr>
        <w:t>年部门预算表</w:t>
      </w:r>
    </w:p>
    <w:p>
      <w:pPr>
        <w:pStyle w:val="4"/>
        <w:numPr>
          <w:numId w:val="0"/>
        </w:numPr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见“附件1-2 2021年部门预算表”</w:t>
      </w:r>
    </w:p>
    <w:p>
      <w:pPr>
        <w:pStyle w:val="4"/>
        <w:numPr>
          <w:numId w:val="0"/>
        </w:numPr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仿宋_GB2312" w:hAnsi="仿宋" w:eastAsia="仿宋_GB2312" w:cs="Times New Roman"/>
          <w:kern w:val="2"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400" w:lineRule="exact"/>
        <w:ind w:firstLine="500" w:firstLineChars="250"/>
        <w:jc w:val="both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         </w:t>
      </w:r>
      <w:r>
        <w:rPr>
          <w:rFonts w:hint="eastAsia" w:ascii="黑体" w:hAnsi="黑体" w:eastAsia="黑体"/>
          <w:bCs/>
          <w:sz w:val="36"/>
          <w:szCs w:val="36"/>
        </w:rPr>
        <w:t xml:space="preserve">第三部分 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2022</w:t>
      </w:r>
      <w:r>
        <w:rPr>
          <w:rFonts w:hint="eastAsia" w:ascii="黑体" w:hAnsi="黑体" w:eastAsia="黑体"/>
          <w:bCs/>
          <w:sz w:val="36"/>
          <w:szCs w:val="36"/>
        </w:rPr>
        <w:t>年部门预算情况说明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rPr>
          <w:rFonts w:ascii="黑体" w:hAnsi="黑体" w:eastAsia="黑体"/>
          <w:bCs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ascii="黑体" w:hAnsi="仿宋" w:eastAsia="黑体"/>
          <w:color w:val="000000" w:themeColor="text1"/>
          <w:sz w:val="32"/>
          <w:szCs w:val="32"/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</w:rPr>
        <w:t>一、关于</w:t>
      </w:r>
      <w:r>
        <w:rPr>
          <w:rFonts w:hint="eastAsia" w:ascii="黑体" w:hAnsi="仿宋" w:eastAsia="黑体"/>
          <w:color w:val="000000" w:themeColor="text1"/>
          <w:sz w:val="32"/>
          <w:szCs w:val="32"/>
          <w:lang w:eastAsia="zh-CN"/>
        </w:rPr>
        <w:t>2022</w:t>
      </w:r>
      <w:r>
        <w:rPr>
          <w:rFonts w:hint="eastAsia" w:ascii="黑体" w:hAnsi="仿宋" w:eastAsia="黑体"/>
          <w:color w:val="000000" w:themeColor="text1"/>
          <w:sz w:val="32"/>
          <w:szCs w:val="32"/>
        </w:rPr>
        <w:t>年收支总表的说明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27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按照综合预算的原则，安徽省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淮北市相山区中湖社会事务服务中心</w:t>
      </w:r>
      <w:r>
        <w:rPr>
          <w:rFonts w:hint="eastAsia" w:ascii="仿宋_GB2312" w:hAnsi="仿宋" w:eastAsia="仿宋_GB2312"/>
          <w:sz w:val="32"/>
          <w:szCs w:val="32"/>
        </w:rPr>
        <w:t>所有收入和支出均纳入部门预算管理。安徽省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/>
          <w:sz w:val="32"/>
          <w:szCs w:val="32"/>
        </w:rPr>
        <w:t>年收支总预算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45.61</w:t>
      </w:r>
      <w:r>
        <w:rPr>
          <w:rFonts w:hint="eastAsia" w:ascii="仿宋_GB2312" w:hAnsi="仿宋" w:eastAsia="仿宋_GB2312"/>
          <w:sz w:val="32"/>
          <w:szCs w:val="32"/>
        </w:rPr>
        <w:t>万元，收入包括一般公共预算拨款收入，支出包括：一般公共服务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支出</w:t>
      </w:r>
      <w:r>
        <w:rPr>
          <w:rFonts w:hint="eastAsia" w:ascii="仿宋_GB2312" w:hAnsi="仿宋" w:eastAsia="仿宋_GB2312"/>
          <w:sz w:val="32"/>
          <w:szCs w:val="32"/>
        </w:rPr>
        <w:t>、社会保障和就业支出、卫生健康支出、住房保障支出。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27" w:firstLineChars="196"/>
        <w:rPr>
          <w:rFonts w:ascii="黑体" w:hAnsi="仿宋" w:eastAsia="黑体"/>
          <w:color w:val="000000" w:themeColor="text1"/>
          <w:sz w:val="32"/>
          <w:szCs w:val="32"/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</w:rPr>
        <w:t>二、关于</w:t>
      </w:r>
      <w:r>
        <w:rPr>
          <w:rFonts w:hint="eastAsia" w:ascii="黑体" w:hAnsi="仿宋" w:eastAsia="黑体"/>
          <w:color w:val="000000" w:themeColor="text1"/>
          <w:sz w:val="32"/>
          <w:szCs w:val="32"/>
          <w:lang w:eastAsia="zh-CN"/>
        </w:rPr>
        <w:t>2022</w:t>
      </w:r>
      <w:r>
        <w:rPr>
          <w:rFonts w:hint="eastAsia" w:ascii="黑体" w:hAnsi="仿宋" w:eastAsia="黑体"/>
          <w:color w:val="000000" w:themeColor="text1"/>
          <w:sz w:val="32"/>
          <w:szCs w:val="32"/>
        </w:rPr>
        <w:t>年收入总表的说明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安徽省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45.61</w:t>
      </w:r>
      <w:r>
        <w:rPr>
          <w:rFonts w:hint="eastAsia" w:ascii="仿宋_GB2312" w:hAnsi="仿宋" w:eastAsia="仿宋_GB2312"/>
          <w:sz w:val="32"/>
          <w:szCs w:val="32"/>
        </w:rPr>
        <w:t>万元，其中，本年收入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45.61</w:t>
      </w:r>
      <w:r>
        <w:rPr>
          <w:rFonts w:hint="eastAsia" w:ascii="仿宋_GB2312" w:hAnsi="仿宋" w:eastAsia="仿宋_GB2312"/>
          <w:sz w:val="32"/>
          <w:szCs w:val="32"/>
        </w:rPr>
        <w:t>万元，上年结转结余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numPr>
          <w:ilvl w:val="0"/>
          <w:numId w:val="3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本年收入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45.61</w:t>
      </w:r>
      <w:r>
        <w:rPr>
          <w:rFonts w:hint="eastAsia" w:ascii="仿宋_GB2312" w:hAnsi="仿宋" w:eastAsia="仿宋_GB2312"/>
          <w:sz w:val="32"/>
          <w:szCs w:val="32"/>
        </w:rPr>
        <w:t>万元，主要包括：一般公共预算拨款收入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45.61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23.58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51.70</w:t>
      </w:r>
      <w:r>
        <w:rPr>
          <w:rFonts w:hint="eastAsia" w:ascii="仿宋_GB2312" w:hAnsi="仿宋" w:eastAsia="仿宋_GB2312"/>
          <w:sz w:val="32"/>
          <w:szCs w:val="32"/>
        </w:rPr>
        <w:t>%，增长原因主要是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人员增加、日常开支增多。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仿宋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仿宋" w:eastAsia="黑体" w:cs="宋体"/>
          <w:color w:val="000000" w:themeColor="text1"/>
          <w:kern w:val="0"/>
          <w:sz w:val="32"/>
          <w:szCs w:val="32"/>
        </w:rPr>
        <w:t>三、关于</w:t>
      </w:r>
      <w:r>
        <w:rPr>
          <w:rFonts w:hint="eastAsia" w:ascii="黑体" w:hAnsi="仿宋" w:eastAsia="黑体" w:cs="宋体"/>
          <w:color w:val="000000" w:themeColor="text1"/>
          <w:kern w:val="0"/>
          <w:sz w:val="32"/>
          <w:szCs w:val="32"/>
          <w:lang w:eastAsia="zh-CN"/>
        </w:rPr>
        <w:t>2022</w:t>
      </w:r>
      <w:r>
        <w:rPr>
          <w:rFonts w:hint="eastAsia" w:ascii="黑体" w:hAnsi="仿宋" w:eastAsia="黑体" w:cs="宋体"/>
          <w:color w:val="000000" w:themeColor="text1"/>
          <w:kern w:val="0"/>
          <w:sz w:val="32"/>
          <w:szCs w:val="32"/>
        </w:rPr>
        <w:t>年支出总表的说明</w:t>
      </w:r>
    </w:p>
    <w:p>
      <w:pPr>
        <w:numPr>
          <w:ilvl w:val="0"/>
          <w:numId w:val="3"/>
        </w:num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安徽省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淮北市相山区中湖社会事务服务中心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Times New Roman"/>
          <w:sz w:val="32"/>
          <w:szCs w:val="32"/>
        </w:rPr>
        <w:t>年支出预算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45.61</w:t>
      </w:r>
      <w:r>
        <w:rPr>
          <w:rFonts w:hint="eastAsia" w:ascii="仿宋_GB2312" w:hAnsi="仿宋" w:eastAsia="仿宋_GB2312" w:cs="Times New Roman"/>
          <w:sz w:val="32"/>
          <w:szCs w:val="32"/>
        </w:rPr>
        <w:t>万元，比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2021</w:t>
      </w:r>
      <w:r>
        <w:rPr>
          <w:rFonts w:hint="eastAsia" w:ascii="仿宋_GB2312" w:hAnsi="仿宋" w:eastAsia="仿宋_GB2312" w:cs="Times New Roman"/>
          <w:sz w:val="32"/>
          <w:szCs w:val="32"/>
        </w:rPr>
        <w:t>年预算增加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23.58</w:t>
      </w:r>
      <w:r>
        <w:rPr>
          <w:rFonts w:hint="eastAsia" w:ascii="仿宋_GB2312" w:hAnsi="仿宋" w:eastAsia="仿宋_GB2312" w:cs="Times New Roman"/>
          <w:sz w:val="32"/>
          <w:szCs w:val="32"/>
        </w:rPr>
        <w:t>万元，增长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51.7</w:t>
      </w:r>
      <w:r>
        <w:rPr>
          <w:rFonts w:hint="eastAsia" w:ascii="仿宋_GB2312" w:hAnsi="仿宋" w:eastAsia="仿宋_GB2312" w:cs="Times New Roman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</w:rPr>
        <w:t>增长原因主要是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人员增加、日常开支增多。</w:t>
      </w:r>
      <w:r>
        <w:rPr>
          <w:rFonts w:hint="eastAsia" w:ascii="仿宋_GB2312" w:hAnsi="仿宋" w:eastAsia="仿宋_GB2312" w:cs="Times New Roman"/>
          <w:sz w:val="32"/>
          <w:szCs w:val="32"/>
        </w:rPr>
        <w:t>其中，基本支出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40.61</w:t>
      </w:r>
      <w:r>
        <w:rPr>
          <w:rFonts w:hint="eastAsia" w:ascii="仿宋_GB2312" w:hAnsi="仿宋" w:eastAsia="仿宋_GB2312" w:cs="Times New Roman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89.04</w:t>
      </w:r>
      <w:r>
        <w:rPr>
          <w:rFonts w:hint="eastAsia" w:ascii="仿宋_GB2312" w:hAnsi="仿宋" w:eastAsia="仿宋_GB2312" w:cs="Times New Roman"/>
          <w:sz w:val="32"/>
          <w:szCs w:val="32"/>
        </w:rPr>
        <w:t>%，主要用于保障机构日常运转；项目支出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10.96</w:t>
      </w:r>
      <w:r>
        <w:rPr>
          <w:rFonts w:hint="eastAsia" w:ascii="仿宋_GB2312" w:hAnsi="仿宋" w:eastAsia="仿宋_GB2312" w:cs="Times New Roman"/>
          <w:sz w:val="32"/>
          <w:szCs w:val="32"/>
        </w:rPr>
        <w:t>%，主要用于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日常工作任务。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仿宋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仿宋" w:eastAsia="黑体" w:cs="宋体"/>
          <w:color w:val="000000" w:themeColor="text1"/>
          <w:kern w:val="0"/>
          <w:sz w:val="32"/>
          <w:szCs w:val="32"/>
        </w:rPr>
        <w:t>四、关于</w:t>
      </w:r>
      <w:r>
        <w:rPr>
          <w:rFonts w:hint="eastAsia" w:ascii="黑体" w:hAnsi="仿宋" w:eastAsia="黑体" w:cs="宋体"/>
          <w:color w:val="000000" w:themeColor="text1"/>
          <w:kern w:val="0"/>
          <w:sz w:val="32"/>
          <w:szCs w:val="32"/>
          <w:lang w:eastAsia="zh-CN"/>
        </w:rPr>
        <w:t>2022</w:t>
      </w:r>
      <w:r>
        <w:rPr>
          <w:rFonts w:hint="eastAsia" w:ascii="黑体" w:hAnsi="仿宋" w:eastAsia="黑体" w:cs="宋体"/>
          <w:color w:val="000000" w:themeColor="text1"/>
          <w:kern w:val="0"/>
          <w:sz w:val="32"/>
          <w:szCs w:val="32"/>
        </w:rPr>
        <w:t>年财政拨款收支总表的说明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安徽省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淮北市相山区中湖社会事务服务中心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年财政拨款收支预算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45.61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万元。收入按资金来源分为：一般公共预算拨款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45.61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万元；按资金年度分为：本年财政拨款收入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45.61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万元。支出按功能分类分为：一般公共服务支出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31.36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68.76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%；社会保障和就业支出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5.22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11.45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%；卫生健康支出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3.34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7.33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%；住房保障支出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5.68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12.46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%。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ascii="黑体" w:hAnsi="仿宋" w:eastAsia="黑体"/>
          <w:color w:val="000000" w:themeColor="text1"/>
          <w:sz w:val="32"/>
          <w:szCs w:val="32"/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</w:rPr>
        <w:t>五、关于</w:t>
      </w:r>
      <w:r>
        <w:rPr>
          <w:rFonts w:hint="eastAsia" w:ascii="黑体" w:hAnsi="仿宋" w:eastAsia="黑体"/>
          <w:color w:val="000000" w:themeColor="text1"/>
          <w:sz w:val="32"/>
          <w:szCs w:val="32"/>
          <w:lang w:eastAsia="zh-CN"/>
        </w:rPr>
        <w:t>2022</w:t>
      </w:r>
      <w:r>
        <w:rPr>
          <w:rFonts w:hint="eastAsia" w:ascii="黑体" w:hAnsi="仿宋" w:eastAsia="黑体"/>
          <w:color w:val="000000" w:themeColor="text1"/>
          <w:sz w:val="32"/>
          <w:szCs w:val="32"/>
        </w:rPr>
        <w:t>年一般公共预算支出表的说明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30" w:firstLineChars="196"/>
        <w:rPr>
          <w:rFonts w:hint="eastAsia" w:ascii="楷体_GB2312" w:hAnsi="仿宋" w:eastAsia="楷体_GB2312" w:cs="Times New Roman"/>
          <w:b/>
          <w:kern w:val="2"/>
          <w:sz w:val="32"/>
          <w:szCs w:val="32"/>
        </w:rPr>
      </w:pPr>
      <w:r>
        <w:rPr>
          <w:rFonts w:hint="eastAsia" w:ascii="楷体_GB2312" w:hAnsi="仿宋" w:eastAsia="楷体_GB2312" w:cs="Times New Roman"/>
          <w:b/>
          <w:kern w:val="2"/>
          <w:sz w:val="32"/>
          <w:szCs w:val="32"/>
        </w:rPr>
        <w:t>（一）一般公共预算支出规模变化情况。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27" w:firstLineChars="196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安徽省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淮北市相山区中湖社会事务服务中心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年一般公共预算支出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31.36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万元，比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2021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年预算增加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9.36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万元，增长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29.85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</w:rPr>
        <w:t>增长原因主要是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人员增加、日常开支增多。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30" w:firstLineChars="196"/>
        <w:rPr>
          <w:rFonts w:ascii="楷体_GB2312" w:hAnsi="仿宋" w:eastAsia="楷体_GB2312" w:cs="Times New Roman"/>
          <w:b/>
          <w:kern w:val="2"/>
          <w:sz w:val="32"/>
          <w:szCs w:val="32"/>
        </w:rPr>
      </w:pPr>
      <w:r>
        <w:rPr>
          <w:rFonts w:hint="eastAsia" w:ascii="楷体_GB2312" w:hAnsi="仿宋" w:eastAsia="楷体_GB2312" w:cs="Times New Roman"/>
          <w:b/>
          <w:kern w:val="2"/>
          <w:sz w:val="32"/>
          <w:szCs w:val="32"/>
        </w:rPr>
        <w:t>（二</w:t>
      </w:r>
      <w:r>
        <w:rPr>
          <w:rFonts w:ascii="楷体_GB2312" w:hAnsi="仿宋" w:eastAsia="楷体_GB2312" w:cs="Times New Roman"/>
          <w:b/>
          <w:kern w:val="2"/>
          <w:sz w:val="32"/>
          <w:szCs w:val="32"/>
        </w:rPr>
        <w:t>）</w:t>
      </w:r>
      <w:r>
        <w:rPr>
          <w:rFonts w:hint="eastAsia" w:ascii="楷体_GB2312" w:hAnsi="仿宋" w:eastAsia="楷体_GB2312" w:cs="Times New Roman"/>
          <w:b/>
          <w:kern w:val="2"/>
          <w:sz w:val="32"/>
          <w:szCs w:val="32"/>
        </w:rPr>
        <w:t>一般公共预算支出结构情况。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一般公共服务支出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31.36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68.76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%；社会保障和就业支出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5.22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11.45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%；卫生健康支出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3.34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7.33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%；住房保障支出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5.68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12.46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（三）一般公共预算支出具体使用情况。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1.一般公共服务支出（类）政府办公厅（室）及相关机构事务（款）事业运行（项）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31.36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2021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31.36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%，增长原因主要是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人员增加、日常开支增多。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/>
          <w:sz w:val="32"/>
          <w:szCs w:val="32"/>
        </w:rPr>
        <w:t>.社会保障和就业支出（类）行政事业单位养老支出（款）机关事业单位基本养老保险缴费支出（项）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3.36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2021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3.36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%，增长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主要原因是人员增加、日常开支增多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3.社会保障和就业支出（类）行政事业单位养老支出（款）机关事业单位职业年金缴费支出（项）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1.68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2021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1.68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%，增长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主要原因是人员增加、日常开支增多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/>
          <w:sz w:val="32"/>
          <w:szCs w:val="32"/>
        </w:rPr>
        <w:t>.社会保障和就业支出（类）其他社会保障和就业支出（款）其他社会保障和就业支出（项）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0.19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2021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0.16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84.21</w:t>
      </w:r>
      <w:r>
        <w:rPr>
          <w:rFonts w:hint="eastAsia" w:ascii="仿宋_GB2312" w:hAnsi="仿宋" w:eastAsia="仿宋_GB2312"/>
          <w:sz w:val="32"/>
          <w:szCs w:val="32"/>
        </w:rPr>
        <w:t>%，增长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主要原因是人员增加、日常开支增多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/>
          <w:sz w:val="32"/>
          <w:szCs w:val="32"/>
        </w:rPr>
        <w:t>.卫生健康支出（类）行政事业单位医疗（款）事业单位医疗（项）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2.71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2021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2.71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%，增长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主要原因是人员增加、日常开支增多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/>
          <w:sz w:val="32"/>
          <w:szCs w:val="32"/>
        </w:rPr>
        <w:t>.卫生健康支出（类）行政事业单位医疗（款）公务员医疗补助（项）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0.63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2021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0.63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%，增长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主要原因是人员增加、日常开支增多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b/>
          <w:sz w:val="32"/>
          <w:szCs w:val="32"/>
        </w:rPr>
        <w:t>.住房保障支出（类）住房改革支出（款）住房公积金（项）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4.01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2021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4.01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%，增长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主要原因是人员增加、日常开支增多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hAnsi="仿宋" w:eastAsia="楷体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b/>
          <w:sz w:val="32"/>
          <w:szCs w:val="32"/>
        </w:rPr>
        <w:t>.住房保障支出（类）住房改革支出（款）购房补贴（项）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1.67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2021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1.67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%，增长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主要原因是科目新增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ascii="黑体" w:eastAsia="黑体"/>
          <w:color w:val="000000" w:themeColor="text1"/>
        </w:rPr>
      </w:pPr>
      <w:r>
        <w:rPr>
          <w:rFonts w:hint="eastAsia" w:ascii="黑体" w:hAnsi="仿宋" w:eastAsia="黑体" w:cs="Times New Roman"/>
          <w:color w:val="000000" w:themeColor="text1"/>
          <w:kern w:val="2"/>
          <w:sz w:val="32"/>
          <w:szCs w:val="32"/>
        </w:rPr>
        <w:t>六、关于</w:t>
      </w:r>
      <w:r>
        <w:rPr>
          <w:rFonts w:hint="eastAsia" w:ascii="黑体" w:hAnsi="仿宋" w:eastAsia="黑体" w:cs="Times New Roman"/>
          <w:color w:val="000000" w:themeColor="text1"/>
          <w:kern w:val="2"/>
          <w:sz w:val="32"/>
          <w:szCs w:val="32"/>
          <w:lang w:eastAsia="zh-CN"/>
        </w:rPr>
        <w:t>2022</w:t>
      </w:r>
      <w:r>
        <w:rPr>
          <w:rFonts w:hint="eastAsia" w:ascii="黑体" w:hAnsi="仿宋" w:eastAsia="黑体" w:cs="Times New Roman"/>
          <w:color w:val="000000" w:themeColor="text1"/>
          <w:kern w:val="2"/>
          <w:sz w:val="32"/>
          <w:szCs w:val="32"/>
        </w:rPr>
        <w:t>年一般公共预算基本支出表的说明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安徽省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/>
          <w:sz w:val="32"/>
          <w:szCs w:val="32"/>
        </w:rPr>
        <w:t>年一般公共预算基本支出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45.61</w:t>
      </w:r>
      <w:r>
        <w:rPr>
          <w:rFonts w:hint="eastAsia" w:ascii="仿宋_GB2312" w:hAnsi="仿宋" w:eastAsia="仿宋_GB2312"/>
          <w:sz w:val="32"/>
          <w:szCs w:val="32"/>
        </w:rPr>
        <w:t>万元，其中，人员经费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38.21</w:t>
      </w:r>
      <w:r>
        <w:rPr>
          <w:rFonts w:hint="eastAsia" w:ascii="仿宋_GB2312" w:hAnsi="仿宋" w:eastAsia="仿宋_GB2312"/>
          <w:sz w:val="32"/>
          <w:szCs w:val="32"/>
        </w:rPr>
        <w:t>万元，公用经费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2.4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（一）人员经费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38.21</w:t>
      </w:r>
      <w:r>
        <w:rPr>
          <w:rFonts w:hint="eastAsia" w:ascii="仿宋_GB2312" w:hAnsi="仿宋" w:eastAsia="仿宋_GB2312"/>
          <w:sz w:val="32"/>
          <w:szCs w:val="32"/>
        </w:rPr>
        <w:t>万元，主要包括:</w:t>
      </w:r>
      <w:r>
        <w:rPr>
          <w:rFonts w:hint="eastAsia" w:ascii="仿宋_GB2312" w:hAnsi="仿宋" w:eastAsia="仿宋_GB2312"/>
          <w:sz w:val="32"/>
          <w:szCs w:val="32"/>
          <w:u w:val="single"/>
        </w:rPr>
        <w:t>基本工资、津贴补贴、奖金、绩效工资、机关事业单位基本养老保险费、职业年金缴费、职工基本医疗保险缴费、公务员医疗补助缴费、其他社会保障缴费、住房公积金、其他工资福利支出。</w:t>
      </w:r>
    </w:p>
    <w:p>
      <w:pPr>
        <w:ind w:firstLine="640" w:firstLineChars="200"/>
        <w:rPr>
          <w:rFonts w:hint="eastAsia" w:ascii="楷体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（二）公用经费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2.4</w:t>
      </w:r>
      <w:r>
        <w:rPr>
          <w:rFonts w:hint="eastAsia" w:ascii="仿宋_GB2312" w:hAnsi="仿宋" w:eastAsia="仿宋_GB2312"/>
          <w:sz w:val="32"/>
          <w:szCs w:val="32"/>
        </w:rPr>
        <w:t>万元，主要包括：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>培训费、公务接待费、</w:t>
      </w:r>
      <w:r>
        <w:rPr>
          <w:rFonts w:hint="eastAsia" w:ascii="仿宋_GB2312" w:hAnsi="仿宋" w:eastAsia="仿宋_GB2312"/>
          <w:sz w:val="32"/>
          <w:szCs w:val="32"/>
          <w:u w:val="single"/>
          <w:lang w:eastAsia="zh-CN"/>
        </w:rPr>
        <w:t>福利费、</w:t>
      </w:r>
      <w:r>
        <w:rPr>
          <w:rFonts w:hint="eastAsia" w:ascii="仿宋_GB2312" w:hAnsi="仿宋" w:eastAsia="仿宋_GB2312"/>
          <w:sz w:val="32"/>
          <w:szCs w:val="32"/>
          <w:u w:val="single"/>
        </w:rPr>
        <w:t>工会经费、其他交通费用</w:t>
      </w:r>
      <w:r>
        <w:rPr>
          <w:rFonts w:hint="eastAsia" w:ascii="仿宋_GB2312" w:hAnsi="仿宋" w:eastAsia="仿宋_GB2312"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u w:val="single"/>
        </w:rPr>
        <w:t>其他对个人和家庭的补助支出</w:t>
      </w:r>
      <w:r>
        <w:rPr>
          <w:rFonts w:hint="eastAsia" w:ascii="仿宋_GB2312" w:hAnsi="仿宋" w:eastAsia="仿宋_GB2312"/>
          <w:sz w:val="32"/>
          <w:szCs w:val="32"/>
          <w:u w:val="single"/>
          <w:lang w:eastAsia="zh-CN"/>
        </w:rPr>
        <w:t>。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七、关于</w:t>
      </w:r>
      <w:r>
        <w:rPr>
          <w:rFonts w:hint="eastAsia" w:ascii="黑体" w:hAnsi="仿宋" w:eastAsia="黑体"/>
          <w:sz w:val="32"/>
          <w:szCs w:val="32"/>
          <w:lang w:eastAsia="zh-CN"/>
        </w:rPr>
        <w:t>2022</w:t>
      </w:r>
      <w:r>
        <w:rPr>
          <w:rFonts w:hint="eastAsia" w:ascii="黑体" w:hAnsi="仿宋" w:eastAsia="黑体"/>
          <w:sz w:val="32"/>
          <w:szCs w:val="32"/>
        </w:rPr>
        <w:t>年政府性基金预算支出表的说明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安徽省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/>
          <w:sz w:val="32"/>
          <w:szCs w:val="32"/>
        </w:rPr>
        <w:t>年没有政府性基金预算拨款收入，也没有使用政府性基金预算拨款安排的支出。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ascii="楷体_GB2312" w:hAnsi="仿宋" w:eastAsia="楷体_GB2312" w:cs="Times New Roman"/>
          <w:color w:val="FF0000"/>
          <w:kern w:val="2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八、关于</w:t>
      </w:r>
      <w:r>
        <w:rPr>
          <w:rFonts w:hint="eastAsia" w:ascii="黑体" w:hAnsi="仿宋" w:eastAsia="黑体"/>
          <w:sz w:val="32"/>
          <w:szCs w:val="32"/>
          <w:lang w:eastAsia="zh-CN"/>
        </w:rPr>
        <w:t>2022</w:t>
      </w:r>
      <w:r>
        <w:rPr>
          <w:rFonts w:hint="eastAsia" w:ascii="黑体" w:hAnsi="仿宋" w:eastAsia="黑体"/>
          <w:sz w:val="32"/>
          <w:szCs w:val="32"/>
        </w:rPr>
        <w:t>年国有资本经营预算支出表的说明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安徽省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/>
          <w:sz w:val="32"/>
          <w:szCs w:val="32"/>
        </w:rPr>
        <w:t>年没有国有资本经营预算拨款收入，也没有使用国有资本经营预算拨款安排的支出。</w:t>
      </w:r>
    </w:p>
    <w:p>
      <w:pPr>
        <w:pStyle w:val="4"/>
        <w:numPr>
          <w:ilvl w:val="0"/>
          <w:numId w:val="4"/>
        </w:numPr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关于</w:t>
      </w:r>
      <w:r>
        <w:rPr>
          <w:rFonts w:hint="eastAsia" w:ascii="黑体" w:hAnsi="仿宋" w:eastAsia="黑体"/>
          <w:sz w:val="32"/>
          <w:szCs w:val="32"/>
          <w:lang w:eastAsia="zh-CN"/>
        </w:rPr>
        <w:t>2022</w:t>
      </w:r>
      <w:r>
        <w:rPr>
          <w:rFonts w:hint="eastAsia" w:ascii="黑体" w:hAnsi="仿宋" w:eastAsia="黑体"/>
          <w:sz w:val="32"/>
          <w:szCs w:val="32"/>
        </w:rPr>
        <w:t>年项目支出表的说明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安徽省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/>
          <w:sz w:val="32"/>
          <w:szCs w:val="32"/>
        </w:rPr>
        <w:t>年预算共安排项目支出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2021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%，增长原因主要是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增加工作经费</w:t>
      </w:r>
      <w:r>
        <w:rPr>
          <w:rFonts w:hint="eastAsia" w:ascii="仿宋_GB2312" w:hAnsi="仿宋" w:eastAsia="仿宋_GB2312"/>
          <w:sz w:val="32"/>
          <w:szCs w:val="32"/>
        </w:rPr>
        <w:t>。主要包括：本年财政拨款安排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万元（其中，一般公共预算拨款安排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仿宋" w:eastAsia="黑体"/>
          <w:sz w:val="32"/>
          <w:szCs w:val="32"/>
        </w:rPr>
        <w:t>十、关于</w:t>
      </w:r>
      <w:r>
        <w:rPr>
          <w:rFonts w:hint="eastAsia" w:ascii="黑体" w:hAnsi="仿宋" w:eastAsia="黑体"/>
          <w:sz w:val="32"/>
          <w:szCs w:val="32"/>
          <w:lang w:eastAsia="zh-CN"/>
        </w:rPr>
        <w:t>2022</w:t>
      </w:r>
      <w:r>
        <w:rPr>
          <w:rFonts w:hint="eastAsia" w:ascii="黑体" w:hAnsi="仿宋" w:eastAsia="黑体"/>
          <w:sz w:val="32"/>
          <w:szCs w:val="32"/>
        </w:rPr>
        <w:t>年政府采购支出表的说明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40" w:firstLineChars="200"/>
        <w:outlineLvl w:val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安徽省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/>
          <w:sz w:val="32"/>
          <w:szCs w:val="32"/>
        </w:rPr>
        <w:t>年没有使用一般公共预算拨款、政府性基金预算拨款、国有资本经营预算拨款、财政专户管理资金和单位资金安排的政府采购支出。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十一、关于</w:t>
      </w:r>
      <w:r>
        <w:rPr>
          <w:rFonts w:hint="eastAsia" w:ascii="黑体" w:hAnsi="仿宋" w:eastAsia="黑体"/>
          <w:sz w:val="32"/>
          <w:szCs w:val="32"/>
          <w:lang w:eastAsia="zh-CN"/>
        </w:rPr>
        <w:t>2022</w:t>
      </w:r>
      <w:r>
        <w:rPr>
          <w:rFonts w:hint="eastAsia" w:ascii="黑体" w:hAnsi="仿宋" w:eastAsia="黑体"/>
          <w:sz w:val="32"/>
          <w:szCs w:val="32"/>
        </w:rPr>
        <w:t>年政府购买服务支出表的说明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40" w:firstLineChars="200"/>
        <w:outlineLvl w:val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安徽省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/>
          <w:sz w:val="32"/>
          <w:szCs w:val="32"/>
        </w:rPr>
        <w:t>年没有安排政府购买服务支出。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十二、其他重要事项情况说明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>（一）项目及绩效目标情况。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  <w:lang w:eastAsia="zh-CN"/>
        </w:rPr>
        <w:t>本单位无其他重要项目。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>（二）机关运行经费。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安徽省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淮北市相山区中湖社会事务服务中心2022</w:t>
      </w:r>
      <w:r>
        <w:rPr>
          <w:rFonts w:hint="eastAsia" w:ascii="仿宋_GB2312" w:hAnsi="仿宋" w:eastAsia="仿宋_GB2312"/>
          <w:sz w:val="32"/>
          <w:szCs w:val="32"/>
        </w:rPr>
        <w:t>年机关运行经费财政拨款预算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3.6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2021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16.4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455.56</w:t>
      </w:r>
      <w:r>
        <w:rPr>
          <w:rFonts w:hint="eastAsia" w:ascii="仿宋_GB2312" w:hAnsi="仿宋" w:eastAsia="仿宋_GB2312"/>
          <w:sz w:val="32"/>
          <w:szCs w:val="32"/>
        </w:rPr>
        <w:t>%，下降主要原因是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缩减项目开支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>（三）政府采购情况。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安徽省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淮北市相山区中湖社会事务服务中心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2022</w:t>
      </w:r>
      <w:r>
        <w:rPr>
          <w:rFonts w:hint="eastAsia" w:ascii="仿宋_GB2312" w:hAnsi="楷体" w:eastAsia="仿宋_GB2312"/>
          <w:sz w:val="32"/>
          <w:szCs w:val="32"/>
        </w:rPr>
        <w:t>年政府采购预算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楷体" w:eastAsia="仿宋_GB2312"/>
          <w:sz w:val="32"/>
          <w:szCs w:val="32"/>
        </w:rPr>
        <w:t>万元。其中：政府采购货物预算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楷体" w:eastAsia="仿宋_GB2312"/>
          <w:sz w:val="32"/>
          <w:szCs w:val="32"/>
        </w:rPr>
        <w:t>万元，政府采购工程预算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楷体" w:eastAsia="仿宋_GB2312"/>
          <w:sz w:val="32"/>
          <w:szCs w:val="32"/>
        </w:rPr>
        <w:t>万元，政府采购服务预算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楷体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>（四）国有资产占有使用情况。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楷体" w:eastAsia="仿宋_GB2312"/>
          <w:color w:val="3366FF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截至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2021</w:t>
      </w:r>
      <w:r>
        <w:rPr>
          <w:rFonts w:hint="eastAsia" w:ascii="仿宋_GB2312" w:hAnsi="仿宋" w:eastAsia="仿宋_GB2312"/>
          <w:sz w:val="32"/>
          <w:szCs w:val="32"/>
        </w:rPr>
        <w:t>年12月31日，安徽省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淮北市相山区中湖社会事务服务中心</w:t>
      </w:r>
      <w:r>
        <w:rPr>
          <w:rFonts w:hint="eastAsia" w:ascii="仿宋_GB2312" w:hAnsi="楷体" w:eastAsia="仿宋_GB2312"/>
          <w:sz w:val="32"/>
          <w:szCs w:val="32"/>
        </w:rPr>
        <w:t>共有车辆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楷体" w:eastAsia="仿宋_GB2312"/>
          <w:sz w:val="32"/>
          <w:szCs w:val="32"/>
        </w:rPr>
        <w:t>辆。单位价值50万元以上的通用设备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楷体" w:eastAsia="仿宋_GB2312"/>
          <w:sz w:val="32"/>
          <w:szCs w:val="32"/>
        </w:rPr>
        <w:t>台（套），单位价值100万元以上的专用设备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楷体" w:eastAsia="仿宋_GB2312"/>
          <w:sz w:val="32"/>
          <w:szCs w:val="32"/>
        </w:rPr>
        <w:t>台（套）。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  <w:lang w:eastAsia="zh-CN"/>
        </w:rPr>
        <w:t>2022</w:t>
      </w:r>
      <w:r>
        <w:rPr>
          <w:rFonts w:hint="eastAsia" w:ascii="仿宋_GB2312" w:hAnsi="楷体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</w:rPr>
        <w:t>安徽省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淮北市相山区中湖社会事务服务中心</w:t>
      </w:r>
      <w:r>
        <w:rPr>
          <w:rFonts w:hint="eastAsia" w:ascii="仿宋_GB2312" w:hAnsi="楷体" w:eastAsia="仿宋_GB2312"/>
          <w:sz w:val="32"/>
          <w:szCs w:val="32"/>
        </w:rPr>
        <w:t>预算安排购置公务用车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楷体" w:eastAsia="仿宋_GB2312"/>
          <w:sz w:val="32"/>
          <w:szCs w:val="32"/>
        </w:rPr>
        <w:t>辆，购置费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楷体" w:eastAsia="仿宋_GB2312"/>
          <w:sz w:val="32"/>
          <w:szCs w:val="32"/>
        </w:rPr>
        <w:t>万元；安排购置单位价值50万元以上的通用设备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楷体" w:eastAsia="仿宋_GB2312"/>
          <w:sz w:val="32"/>
          <w:szCs w:val="32"/>
        </w:rPr>
        <w:t>台（套），购置费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楷体" w:eastAsia="仿宋_GB2312"/>
          <w:sz w:val="32"/>
          <w:szCs w:val="32"/>
        </w:rPr>
        <w:t>万元；安排购置单位价值100万元以上专用设备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楷体" w:eastAsia="仿宋_GB2312"/>
          <w:sz w:val="32"/>
          <w:szCs w:val="32"/>
        </w:rPr>
        <w:t>台（套），购置费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楷体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>（五）绩效目标设置情况。</w:t>
      </w: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/>
          <w:sz w:val="32"/>
          <w:szCs w:val="32"/>
        </w:rPr>
        <w:t>年，安徽省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淮北市相山区中湖社会事务服务中心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个项目实行了绩效目标管理，涉及一般公共预算当年财政拨款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万元、政府性基金预算当年财政拨款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万元、国有资本经营预算当年财政拨款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万元、财政专户管理资金当年安排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万元和单位资金安排安排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tabs>
          <w:tab w:val="left" w:pos="3316"/>
        </w:tabs>
        <w:adjustRightInd w:val="0"/>
        <w:snapToGrid w:val="0"/>
        <w:spacing w:line="600" w:lineRule="exact"/>
        <w:outlineLvl w:val="0"/>
        <w:rPr>
          <w:rFonts w:ascii="黑体" w:eastAsia="黑体" w:cs="宋体"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ascii="黑体" w:eastAsia="黑体" w:cs="宋体"/>
          <w:sz w:val="36"/>
          <w:szCs w:val="36"/>
        </w:rPr>
      </w:pPr>
      <w:r>
        <w:rPr>
          <w:rFonts w:hint="eastAsia" w:ascii="黑体" w:eastAsia="黑体" w:cs="宋体"/>
          <w:sz w:val="36"/>
          <w:szCs w:val="36"/>
        </w:rPr>
        <w:t>第四部分 名词解释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一、财政拨款收入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指部门或单位从同级财政部门取得的财政预算资金。</w:t>
      </w:r>
    </w:p>
    <w:p>
      <w:pPr>
        <w:pStyle w:val="4"/>
        <w:adjustRightInd w:val="0"/>
        <w:snapToGrid w:val="0"/>
        <w:spacing w:line="600" w:lineRule="exact"/>
        <w:ind w:firstLine="627" w:firstLineChars="196"/>
        <w:rPr>
          <w:rFonts w:ascii="黑体" w:hAnsi="黑体" w:eastAsia="黑体"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27" w:firstLineChars="196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、财政专户管理资金：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指按照非税收入管理相关规定，纳入财政专户管理的教育收费等。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27" w:firstLineChars="196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、上年结转：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指以前年度安排、结转到本年仍按原用途继续使用的资金。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27" w:firstLineChars="196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、结转下年：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指以前年度预算安排、因客观条件发生变化无法按原计划实施，需以后年度按原用途继续使用的资金。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27" w:firstLineChars="196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、基本支出</w:t>
      </w:r>
      <w:r>
        <w:rPr>
          <w:rFonts w:hint="eastAsia" w:ascii="仿宋_GB2312" w:hAnsi="黑体" w:eastAsia="仿宋_GB2312"/>
          <w:b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</w:rPr>
        <w:t>指为保障机构正常运转、完成日常工作任务而发生的人员支出和公用支出。</w:t>
      </w:r>
    </w:p>
    <w:p>
      <w:pPr>
        <w:pStyle w:val="4"/>
        <w:spacing w:before="0" w:beforeAutospacing="0" w:after="0" w:afterAutospacing="0" w:line="600" w:lineRule="exact"/>
        <w:ind w:firstLine="627" w:firstLineChars="196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、项目支出</w:t>
      </w:r>
      <w:r>
        <w:rPr>
          <w:rFonts w:hint="eastAsia" w:ascii="仿宋_GB2312" w:hAnsi="黑体" w:eastAsia="仿宋_GB2312"/>
          <w:b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</w:rPr>
        <w:t>指在除基本支出之外的支出，主要用于完成特定的工作任务和事业发展目标。</w:t>
      </w:r>
      <w:r>
        <w:rPr>
          <w:rFonts w:ascii="仿宋_GB2312" w:hAnsi="黑体" w:eastAsia="仿宋_GB2312"/>
          <w:sz w:val="32"/>
          <w:szCs w:val="32"/>
        </w:rPr>
        <w:br w:type="textWrapping"/>
      </w:r>
      <w:r>
        <w:rPr>
          <w:rFonts w:hint="eastAsia" w:ascii="仿宋_GB2312" w:hAnsi="黑体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、机关运行经费:</w:t>
      </w:r>
      <w:r>
        <w:rPr>
          <w:rFonts w:hint="eastAsia" w:ascii="仿宋_GB2312" w:hAnsi="黑体" w:eastAsia="仿宋_GB2312"/>
          <w:sz w:val="32"/>
          <w:szCs w:val="32"/>
        </w:rPr>
        <w:t>为保障行政单位（包括参照公务员法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>
      <w:pPr>
        <w:pStyle w:val="4"/>
        <w:adjustRightInd w:val="0"/>
        <w:snapToGrid w:val="0"/>
        <w:spacing w:before="0" w:beforeAutospacing="0" w:after="0" w:afterAutospacing="0" w:line="600" w:lineRule="exact"/>
        <w:ind w:firstLine="627" w:firstLineChars="196"/>
        <w:jc w:val="both"/>
        <w:rPr>
          <w:rFonts w:ascii="仿宋_GB2312" w:hAnsi="Times New Roman" w:eastAsia="仿宋_GB2312"/>
          <w:kern w:val="2"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left="359" w:leftChars="171"/>
        <w:jc w:val="both"/>
      </w:pPr>
    </w:p>
    <w:p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55711"/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18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6B96A"/>
    <w:multiLevelType w:val="singleLevel"/>
    <w:tmpl w:val="8BC6B96A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28A5B76"/>
    <w:multiLevelType w:val="singleLevel"/>
    <w:tmpl w:val="928A5B76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C6CE3F6F"/>
    <w:multiLevelType w:val="singleLevel"/>
    <w:tmpl w:val="C6CE3F6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1F34332"/>
    <w:multiLevelType w:val="singleLevel"/>
    <w:tmpl w:val="61F34332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JlMWQ1NjY5ZGM4ZmUxM2NkMjM4NjA1NDg4OGZmMGMifQ=="/>
  </w:docVars>
  <w:rsids>
    <w:rsidRoot w:val="00DA7155"/>
    <w:rsid w:val="000003C1"/>
    <w:rsid w:val="00015821"/>
    <w:rsid w:val="00016DCE"/>
    <w:rsid w:val="00026E99"/>
    <w:rsid w:val="0005090D"/>
    <w:rsid w:val="00052923"/>
    <w:rsid w:val="0005523F"/>
    <w:rsid w:val="000720A0"/>
    <w:rsid w:val="000807F9"/>
    <w:rsid w:val="000812F3"/>
    <w:rsid w:val="000859AC"/>
    <w:rsid w:val="00086992"/>
    <w:rsid w:val="0009339B"/>
    <w:rsid w:val="000945B8"/>
    <w:rsid w:val="00095C1B"/>
    <w:rsid w:val="000B486F"/>
    <w:rsid w:val="000B701A"/>
    <w:rsid w:val="000E0593"/>
    <w:rsid w:val="000F001D"/>
    <w:rsid w:val="000F35AE"/>
    <w:rsid w:val="000F6876"/>
    <w:rsid w:val="0012431A"/>
    <w:rsid w:val="00130CD5"/>
    <w:rsid w:val="00143558"/>
    <w:rsid w:val="00145AB0"/>
    <w:rsid w:val="00150DF1"/>
    <w:rsid w:val="00152846"/>
    <w:rsid w:val="00152BF2"/>
    <w:rsid w:val="00161C3F"/>
    <w:rsid w:val="00165C02"/>
    <w:rsid w:val="00166692"/>
    <w:rsid w:val="001771E6"/>
    <w:rsid w:val="001803E7"/>
    <w:rsid w:val="00194491"/>
    <w:rsid w:val="001949D0"/>
    <w:rsid w:val="001A6389"/>
    <w:rsid w:val="001A70D0"/>
    <w:rsid w:val="001C3EA4"/>
    <w:rsid w:val="001C4E9A"/>
    <w:rsid w:val="001D4149"/>
    <w:rsid w:val="001E4162"/>
    <w:rsid w:val="001E717A"/>
    <w:rsid w:val="001F54C8"/>
    <w:rsid w:val="001F739C"/>
    <w:rsid w:val="0020776B"/>
    <w:rsid w:val="00210D08"/>
    <w:rsid w:val="00226E7B"/>
    <w:rsid w:val="00234110"/>
    <w:rsid w:val="002351AD"/>
    <w:rsid w:val="002458E8"/>
    <w:rsid w:val="0024741B"/>
    <w:rsid w:val="0025289A"/>
    <w:rsid w:val="00263B7E"/>
    <w:rsid w:val="002711F0"/>
    <w:rsid w:val="002725C5"/>
    <w:rsid w:val="00277F2D"/>
    <w:rsid w:val="00280650"/>
    <w:rsid w:val="002911C3"/>
    <w:rsid w:val="00294131"/>
    <w:rsid w:val="002A6B54"/>
    <w:rsid w:val="002C2BDF"/>
    <w:rsid w:val="002C781A"/>
    <w:rsid w:val="002E11DE"/>
    <w:rsid w:val="002E284A"/>
    <w:rsid w:val="002F54FF"/>
    <w:rsid w:val="002F6AE2"/>
    <w:rsid w:val="003066B6"/>
    <w:rsid w:val="00314DEA"/>
    <w:rsid w:val="00351103"/>
    <w:rsid w:val="00352640"/>
    <w:rsid w:val="00353EE7"/>
    <w:rsid w:val="00366256"/>
    <w:rsid w:val="00370476"/>
    <w:rsid w:val="00380820"/>
    <w:rsid w:val="00383CD8"/>
    <w:rsid w:val="003B060D"/>
    <w:rsid w:val="003C17BD"/>
    <w:rsid w:val="003C40FD"/>
    <w:rsid w:val="003D30B2"/>
    <w:rsid w:val="003E096B"/>
    <w:rsid w:val="003E237C"/>
    <w:rsid w:val="003E66A3"/>
    <w:rsid w:val="003E7441"/>
    <w:rsid w:val="003E7E98"/>
    <w:rsid w:val="003F2BE9"/>
    <w:rsid w:val="003F5900"/>
    <w:rsid w:val="00415416"/>
    <w:rsid w:val="00415ED5"/>
    <w:rsid w:val="0042415B"/>
    <w:rsid w:val="00425751"/>
    <w:rsid w:val="0042713F"/>
    <w:rsid w:val="00430C41"/>
    <w:rsid w:val="00431161"/>
    <w:rsid w:val="0044737F"/>
    <w:rsid w:val="00454492"/>
    <w:rsid w:val="00482476"/>
    <w:rsid w:val="0048574C"/>
    <w:rsid w:val="004A6577"/>
    <w:rsid w:val="004A7283"/>
    <w:rsid w:val="004C3BD5"/>
    <w:rsid w:val="00514735"/>
    <w:rsid w:val="00516B0F"/>
    <w:rsid w:val="00532161"/>
    <w:rsid w:val="0053715F"/>
    <w:rsid w:val="00542173"/>
    <w:rsid w:val="00544C35"/>
    <w:rsid w:val="00557E03"/>
    <w:rsid w:val="00562B09"/>
    <w:rsid w:val="00565987"/>
    <w:rsid w:val="00574EF2"/>
    <w:rsid w:val="00577B14"/>
    <w:rsid w:val="00582209"/>
    <w:rsid w:val="00584B72"/>
    <w:rsid w:val="005A1CDD"/>
    <w:rsid w:val="005A262C"/>
    <w:rsid w:val="005B0577"/>
    <w:rsid w:val="005B5372"/>
    <w:rsid w:val="005C2187"/>
    <w:rsid w:val="005D2121"/>
    <w:rsid w:val="005E1DBE"/>
    <w:rsid w:val="005E66C6"/>
    <w:rsid w:val="005F1DCD"/>
    <w:rsid w:val="00600DF2"/>
    <w:rsid w:val="00601B50"/>
    <w:rsid w:val="0060284C"/>
    <w:rsid w:val="00642C39"/>
    <w:rsid w:val="00647E00"/>
    <w:rsid w:val="00657804"/>
    <w:rsid w:val="00666BD8"/>
    <w:rsid w:val="00672AEA"/>
    <w:rsid w:val="0069039D"/>
    <w:rsid w:val="00693859"/>
    <w:rsid w:val="00694264"/>
    <w:rsid w:val="006A032A"/>
    <w:rsid w:val="006B17A0"/>
    <w:rsid w:val="006B6125"/>
    <w:rsid w:val="006D39F7"/>
    <w:rsid w:val="006E3F7A"/>
    <w:rsid w:val="006F28D7"/>
    <w:rsid w:val="007221FD"/>
    <w:rsid w:val="00722B93"/>
    <w:rsid w:val="007318DE"/>
    <w:rsid w:val="0074251D"/>
    <w:rsid w:val="00752451"/>
    <w:rsid w:val="00752F7A"/>
    <w:rsid w:val="0075731C"/>
    <w:rsid w:val="0076294D"/>
    <w:rsid w:val="00772BCD"/>
    <w:rsid w:val="00796E8E"/>
    <w:rsid w:val="007A0175"/>
    <w:rsid w:val="007A0E2A"/>
    <w:rsid w:val="007B0E13"/>
    <w:rsid w:val="007D2C1D"/>
    <w:rsid w:val="007E28D7"/>
    <w:rsid w:val="007E36F8"/>
    <w:rsid w:val="00831988"/>
    <w:rsid w:val="00842138"/>
    <w:rsid w:val="00860CC8"/>
    <w:rsid w:val="00863DEC"/>
    <w:rsid w:val="00891055"/>
    <w:rsid w:val="00893638"/>
    <w:rsid w:val="008A4D1E"/>
    <w:rsid w:val="008B0535"/>
    <w:rsid w:val="008D3932"/>
    <w:rsid w:val="008E7426"/>
    <w:rsid w:val="008F1230"/>
    <w:rsid w:val="008F5697"/>
    <w:rsid w:val="00905D7A"/>
    <w:rsid w:val="009154FB"/>
    <w:rsid w:val="00915909"/>
    <w:rsid w:val="00915D08"/>
    <w:rsid w:val="00922AD1"/>
    <w:rsid w:val="00930672"/>
    <w:rsid w:val="00935BC1"/>
    <w:rsid w:val="00943723"/>
    <w:rsid w:val="00960E56"/>
    <w:rsid w:val="00962167"/>
    <w:rsid w:val="009640FF"/>
    <w:rsid w:val="009730E4"/>
    <w:rsid w:val="00976479"/>
    <w:rsid w:val="0098716A"/>
    <w:rsid w:val="009874BC"/>
    <w:rsid w:val="0099011F"/>
    <w:rsid w:val="00990C8B"/>
    <w:rsid w:val="009A3572"/>
    <w:rsid w:val="009A5CC2"/>
    <w:rsid w:val="009C10D1"/>
    <w:rsid w:val="009C7F13"/>
    <w:rsid w:val="009E5A38"/>
    <w:rsid w:val="009F2E05"/>
    <w:rsid w:val="00A13C61"/>
    <w:rsid w:val="00A25CFC"/>
    <w:rsid w:val="00A26644"/>
    <w:rsid w:val="00A266F5"/>
    <w:rsid w:val="00A33786"/>
    <w:rsid w:val="00A34D62"/>
    <w:rsid w:val="00A46E97"/>
    <w:rsid w:val="00A51BB2"/>
    <w:rsid w:val="00A566E8"/>
    <w:rsid w:val="00A62DE6"/>
    <w:rsid w:val="00A64B80"/>
    <w:rsid w:val="00A66984"/>
    <w:rsid w:val="00A759CE"/>
    <w:rsid w:val="00A80366"/>
    <w:rsid w:val="00AA019E"/>
    <w:rsid w:val="00AA63E5"/>
    <w:rsid w:val="00AC6A43"/>
    <w:rsid w:val="00AD02CD"/>
    <w:rsid w:val="00AD7F7C"/>
    <w:rsid w:val="00AE6B99"/>
    <w:rsid w:val="00B106E8"/>
    <w:rsid w:val="00B214F8"/>
    <w:rsid w:val="00B24E1E"/>
    <w:rsid w:val="00B31578"/>
    <w:rsid w:val="00B37364"/>
    <w:rsid w:val="00B40A13"/>
    <w:rsid w:val="00B51464"/>
    <w:rsid w:val="00B60BEC"/>
    <w:rsid w:val="00B679AC"/>
    <w:rsid w:val="00B7597E"/>
    <w:rsid w:val="00B9441F"/>
    <w:rsid w:val="00B96C93"/>
    <w:rsid w:val="00BA005D"/>
    <w:rsid w:val="00BE6210"/>
    <w:rsid w:val="00BF40E0"/>
    <w:rsid w:val="00C07806"/>
    <w:rsid w:val="00C10BDA"/>
    <w:rsid w:val="00C25627"/>
    <w:rsid w:val="00C32C69"/>
    <w:rsid w:val="00C34B8B"/>
    <w:rsid w:val="00C415C6"/>
    <w:rsid w:val="00C56441"/>
    <w:rsid w:val="00C720B7"/>
    <w:rsid w:val="00C82039"/>
    <w:rsid w:val="00C83D02"/>
    <w:rsid w:val="00C87C34"/>
    <w:rsid w:val="00C907C3"/>
    <w:rsid w:val="00C925A2"/>
    <w:rsid w:val="00CB3A30"/>
    <w:rsid w:val="00CC691C"/>
    <w:rsid w:val="00CD124A"/>
    <w:rsid w:val="00CE5011"/>
    <w:rsid w:val="00CE506D"/>
    <w:rsid w:val="00CF2676"/>
    <w:rsid w:val="00CF68DB"/>
    <w:rsid w:val="00D23BD9"/>
    <w:rsid w:val="00D256A1"/>
    <w:rsid w:val="00D41522"/>
    <w:rsid w:val="00D62F2F"/>
    <w:rsid w:val="00D675E1"/>
    <w:rsid w:val="00D75DE3"/>
    <w:rsid w:val="00D93A0A"/>
    <w:rsid w:val="00DA114A"/>
    <w:rsid w:val="00DA6329"/>
    <w:rsid w:val="00DA7155"/>
    <w:rsid w:val="00DD3619"/>
    <w:rsid w:val="00DD3DB1"/>
    <w:rsid w:val="00DE43E7"/>
    <w:rsid w:val="00DE4AFE"/>
    <w:rsid w:val="00DF08DE"/>
    <w:rsid w:val="00E14721"/>
    <w:rsid w:val="00E31623"/>
    <w:rsid w:val="00E33FD5"/>
    <w:rsid w:val="00E34B24"/>
    <w:rsid w:val="00E35319"/>
    <w:rsid w:val="00E36BDC"/>
    <w:rsid w:val="00E6025A"/>
    <w:rsid w:val="00E60B42"/>
    <w:rsid w:val="00E616B4"/>
    <w:rsid w:val="00E658C5"/>
    <w:rsid w:val="00E717A2"/>
    <w:rsid w:val="00E955F8"/>
    <w:rsid w:val="00E9565D"/>
    <w:rsid w:val="00EA0754"/>
    <w:rsid w:val="00EA43F9"/>
    <w:rsid w:val="00EB3D13"/>
    <w:rsid w:val="00EB6ECB"/>
    <w:rsid w:val="00EC18BD"/>
    <w:rsid w:val="00EE3CAA"/>
    <w:rsid w:val="00EE56A3"/>
    <w:rsid w:val="00EF601B"/>
    <w:rsid w:val="00F177FD"/>
    <w:rsid w:val="00F20784"/>
    <w:rsid w:val="00F354AA"/>
    <w:rsid w:val="00F43207"/>
    <w:rsid w:val="00F447BE"/>
    <w:rsid w:val="00F45865"/>
    <w:rsid w:val="00F6260A"/>
    <w:rsid w:val="00F62848"/>
    <w:rsid w:val="00F65F2C"/>
    <w:rsid w:val="00F708D4"/>
    <w:rsid w:val="00F74D65"/>
    <w:rsid w:val="00FC0EE2"/>
    <w:rsid w:val="00FC4888"/>
    <w:rsid w:val="00FE398C"/>
    <w:rsid w:val="00FE475B"/>
    <w:rsid w:val="00FF6EF3"/>
    <w:rsid w:val="01596278"/>
    <w:rsid w:val="017F7D60"/>
    <w:rsid w:val="01FF05B0"/>
    <w:rsid w:val="031228B1"/>
    <w:rsid w:val="04847570"/>
    <w:rsid w:val="09B434E5"/>
    <w:rsid w:val="09B479B7"/>
    <w:rsid w:val="0A2037DA"/>
    <w:rsid w:val="0CFB142B"/>
    <w:rsid w:val="0D9C7FD3"/>
    <w:rsid w:val="0E283076"/>
    <w:rsid w:val="0FA97864"/>
    <w:rsid w:val="106D0FD1"/>
    <w:rsid w:val="13F6420F"/>
    <w:rsid w:val="14377D86"/>
    <w:rsid w:val="166158D1"/>
    <w:rsid w:val="194960DC"/>
    <w:rsid w:val="1A145A9D"/>
    <w:rsid w:val="1AD46292"/>
    <w:rsid w:val="1C4F0C9B"/>
    <w:rsid w:val="20104D96"/>
    <w:rsid w:val="20B030E7"/>
    <w:rsid w:val="2347066D"/>
    <w:rsid w:val="234863C1"/>
    <w:rsid w:val="24A26144"/>
    <w:rsid w:val="254479BB"/>
    <w:rsid w:val="29366156"/>
    <w:rsid w:val="2A703C9F"/>
    <w:rsid w:val="2CA63F8F"/>
    <w:rsid w:val="32433D76"/>
    <w:rsid w:val="33D40B15"/>
    <w:rsid w:val="34E03158"/>
    <w:rsid w:val="352F0DFC"/>
    <w:rsid w:val="373C29F8"/>
    <w:rsid w:val="38704314"/>
    <w:rsid w:val="3B7C3B77"/>
    <w:rsid w:val="3C4036DC"/>
    <w:rsid w:val="3E4B7EE3"/>
    <w:rsid w:val="3FB157F6"/>
    <w:rsid w:val="3FB337BE"/>
    <w:rsid w:val="415A2F70"/>
    <w:rsid w:val="435766B4"/>
    <w:rsid w:val="48F32361"/>
    <w:rsid w:val="494A0E00"/>
    <w:rsid w:val="49555444"/>
    <w:rsid w:val="4CFF70C4"/>
    <w:rsid w:val="4EFA1AF1"/>
    <w:rsid w:val="51D131AB"/>
    <w:rsid w:val="52E80BEB"/>
    <w:rsid w:val="55302C55"/>
    <w:rsid w:val="57684EDC"/>
    <w:rsid w:val="597B7BEF"/>
    <w:rsid w:val="5D075BDA"/>
    <w:rsid w:val="5E6C2A09"/>
    <w:rsid w:val="60D97EB0"/>
    <w:rsid w:val="643D0718"/>
    <w:rsid w:val="65F25193"/>
    <w:rsid w:val="670009BB"/>
    <w:rsid w:val="67A9053E"/>
    <w:rsid w:val="69584DB0"/>
    <w:rsid w:val="69B9159D"/>
    <w:rsid w:val="6ADF6E0B"/>
    <w:rsid w:val="6B1E7934"/>
    <w:rsid w:val="6C797180"/>
    <w:rsid w:val="72882D68"/>
    <w:rsid w:val="72CC459A"/>
    <w:rsid w:val="73652C13"/>
    <w:rsid w:val="78620F7F"/>
    <w:rsid w:val="7C9C4B5C"/>
    <w:rsid w:val="7E19249B"/>
    <w:rsid w:val="7EE0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3666</Words>
  <Characters>4208</Characters>
  <Lines>115</Lines>
  <Paragraphs>32</Paragraphs>
  <TotalTime>6</TotalTime>
  <ScaleCrop>false</ScaleCrop>
  <LinksUpToDate>false</LinksUpToDate>
  <CharactersWithSpaces>4246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2021-02-01T00:18:00Z</dcterms:created>
  <dc:creator>刘海</dc:creator>
  <cp:lastModifiedBy>Administrator</cp:lastModifiedBy>
  <cp:lastPrinted>2021-02-07T07:09:00Z</cp:lastPrinted>
  <dcterms:modified xsi:type="dcterms:W3CDTF">2022-05-17T05:48:47Z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7A83B8FB721D47CBBFA376531D257072</vt:lpwstr>
  </property>
</Properties>
</file>