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淮北市自然资源和规划局相山分局2023年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部门预算</w:t>
      </w:r>
    </w:p>
    <w:p/>
    <w:p/>
    <w:p/>
    <w:p/>
    <w:p/>
    <w:p/>
    <w:p/>
    <w:p/>
    <w:p/>
    <w:p/>
    <w:p/>
    <w:p/>
    <w:p/>
    <w:p/>
    <w:p/>
    <w:p/>
    <w:p/>
    <w:p/>
    <w:p/>
    <w:p/>
    <w:p/>
    <w:p/>
    <w:p/>
    <w:p>
      <w:pPr>
        <w:pStyle w:val="4"/>
        <w:adjustRightInd w:val="0"/>
        <w:snapToGrid w:val="0"/>
        <w:spacing w:line="560" w:lineRule="exact"/>
        <w:jc w:val="center"/>
        <w:rPr>
          <w:rFonts w:ascii="TimesNewRoman" w:hAnsi="TimesNewRoman" w:eastAsia="黑体" w:cs="TimesNewRoman"/>
          <w:bCs/>
          <w:sz w:val="44"/>
          <w:szCs w:val="44"/>
        </w:rPr>
      </w:pPr>
    </w:p>
    <w:p>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2023年2月</w:t>
      </w:r>
    </w:p>
    <w:p/>
    <w:p/>
    <w:p>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部门（单位）概况</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2、部门（单位）预算构成</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、2023年度主要工作任务</w:t>
      </w:r>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2023年部门（单位）预算表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1、淮北市自然资源和规划局相山分局2023年收支总表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2、淮北市自然资源和规划局相山分局2023年收入总表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3、淮北市自然资源和规划局相山分局2023年支出总表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4、淮北市自然资源和规划局相山分局2023年财政拨款收支总表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5、淮北市自然资源和规划局相山分局2023年一般公共预算支出表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6、淮北市自然资源和规划局相山分局2023年一般公共预算基本支出表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7、淮北市自然资源和规划局相山分局2023年政府性基金预算支出表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8、淮北市自然资源和规划局相山分局2023年国有资本经营预算支出表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9、淮北市自然资源和规划局相山分局2023年项目支出表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10、淮北市自然资源和规划局相山分局2023年政府采购支出表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11、淮北市自然资源和规划局相山分局2023年政府购买服务支出表</w:t>
      </w:r>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2023年部门（单位）预算情况说明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1、关于2023年收支总表的说明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2、关于2023年收入总表的说明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3、关于2023年支出总表的说明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4、关于2023年财政拨款收支总表的说明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5、关于2023年一般公共预算支出表的说明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6、关于2023年一般公共预算基本支出表的说明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7、关于2023年政府性基金预算支出表的说明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8、关于2023年国有资本经营预算支出表的说明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9、关于2023年项目支出表的说明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10、关于2023年政府采购支出表的说明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11、关于2023年政府购买服务支出表的说明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1、淮北市自然资源和规划局相山分局2023年部门预算纳入绩效考评项目表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2、淮北市自然资源和规划局相山分局2023年部门预算专项资金管理清单（专栏公开）</w:t>
      </w:r>
    </w:p>
    <w:p>
      <w:pPr>
        <w:pStyle w:val="4"/>
        <w:adjustRightInd w:val="0"/>
        <w:snapToGrid w:val="0"/>
        <w:spacing w:line="400" w:lineRule="exact"/>
        <w:ind w:firstLine="800" w:firstLineChars="250"/>
        <w:rPr>
          <w:rFonts w:ascii="TimesNewRoman" w:hAnsi="TimesNewRoman" w:eastAsia="仿宋_GB2312" w:cs="TimesNewRoman"/>
          <w:bCs/>
          <w:sz w:val="32"/>
          <w:szCs w:val="32"/>
        </w:rPr>
      </w:pP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部门（单位）概况</w:t>
      </w:r>
    </w:p>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（一）宣传贯彻执行国土资源管理的法律法规和有关方针政策。</w:t>
      </w:r>
    </w:p>
    <w:p>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（二）落实土地利用总体规划、矿产资源规划和动态巡查制度。</w:t>
      </w:r>
    </w:p>
    <w:p>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（三）依法监督管理本区域内土地、矿产资源和测绘工作。</w:t>
      </w:r>
    </w:p>
    <w:p>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（四）严格落实耕地保护政策，积极配合组织实施基本农田保护和未利用土地开发、整理、复垦工作。</w:t>
      </w:r>
    </w:p>
    <w:p>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（五）协助市局做好各类用地的审查报批、建设用地管理、地籍管理、建设项目评估选址、国有土地资本运营、非煤矿山管理工作、测绘管理工作。</w:t>
      </w:r>
    </w:p>
    <w:p>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（六）对矿业权人履行法定权利义务、矿产资源合理开发利用与保护、矿山生态环境保护与治理进行监督检查。</w:t>
      </w:r>
    </w:p>
    <w:p>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（七）协助做好地质监测和防治工作，地下水等地质环境资源的动态监测和地质遗迹的保护工作。</w:t>
      </w:r>
    </w:p>
    <w:p>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（八）开展国土资源执法监察，协助市局查处辖区内重大土地、矿产、测绘违法案件；对一般土地、矿产、测绘违法案件的立案查处。</w:t>
      </w:r>
    </w:p>
    <w:p>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（九）做好全局人员政治、业务的培训工作。</w:t>
      </w:r>
    </w:p>
    <w:p>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（十）做好国土资源信访接待工作，及时调处和化解矛盾。</w:t>
      </w:r>
    </w:p>
    <w:p>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（十一）发现重大上访苗头，及时向当地党委、政府和上级国土资源部门报告。</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二、部门（单位）预算构成</w:t>
      </w:r>
    </w:p>
    <w:p>
      <w:pPr>
        <w:pStyle w:val="4"/>
        <w:adjustRightInd w:val="0"/>
        <w:snapToGrid w:val="0"/>
        <w:spacing w:line="560" w:lineRule="exact"/>
        <w:ind w:firstLine="624" w:firstLineChars="195"/>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淮北市自然资源和规划局相山分局</w:t>
      </w:r>
      <w:r>
        <w:rPr>
          <w:rFonts w:hint="eastAsia" w:ascii="TimesNewRoman" w:hAnsi="TimesNewRoman" w:eastAsia="仿宋_GB2312" w:cs="TimesNewRoman"/>
          <w:sz w:val="32"/>
          <w:szCs w:val="32"/>
        </w:rPr>
        <w:t>2023年度部门预算包括局本级预算和局下属单位预算，纳入部门预算编制范围的预算单位共1个，具体情况见下表。</w:t>
      </w:r>
    </w:p>
    <w:tbl>
      <w:tblPr>
        <w:tblStyle w:val="5"/>
        <w:tblW w:w="8540" w:type="dxa"/>
        <w:jc w:val="center"/>
        <w:tblLayout w:type="fixed"/>
        <w:tblCellMar>
          <w:top w:w="0" w:type="dxa"/>
          <w:left w:w="0" w:type="dxa"/>
          <w:bottom w:w="0" w:type="dxa"/>
          <w:right w:w="0" w:type="dxa"/>
        </w:tblCellMar>
      </w:tblPr>
      <w:tblGrid>
        <w:gridCol w:w="854"/>
        <w:gridCol w:w="3843"/>
        <w:gridCol w:w="3843"/>
      </w:tblGrid>
      <w:tr>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8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3843" w:type="dxa"/>
            <w:tcBorders>
              <w:top w:val="single" w:color="auto" w:sz="8" w:space="0"/>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1</w:t>
            </w:r>
          </w:p>
        </w:tc>
        <w:tc>
          <w:tcPr>
            <w:tcW w:w="38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cs="TimesNewRoman" w:asciiTheme="minorEastAsia" w:hAnsiTheme="minorEastAsia"/>
                <w:sz w:val="24"/>
                <w:szCs w:val="24"/>
                <w:u w:val="single"/>
              </w:rPr>
            </w:pPr>
            <w:r>
              <w:rPr>
                <w:rFonts w:cs="TimesNewRoman" w:asciiTheme="minorEastAsia" w:hAnsiTheme="minorEastAsia"/>
                <w:bCs/>
                <w:sz w:val="24"/>
                <w:szCs w:val="24"/>
              </w:rPr>
              <w:t>淮北市</w:t>
            </w:r>
            <w:r>
              <w:rPr>
                <w:rFonts w:hint="eastAsia" w:cs="TimesNewRoman" w:asciiTheme="minorEastAsia" w:hAnsiTheme="minorEastAsia"/>
                <w:bCs/>
                <w:sz w:val="24"/>
                <w:szCs w:val="24"/>
              </w:rPr>
              <w:t>自然资源和规划局相山分局</w:t>
            </w:r>
          </w:p>
        </w:tc>
        <w:tc>
          <w:tcPr>
            <w:tcW w:w="3843"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行政单位</w:t>
            </w:r>
          </w:p>
        </w:tc>
      </w:tr>
    </w:tbl>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三、2023年度主要工作任务</w:t>
      </w:r>
    </w:p>
    <w:p>
      <w:pPr>
        <w:ind w:firstLine="800" w:firstLineChars="250"/>
        <w:rPr>
          <w:rFonts w:ascii="TimesNewRoman" w:hAnsi="TimesNewRoman" w:eastAsia="仿宋_GB2312" w:cs="TimesNewRoman"/>
          <w:bCs/>
          <w:kern w:val="0"/>
          <w:sz w:val="32"/>
          <w:szCs w:val="32"/>
        </w:rPr>
      </w:pPr>
      <w:r>
        <w:rPr>
          <w:rFonts w:hint="eastAsia" w:ascii="TimesNewRoman" w:hAnsi="TimesNewRoman" w:eastAsia="仿宋_GB2312" w:cs="TimesNewRoman"/>
          <w:bCs/>
          <w:kern w:val="0"/>
          <w:sz w:val="32"/>
          <w:szCs w:val="32"/>
        </w:rPr>
        <w:t>2023年，分局将深入学习贯彻党的二十大及十九届五中、六中全会精神，紧紧围绕市局党委的决策部署，坚持保护资源和保障发展并重，紧密联系区域发展实际，勇于担当，尽职尽责，不断提高自然资源和规划保障能力和服务水平，重点抓好以下工作：</w:t>
      </w:r>
    </w:p>
    <w:p>
      <w:pPr>
        <w:ind w:firstLine="480" w:firstLineChars="150"/>
        <w:rPr>
          <w:rFonts w:ascii="TimesNewRoman" w:hAnsi="TimesNewRoman" w:eastAsia="仿宋_GB2312" w:cs="TimesNewRoman"/>
          <w:bCs/>
          <w:kern w:val="0"/>
          <w:sz w:val="32"/>
          <w:szCs w:val="32"/>
        </w:rPr>
      </w:pPr>
      <w:r>
        <w:rPr>
          <w:rFonts w:hint="eastAsia" w:ascii="TimesNewRoman" w:hAnsi="TimesNewRoman" w:eastAsia="仿宋_GB2312" w:cs="TimesNewRoman"/>
          <w:bCs/>
          <w:kern w:val="0"/>
          <w:sz w:val="32"/>
          <w:szCs w:val="32"/>
        </w:rPr>
        <w:t>（一）继续推进分局党建工作。分局将进一步增强忧患意识和责任意识，继续加强干部队伍建设，以党建为引领，抓好党风党纪和廉洁从政教育，把学习贯彻二十大报告当做今后一个时期的首要政治任务，学深悟透二十大精神，把干部职工的政治、思想、行动真正统一到党中央的大政方针、决策部署上来，同党中央保持高度一致。要以二十大最新精神作为工作中思想的“定盘星”，行动上的“指南针”，把学习宣传贯彻党的二十大精神与分局工作实际紧密结合起来，认真研究谋划贯彻落实的具体举措，切实将党的二十大报告作出的新部署、新要求，转化为谋划相山发展的正确思路，转化为推动工作的强大动力，不断开创全区自然资源事业发展新局面。</w:t>
      </w:r>
    </w:p>
    <w:p>
      <w:pPr>
        <w:ind w:firstLine="480" w:firstLineChars="150"/>
        <w:rPr>
          <w:rFonts w:ascii="TimesNewRoman" w:hAnsi="TimesNewRoman" w:eastAsia="仿宋_GB2312" w:cs="TimesNewRoman"/>
          <w:bCs/>
          <w:kern w:val="0"/>
          <w:sz w:val="32"/>
          <w:szCs w:val="32"/>
        </w:rPr>
      </w:pPr>
      <w:r>
        <w:rPr>
          <w:rFonts w:hint="eastAsia" w:ascii="TimesNewRoman" w:hAnsi="TimesNewRoman" w:eastAsia="仿宋_GB2312" w:cs="TimesNewRoman"/>
          <w:bCs/>
          <w:kern w:val="0"/>
          <w:sz w:val="32"/>
          <w:szCs w:val="32"/>
        </w:rPr>
        <w:t>（二）确保项目用地保发展。当前，相山区正处于高质量发展的关键时期，城市发展空间逐步扩展，凤凰新区、高铁西站片区、中湖大湾区等区域即将成为新的城市增长极，加快规划项目用地报批，凸显自然资源和规划局在区域协调发展的重要作用。一是按照市局年初下达的农用地转用计划，结合相山区重点发展方向发展区域，紧紧围绕推动西部片区开发，推动凤凰新区基础设施、产业体系、公共服务更加完善，加速推动新城崛起的目标，超前谋划区域重点项目用地，做好建设用地组件报批工作。继续推进2022年上报建设用地9个报件上报审批及批后公告工作；积极与园区、项目用地单位对接，摸清2023年用地需求。同时积极完成已申报至省政府待批准的报件跟踪工作，对已经省政府批准的用地项目，配合区其他相关部门及时完成供应前的征收、补偿等工作，促进项目尽早开工建设,减少批而未供总量,保障相山区发展用地。二是开展国有建设用地供后监管，督促已供地项目按期开工。做好土地动态监管系统中已供项目的开竣工情况的更新,避免出现闲置预警;继续推进相山区范围内批而未供、闲置用地清理工作,提高供地率及利用率，推进土地节约集约。根据自然资源部关于2022年土地利用计划管理的通知（自然资发【2022】95号）文件要求，摸排2023年相山区需处置批而未供和闲置地块处置基数，明确治理任务，确保2023年完成上级下达批而未供土地的处置率任务25%以上。</w:t>
      </w:r>
    </w:p>
    <w:p>
      <w:pPr>
        <w:ind w:firstLine="480" w:firstLineChars="150"/>
        <w:rPr>
          <w:rFonts w:ascii="TimesNewRoman" w:hAnsi="TimesNewRoman" w:eastAsia="仿宋_GB2312" w:cs="TimesNewRoman"/>
          <w:bCs/>
          <w:kern w:val="0"/>
          <w:sz w:val="32"/>
          <w:szCs w:val="32"/>
        </w:rPr>
      </w:pPr>
      <w:r>
        <w:rPr>
          <w:rFonts w:hint="eastAsia" w:ascii="TimesNewRoman" w:hAnsi="TimesNewRoman" w:eastAsia="仿宋_GB2312" w:cs="TimesNewRoman"/>
          <w:bCs/>
          <w:kern w:val="0"/>
          <w:sz w:val="32"/>
          <w:szCs w:val="32"/>
        </w:rPr>
        <w:t>（三）不断强化措施保资源。在保护资源上，重点是保护耕地与基本农田,坚持“保护优先、从严管理、协调发展”，压紧压实耕地保护责任，落实最严格的耕地保护制度和节约集约用地制度，推动自然资源高效利用，构建资源共建共治“新格局”，为全区高质量发展提供了有力保障，实现经济效益和环境效益的“双赢”。一是按照《关于防止耕地“非粮化”稳定粮食生产的意见》、《关于坚决制止耕地“非农化”行为的通知》、《自然资源部 农业农村部 国家林业和草原局关于严格耕地用途管制有关问题的通知》文件精神，及国土部耕地卫片督查的要求做好耕地保护工作，加大基层宣传力度和巡查力度，对耕地“非粮化”和“非农化”行为，早发现、早报告、早制止，保护耕地，保障发展。二是配合渠沟镇完成补充耕地复垦工作，同时做好补充耕地项目的验收、备案、上图入库，保障2023年建设占用耕地的占补平衡指标落实。三是做好相山区2022年耕地“进出平衡”方案省级备案工作，同时根据最新变更调查成果，谋划2023年“耕地进出”平衡方案的编制工作，保障2023年设施农用地发展。四是严厉打击各级各类违法违规用地行为。对违法用地做好案件查处工作；充分发挥卫片执法工作在保护耕地、保护资源、维护自然资源开发利用秩序中的重要作用，按照“月清、季度预警、半年分析、年度评估”的要求，全面做好卫片执法工作，争取年度卫片区政府不被约谈和问责。在市局及区委、区政府的统一部署安排下，2023年2月底完成非住宅类房屋信息补充摸排工作，按照省、市部署有序开展农村乱占耕地建房专项整治行动相关工作。进一步提高政治站位，扎实做好自然资源督查南京局开展2022的年度耕地保护督查发现问题整改相关工作。五是贯彻落实安徽省自然资源厅关于印发《安徽省废弃矿山生态修复管理办法（暂行）》的通知（皖自然资规〔2021〕5号）文件精神，开展好废弃矿山的生态修复工作，科学规范推进废弃矿山的生态修复，依据安徽省矿山修复计划指标，对尚未治理的淮北市黄里社区东山石料厂、淮北市黄里社区后山采石厂、淮北市后黄顺发石料厂3个废弃石场进行矿山修复治理，并在2023年内实施并完成验收，</w:t>
      </w:r>
    </w:p>
    <w:p>
      <w:pPr>
        <w:ind w:firstLine="480" w:firstLineChars="150"/>
      </w:pPr>
      <w:r>
        <w:rPr>
          <w:rFonts w:hint="eastAsia" w:ascii="TimesNewRoman" w:hAnsi="TimesNewRoman" w:eastAsia="仿宋_GB2312" w:cs="TimesNewRoman"/>
          <w:bCs/>
          <w:kern w:val="0"/>
          <w:sz w:val="32"/>
          <w:szCs w:val="32"/>
        </w:rPr>
        <w:t>（四）夯实基础业务强管理。一是继续推动农村房地一体登记工作，确保2023年6月完成全部数据汇交，2024年6月完成发证工作，确保应发尽发。二是按照省自然资源厅计划，推动按时完成2022年度国土变更调查工作。三是进一步增强辖区内净地储备，通过摸排2023年度计划拟收储土地2260亩，严格执行土地招拍挂出让制度。</w:t>
      </w: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2023年部门（单位）预算表</w:t>
      </w:r>
    </w:p>
    <w:p>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2023年部门（单位）预算情况说明</w:t>
      </w:r>
    </w:p>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一、关于2023年收支总表的说明</w:t>
      </w:r>
    </w:p>
    <w:p>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自然资源和规划局相山分局所有收入和支出均纳入部门预算管理。淮北市自然资源和规划局相山分局2023年收支总预算606.17万元，收入包括一般公共预算拨款收入、政府性基金预算拨款收入，支出包括：社会保障和就业支出、卫生健康支出、城乡社区支出、</w:t>
      </w:r>
      <w:r>
        <w:rPr>
          <w:rFonts w:hint="eastAsia" w:ascii="仿宋_GB2312" w:hAnsi="仿宋" w:eastAsia="仿宋_GB2312"/>
          <w:sz w:val="32"/>
          <w:szCs w:val="32"/>
        </w:rPr>
        <w:t>自然资源海洋气象等支出、</w:t>
      </w:r>
      <w:r>
        <w:rPr>
          <w:rFonts w:hint="eastAsia" w:ascii="TimesNewRoman" w:hAnsi="TimesNewRoman" w:eastAsia="仿宋_GB2312" w:cs="TimesNewRoman"/>
          <w:sz w:val="32"/>
          <w:szCs w:val="32"/>
        </w:rPr>
        <w:t>住房保障支出。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二、关于2023年收入总表的说明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淮北市自然资源和规划局相山分局2023年收入预算606.17万元，其中，本年收入606.17万元。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kern w:val="0"/>
          <w:sz w:val="32"/>
          <w:szCs w:val="32"/>
        </w:rPr>
        <w:t>606.17</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481.95万元，占79.51%，比2022年预算增加114.85万元，增长31.29%，原因主要是增加基础绩效奖；政府性基金预算拨款收入124.22万元，占20.49%，比2022年预算增加11.02万元，增长9.7%，原因主要是项目支出增加；财政专户管理资金收入0万元，占0%，与2022年预算一致。</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三、关于2023年支出总表的说明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2023年支出预算606.17万元，比2022年预算增加125.87万元，增长26.21%，原因主要是增加基础绩效奖、项目支出增加。其中，基本支出481.95万元，占79.50%，主要用于保障机构日常运转、完成日常工作任务；项目支出124.22万元，占20.49%，主要用于</w:t>
      </w:r>
      <w:r>
        <w:rPr>
          <w:rFonts w:hint="eastAsia" w:ascii="仿宋_GB2312" w:hAnsi="仿宋" w:eastAsia="仿宋_GB2312"/>
          <w:sz w:val="32"/>
          <w:szCs w:val="32"/>
        </w:rPr>
        <w:t>分局和国土所单位项目支出</w:t>
      </w:r>
      <w:r>
        <w:rPr>
          <w:rFonts w:hint="eastAsia" w:ascii="TimesNewRoman" w:hAnsi="TimesNewRoman" w:eastAsia="仿宋_GB2312" w:cs="TimesNewRoman"/>
          <w:kern w:val="0"/>
          <w:sz w:val="32"/>
          <w:szCs w:val="32"/>
        </w:rPr>
        <w:t>。</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四、关于2023年财政拨款收支总表的说明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2023年财政拨款收支预算606.17万元。收入按资金来源分为：一般公共预算拨款481.95万元、政府性基金预算拨款124.22万元；按资金年度分为：本年财政拨款收入606.17万元。支出按功能分类分为：社会保障和就业支出88.98万元，占14.68%；卫生健康支出22.09万元，占3.64%；住房保障支出58.20万元，占9.60%；</w:t>
      </w:r>
      <w:r>
        <w:rPr>
          <w:rFonts w:hint="eastAsia" w:ascii="TimesNewRoman" w:hAnsi="TimesNewRoman" w:eastAsia="仿宋_GB2312" w:cs="TimesNewRoman"/>
          <w:sz w:val="32"/>
          <w:szCs w:val="32"/>
        </w:rPr>
        <w:t>城乡社区支出124.22</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sz w:val="32"/>
          <w:szCs w:val="32"/>
        </w:rPr>
        <w:t>、</w:t>
      </w:r>
      <w:r>
        <w:rPr>
          <w:rFonts w:hint="eastAsia" w:ascii="TimesNewRoman" w:hAnsi="TimesNewRoman" w:eastAsia="仿宋_GB2312" w:cs="TimesNewRoman"/>
          <w:kern w:val="0"/>
          <w:sz w:val="32"/>
          <w:szCs w:val="32"/>
        </w:rPr>
        <w:t>占20.49%</w:t>
      </w:r>
      <w:r>
        <w:rPr>
          <w:rFonts w:hint="eastAsia" w:ascii="TimesNewRoman" w:hAnsi="TimesNewRoman" w:eastAsia="仿宋_GB2312" w:cs="TimesNewRoman"/>
          <w:sz w:val="32"/>
          <w:szCs w:val="32"/>
        </w:rPr>
        <w:t>、</w:t>
      </w:r>
      <w:r>
        <w:rPr>
          <w:rFonts w:hint="eastAsia" w:ascii="仿宋_GB2312" w:hAnsi="仿宋" w:eastAsia="仿宋_GB2312"/>
          <w:sz w:val="32"/>
          <w:szCs w:val="32"/>
        </w:rPr>
        <w:t>自然资源海洋气象等支出</w:t>
      </w:r>
      <w:r>
        <w:rPr>
          <w:rFonts w:hint="eastAsia" w:ascii="TimesNewRoman" w:hAnsi="TimesNewRoman" w:eastAsia="仿宋_GB2312" w:cs="TimesNewRoman"/>
          <w:sz w:val="32"/>
          <w:szCs w:val="32"/>
        </w:rPr>
        <w:t>312.68</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sz w:val="32"/>
          <w:szCs w:val="32"/>
        </w:rPr>
        <w:t>、</w:t>
      </w:r>
      <w:r>
        <w:rPr>
          <w:rFonts w:hint="eastAsia" w:ascii="TimesNewRoman" w:hAnsi="TimesNewRoman" w:eastAsia="仿宋_GB2312" w:cs="TimesNewRoman"/>
          <w:kern w:val="0"/>
          <w:sz w:val="32"/>
          <w:szCs w:val="32"/>
        </w:rPr>
        <w:t>占51.58%。</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五、关于2023年一般公共预算支出表的说明</w:t>
      </w:r>
    </w:p>
    <w:p>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淮北市自然资源和规划局相山分局2023年一般公共预算支出481.95万元，比2022年预算增加114.85万元，增长31.29%，主要原因：增加基础绩效奖。</w:t>
      </w:r>
    </w:p>
    <w:p>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社会保障和就业支出88.98万元，占18.46%；卫生健康支出22.09万元，占4.56%；城乡社区支出124.22万元，占25.77%；自然资源海洋气象等支出312.68万元，占64.88%；住房保障支出58.20万元，占12.08%。</w:t>
      </w:r>
    </w:p>
    <w:p>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仿宋_GB2312" w:hAnsi="仿宋" w:eastAsia="仿宋_GB2312" w:cs="Times New Roman"/>
          <w:b/>
          <w:bCs/>
          <w:sz w:val="32"/>
          <w:szCs w:val="32"/>
        </w:rPr>
        <w:t>社会保障和就业支出</w:t>
      </w:r>
      <w:r>
        <w:rPr>
          <w:rFonts w:hint="eastAsia" w:ascii="仿宋_GB2312" w:hAnsi="仿宋" w:eastAsia="仿宋_GB2312"/>
          <w:b/>
          <w:bCs/>
          <w:sz w:val="32"/>
          <w:szCs w:val="32"/>
        </w:rPr>
        <w:t>（类）行政事业单位养老支出（款）行政单位离退休（项）</w:t>
      </w:r>
      <w:r>
        <w:rPr>
          <w:rFonts w:hint="eastAsia" w:ascii="TimesNewRoman" w:hAnsi="TimesNewRoman" w:eastAsia="仿宋_GB2312" w:cs="TimesNewRoman"/>
          <w:kern w:val="0"/>
          <w:sz w:val="32"/>
          <w:szCs w:val="32"/>
        </w:rPr>
        <w:t>2023年预算27.34万元，比2022年预算</w:t>
      </w:r>
      <w:r>
        <w:rPr>
          <w:rFonts w:hint="eastAsia" w:ascii="TimesNewRoman" w:hAnsi="TimesNewRoman" w:eastAsia="仿宋_GB2312" w:cs="TimesNewRoman"/>
          <w:color w:val="000000" w:themeColor="text1"/>
          <w:kern w:val="0"/>
          <w:sz w:val="32"/>
          <w:szCs w:val="32"/>
        </w:rPr>
        <w:t>增加</w:t>
      </w:r>
      <w:r>
        <w:rPr>
          <w:rFonts w:hint="eastAsia" w:ascii="仿宋_GB2312" w:hAnsi="仿宋" w:eastAsia="仿宋_GB2312"/>
          <w:b/>
          <w:color w:val="000000" w:themeColor="text1"/>
          <w:sz w:val="32"/>
          <w:szCs w:val="32"/>
        </w:rPr>
        <w:t>22.55</w:t>
      </w:r>
      <w:r>
        <w:rPr>
          <w:rFonts w:hint="eastAsia" w:ascii="TimesNewRoman" w:hAnsi="TimesNewRoman" w:eastAsia="仿宋_GB2312" w:cs="TimesNewRoman"/>
          <w:color w:val="000000" w:themeColor="text1"/>
          <w:kern w:val="0"/>
          <w:sz w:val="32"/>
          <w:szCs w:val="32"/>
        </w:rPr>
        <w:t>万元</w:t>
      </w:r>
      <w:r>
        <w:rPr>
          <w:rFonts w:hint="eastAsia" w:ascii="TimesNewRoman" w:hAnsi="TimesNewRoman" w:eastAsia="仿宋_GB2312" w:cs="TimesNewRoman"/>
          <w:kern w:val="0"/>
          <w:sz w:val="32"/>
          <w:szCs w:val="32"/>
        </w:rPr>
        <w:t>，增长470.77%，原因主要是增加退休人员绩效奖金。</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仿宋_GB2312" w:hAnsi="仿宋" w:eastAsia="仿宋_GB2312" w:cs="Times New Roman"/>
          <w:b/>
          <w:bCs/>
          <w:sz w:val="32"/>
          <w:szCs w:val="32"/>
        </w:rPr>
        <w:t>社会保障和就业支出</w:t>
      </w:r>
      <w:r>
        <w:rPr>
          <w:rFonts w:hint="eastAsia" w:ascii="仿宋_GB2312" w:hAnsi="仿宋" w:eastAsia="仿宋_GB2312"/>
          <w:b/>
          <w:bCs/>
          <w:sz w:val="32"/>
          <w:szCs w:val="32"/>
        </w:rPr>
        <w:t>（类）行政事业单位养老支出（款）事业单位离退休（项）</w:t>
      </w:r>
      <w:r>
        <w:rPr>
          <w:rFonts w:hint="eastAsia" w:ascii="TimesNewRoman" w:hAnsi="TimesNewRoman" w:eastAsia="仿宋_GB2312" w:cs="TimesNewRoman"/>
          <w:kern w:val="0"/>
          <w:sz w:val="32"/>
          <w:szCs w:val="32"/>
        </w:rPr>
        <w:t>2023年预算0.20万元，比2022年预算</w:t>
      </w:r>
      <w:r>
        <w:rPr>
          <w:rFonts w:hint="eastAsia" w:ascii="TimesNewRoman" w:hAnsi="TimesNewRoman" w:eastAsia="仿宋_GB2312" w:cs="TimesNewRoman"/>
          <w:color w:val="000000" w:themeColor="text1"/>
          <w:kern w:val="0"/>
          <w:sz w:val="32"/>
          <w:szCs w:val="32"/>
        </w:rPr>
        <w:t>增加</w:t>
      </w:r>
      <w:r>
        <w:rPr>
          <w:rFonts w:hint="eastAsia" w:ascii="TimesNewRoman" w:hAnsi="TimesNewRoman" w:eastAsia="仿宋_GB2312" w:cs="TimesNewRoman"/>
          <w:kern w:val="0"/>
          <w:sz w:val="32"/>
          <w:szCs w:val="32"/>
        </w:rPr>
        <w:t>0.20</w:t>
      </w:r>
      <w:r>
        <w:rPr>
          <w:rFonts w:hint="eastAsia" w:ascii="TimesNewRoman" w:hAnsi="TimesNewRoman" w:eastAsia="仿宋_GB2312" w:cs="TimesNewRoman"/>
          <w:color w:val="000000" w:themeColor="text1"/>
          <w:kern w:val="0"/>
          <w:sz w:val="32"/>
          <w:szCs w:val="32"/>
        </w:rPr>
        <w:t>万元，</w:t>
      </w:r>
      <w:r>
        <w:rPr>
          <w:rFonts w:hint="eastAsia" w:ascii="TimesNewRoman" w:hAnsi="TimesNewRoman" w:eastAsia="仿宋_GB2312" w:cs="TimesNewRoman"/>
          <w:kern w:val="0"/>
          <w:sz w:val="32"/>
          <w:szCs w:val="32"/>
        </w:rPr>
        <w:t>增长100</w:t>
      </w:r>
      <w:r>
        <w:rPr>
          <w:rFonts w:hint="eastAsia" w:ascii="TimesNewRoman" w:hAnsi="TimesNewRoman" w:eastAsia="仿宋_GB2312" w:cs="TimesNewRoman"/>
          <w:color w:val="000000" w:themeColor="text1"/>
          <w:kern w:val="0"/>
          <w:sz w:val="32"/>
          <w:szCs w:val="32"/>
        </w:rPr>
        <w:t>%，</w:t>
      </w:r>
      <w:r>
        <w:rPr>
          <w:rFonts w:hint="eastAsia" w:ascii="TimesNewRoman" w:hAnsi="TimesNewRoman" w:eastAsia="仿宋_GB2312" w:cs="TimesNewRoman"/>
          <w:kern w:val="0"/>
          <w:sz w:val="32"/>
          <w:szCs w:val="32"/>
        </w:rPr>
        <w:t>原因增加事业单位退休人员。</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w:t>
      </w:r>
      <w:r>
        <w:rPr>
          <w:rFonts w:hint="eastAsia" w:ascii="仿宋_GB2312" w:hAnsi="仿宋" w:eastAsia="仿宋_GB2312" w:cs="Times New Roman"/>
          <w:b/>
          <w:bCs/>
          <w:sz w:val="32"/>
          <w:szCs w:val="32"/>
        </w:rPr>
        <w:t>社会保障和就业支出</w:t>
      </w:r>
      <w:r>
        <w:rPr>
          <w:rFonts w:hint="eastAsia" w:ascii="仿宋_GB2312" w:hAnsi="仿宋" w:eastAsia="仿宋_GB2312"/>
          <w:b/>
          <w:bCs/>
          <w:sz w:val="32"/>
          <w:szCs w:val="32"/>
        </w:rPr>
        <w:t>（类）行政事业单位养老支出（款）机关事业单位基本养老保险缴费支出（项）</w:t>
      </w:r>
      <w:r>
        <w:rPr>
          <w:rFonts w:hint="eastAsia" w:ascii="TimesNewRoman" w:hAnsi="TimesNewRoman" w:eastAsia="仿宋_GB2312" w:cs="TimesNewRoman"/>
          <w:kern w:val="0"/>
          <w:sz w:val="32"/>
          <w:szCs w:val="32"/>
        </w:rPr>
        <w:t>2023年预算40.20万元，比2022年预算增加10.28万元，增长34.36%，原因主要是社保基数调整及</w:t>
      </w:r>
      <w:r>
        <w:rPr>
          <w:rFonts w:hint="eastAsia" w:ascii="仿宋_GB2312" w:hAnsi="仿宋" w:eastAsia="仿宋_GB2312"/>
          <w:sz w:val="32"/>
          <w:szCs w:val="32"/>
        </w:rPr>
        <w:t>人员变动</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shd w:val="clear" w:color="FFFFFF" w:fill="D9D9D9"/>
        </w:rPr>
      </w:pPr>
      <w:r>
        <w:rPr>
          <w:rFonts w:hint="eastAsia" w:ascii="TimesNewRoman" w:hAnsi="TimesNewRoman" w:eastAsia="仿宋_GB2312" w:cs="TimesNewRoman"/>
          <w:kern w:val="0"/>
          <w:sz w:val="32"/>
          <w:szCs w:val="32"/>
        </w:rPr>
        <w:t>4、</w:t>
      </w:r>
      <w:r>
        <w:rPr>
          <w:rFonts w:hint="eastAsia" w:ascii="仿宋_GB2312" w:hAnsi="仿宋" w:eastAsia="仿宋_GB2312" w:cs="Times New Roman"/>
          <w:b/>
          <w:bCs/>
          <w:sz w:val="32"/>
          <w:szCs w:val="32"/>
        </w:rPr>
        <w:t>社会保障和就业支出</w:t>
      </w:r>
      <w:r>
        <w:rPr>
          <w:rFonts w:hint="eastAsia" w:ascii="仿宋_GB2312" w:hAnsi="仿宋" w:eastAsia="仿宋_GB2312"/>
          <w:b/>
          <w:bCs/>
          <w:sz w:val="32"/>
          <w:szCs w:val="32"/>
        </w:rPr>
        <w:t>（类）行政事业单位养老支出（款）机关事业单位职业年金缴费支出（项）</w:t>
      </w:r>
      <w:r>
        <w:rPr>
          <w:rFonts w:hint="eastAsia" w:ascii="TimesNewRoman" w:hAnsi="TimesNewRoman" w:eastAsia="仿宋_GB2312" w:cs="TimesNewRoman"/>
          <w:kern w:val="0"/>
          <w:sz w:val="32"/>
          <w:szCs w:val="32"/>
        </w:rPr>
        <w:t>2023年预算20.10万元，比2022年预算增加5.14万元，增长34.36%，原因主要是社保基数调整及</w:t>
      </w:r>
      <w:r>
        <w:rPr>
          <w:rFonts w:hint="eastAsia" w:ascii="仿宋_GB2312" w:hAnsi="仿宋" w:eastAsia="仿宋_GB2312"/>
          <w:sz w:val="32"/>
          <w:szCs w:val="32"/>
        </w:rPr>
        <w:t>人员变动</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w:t>
      </w:r>
      <w:r>
        <w:rPr>
          <w:rFonts w:hint="eastAsia" w:ascii="仿宋_GB2312" w:hAnsi="仿宋" w:eastAsia="仿宋_GB2312" w:cs="Times New Roman"/>
          <w:b/>
          <w:bCs/>
          <w:sz w:val="32"/>
          <w:szCs w:val="32"/>
        </w:rPr>
        <w:t>社会保障和就业支出</w:t>
      </w:r>
      <w:r>
        <w:rPr>
          <w:rFonts w:hint="eastAsia" w:ascii="仿宋_GB2312" w:hAnsi="仿宋" w:eastAsia="仿宋_GB2312"/>
          <w:b/>
          <w:bCs/>
          <w:sz w:val="32"/>
          <w:szCs w:val="32"/>
        </w:rPr>
        <w:t>（类）其他社会保障和就业支出（款）其他社会保障和就业支出（项）</w:t>
      </w:r>
      <w:r>
        <w:rPr>
          <w:rFonts w:hint="eastAsia" w:ascii="TimesNewRoman" w:hAnsi="TimesNewRoman" w:eastAsia="仿宋_GB2312" w:cs="TimesNewRoman"/>
          <w:kern w:val="0"/>
          <w:sz w:val="32"/>
          <w:szCs w:val="32"/>
        </w:rPr>
        <w:t>2023年预算1.14万元，比2022年预算增加0.84万元，增长280%，原因主要是社保基数调整及人员变动。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w:t>
      </w:r>
      <w:r>
        <w:rPr>
          <w:rFonts w:hint="eastAsia" w:ascii="仿宋_GB2312" w:hAnsi="仿宋" w:eastAsia="仿宋_GB2312" w:cs="Times New Roman"/>
          <w:b/>
          <w:bCs/>
          <w:sz w:val="32"/>
          <w:szCs w:val="32"/>
        </w:rPr>
        <w:t>卫生健康支出</w:t>
      </w:r>
      <w:r>
        <w:rPr>
          <w:rFonts w:hint="eastAsia" w:ascii="仿宋_GB2312" w:hAnsi="仿宋" w:eastAsia="仿宋_GB2312"/>
          <w:b/>
          <w:bCs/>
          <w:sz w:val="32"/>
          <w:szCs w:val="32"/>
        </w:rPr>
        <w:t>（类）行政事业单位医疗（款）行政单位医疗（项）</w:t>
      </w:r>
      <w:r>
        <w:rPr>
          <w:rFonts w:hint="eastAsia" w:ascii="TimesNewRoman" w:hAnsi="TimesNewRoman" w:eastAsia="仿宋_GB2312" w:cs="TimesNewRoman"/>
          <w:kern w:val="0"/>
          <w:sz w:val="32"/>
          <w:szCs w:val="32"/>
        </w:rPr>
        <w:t>2023年预算15.40万元，比2022年预算减少0.31万元，下降1.97%，原因主要是</w:t>
      </w:r>
      <w:r>
        <w:rPr>
          <w:rFonts w:hint="eastAsia" w:ascii="TimesNewRoman" w:hAnsi="TimesNewRoman" w:eastAsia="仿宋_GB2312" w:cs="TimesNewRoman"/>
          <w:color w:val="000000" w:themeColor="text1"/>
          <w:kern w:val="0"/>
          <w:sz w:val="32"/>
          <w:szCs w:val="32"/>
        </w:rPr>
        <w:t>人员</w:t>
      </w:r>
      <w:r>
        <w:rPr>
          <w:rFonts w:hint="eastAsia" w:ascii="TimesNewRoman" w:hAnsi="TimesNewRoman" w:eastAsia="仿宋_GB2312" w:cs="TimesNewRoman"/>
          <w:kern w:val="0"/>
          <w:sz w:val="32"/>
          <w:szCs w:val="32"/>
        </w:rPr>
        <w:t>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w:t>
      </w:r>
      <w:r>
        <w:rPr>
          <w:rFonts w:hint="eastAsia" w:ascii="仿宋_GB2312" w:hAnsi="仿宋" w:eastAsia="仿宋_GB2312" w:cs="Times New Roman"/>
          <w:b/>
          <w:bCs/>
          <w:sz w:val="32"/>
          <w:szCs w:val="32"/>
        </w:rPr>
        <w:t>卫生健康支出</w:t>
      </w:r>
      <w:r>
        <w:rPr>
          <w:rFonts w:hint="eastAsia" w:ascii="仿宋_GB2312" w:hAnsi="仿宋" w:eastAsia="仿宋_GB2312"/>
          <w:b/>
          <w:bCs/>
          <w:sz w:val="32"/>
          <w:szCs w:val="32"/>
        </w:rPr>
        <w:t>（类）行政事业单位医疗（款）公务员医疗补助（项）</w:t>
      </w:r>
      <w:r>
        <w:rPr>
          <w:rFonts w:hint="eastAsia" w:ascii="TimesNewRoman" w:hAnsi="TimesNewRoman" w:eastAsia="仿宋_GB2312" w:cs="TimesNewRoman"/>
          <w:kern w:val="0"/>
          <w:sz w:val="32"/>
          <w:szCs w:val="32"/>
        </w:rPr>
        <w:t>2023年预算6.68万元，比2022年预</w:t>
      </w:r>
      <w:r>
        <w:rPr>
          <w:rFonts w:hint="eastAsia" w:ascii="TimesNewRoman" w:hAnsi="TimesNewRoman" w:eastAsia="仿宋_GB2312" w:cs="TimesNewRoman"/>
          <w:color w:val="000000" w:themeColor="text1"/>
          <w:kern w:val="0"/>
          <w:sz w:val="32"/>
          <w:szCs w:val="32"/>
        </w:rPr>
        <w:t>算</w:t>
      </w:r>
      <w:r>
        <w:rPr>
          <w:rFonts w:hint="eastAsia" w:ascii="TimesNewRoman" w:hAnsi="TimesNewRoman" w:eastAsia="仿宋_GB2312" w:cs="TimesNewRoman"/>
          <w:kern w:val="0"/>
          <w:sz w:val="32"/>
          <w:szCs w:val="32"/>
        </w:rPr>
        <w:t>减少1.62万元，下降1.62%，原因主要是人员变动。</w:t>
      </w:r>
    </w:p>
    <w:p>
      <w:pPr>
        <w:ind w:firstLine="640" w:firstLineChars="200"/>
        <w:rPr>
          <w:rFonts w:ascii="仿宋_GB2312" w:hAnsi="仿宋" w:eastAsia="仿宋_GB2312"/>
          <w:color w:val="000000" w:themeColor="text1"/>
          <w:sz w:val="32"/>
          <w:szCs w:val="32"/>
        </w:rPr>
      </w:pPr>
      <w:r>
        <w:rPr>
          <w:rFonts w:hint="eastAsia" w:ascii="TimesNewRoman" w:hAnsi="TimesNewRoman" w:eastAsia="仿宋_GB2312" w:cs="TimesNewRoman"/>
          <w:kern w:val="0"/>
          <w:sz w:val="32"/>
          <w:szCs w:val="32"/>
        </w:rPr>
        <w:t>8、</w:t>
      </w:r>
      <w:r>
        <w:rPr>
          <w:rFonts w:hint="eastAsia" w:ascii="仿宋_GB2312" w:hAnsi="仿宋" w:eastAsia="仿宋_GB2312" w:cs="Times New Roman"/>
          <w:b/>
          <w:bCs/>
          <w:sz w:val="32"/>
          <w:szCs w:val="32"/>
        </w:rPr>
        <w:t>自然资源海洋气象等支出</w:t>
      </w:r>
      <w:r>
        <w:rPr>
          <w:rFonts w:hint="eastAsia" w:ascii="仿宋_GB2312" w:hAnsi="仿宋" w:eastAsia="仿宋_GB2312"/>
          <w:b/>
          <w:bCs/>
          <w:sz w:val="32"/>
          <w:szCs w:val="32"/>
        </w:rPr>
        <w:t>（类）自然资源事务（款）行政运行（项）</w:t>
      </w:r>
      <w:r>
        <w:rPr>
          <w:rFonts w:hint="eastAsia" w:ascii="TimesNewRoman" w:hAnsi="TimesNewRoman" w:eastAsia="仿宋_GB2312" w:cs="TimesNewRoman"/>
          <w:kern w:val="0"/>
          <w:sz w:val="32"/>
          <w:szCs w:val="32"/>
        </w:rPr>
        <w:t>2023年预算62.82万元，比2022年预算减少</w:t>
      </w:r>
      <w:r>
        <w:rPr>
          <w:rFonts w:hint="eastAsia" w:ascii="TimesNewRoman" w:hAnsi="TimesNewRoman" w:eastAsia="仿宋_GB2312" w:cs="TimesNewRoman"/>
          <w:color w:val="000000" w:themeColor="text1"/>
          <w:kern w:val="0"/>
          <w:sz w:val="32"/>
          <w:szCs w:val="32"/>
        </w:rPr>
        <w:t>14.45万元，下降18.70%，原因主要是人员变动</w:t>
      </w:r>
      <w:r>
        <w:rPr>
          <w:rFonts w:hint="eastAsia" w:ascii="仿宋_GB2312" w:hAnsi="仿宋" w:eastAsia="仿宋_GB2312"/>
          <w:color w:val="000000" w:themeColor="text1"/>
          <w:sz w:val="32"/>
          <w:szCs w:val="32"/>
        </w:rPr>
        <w:t>。</w:t>
      </w:r>
    </w:p>
    <w:p>
      <w:pPr>
        <w:ind w:firstLine="640" w:firstLineChars="200"/>
        <w:rPr>
          <w:rFonts w:ascii="仿宋_GB2312" w:hAnsi="仿宋" w:eastAsia="仿宋_GB2312"/>
          <w:color w:val="000000" w:themeColor="text1"/>
          <w:sz w:val="32"/>
          <w:szCs w:val="32"/>
        </w:rPr>
      </w:pPr>
      <w:r>
        <w:rPr>
          <w:rFonts w:hint="eastAsia" w:ascii="TimesNewRoman" w:hAnsi="TimesNewRoman" w:eastAsia="仿宋_GB2312" w:cs="TimesNewRoman"/>
          <w:kern w:val="0"/>
          <w:sz w:val="32"/>
          <w:szCs w:val="32"/>
        </w:rPr>
        <w:t>9、</w:t>
      </w:r>
      <w:r>
        <w:rPr>
          <w:rFonts w:hint="eastAsia" w:ascii="仿宋_GB2312" w:hAnsi="仿宋" w:eastAsia="仿宋_GB2312" w:cs="Times New Roman"/>
          <w:b/>
          <w:bCs/>
          <w:sz w:val="32"/>
          <w:szCs w:val="32"/>
        </w:rPr>
        <w:t>自然资源海洋气象等支出</w:t>
      </w:r>
      <w:r>
        <w:rPr>
          <w:rFonts w:hint="eastAsia" w:ascii="仿宋_GB2312" w:hAnsi="仿宋" w:eastAsia="仿宋_GB2312"/>
          <w:b/>
          <w:bCs/>
          <w:sz w:val="32"/>
          <w:szCs w:val="32"/>
        </w:rPr>
        <w:t>（类）自然资源事务（款）事业运行（项）</w:t>
      </w:r>
      <w:r>
        <w:rPr>
          <w:rFonts w:hint="eastAsia" w:ascii="TimesNewRoman" w:hAnsi="TimesNewRoman" w:eastAsia="仿宋_GB2312" w:cs="TimesNewRoman"/>
          <w:kern w:val="0"/>
          <w:sz w:val="32"/>
          <w:szCs w:val="32"/>
        </w:rPr>
        <w:t>2023年预算249.86万元，</w:t>
      </w:r>
      <w:r>
        <w:rPr>
          <w:rFonts w:hint="eastAsia" w:ascii="TimesNewRoman" w:hAnsi="TimesNewRoman" w:eastAsia="仿宋_GB2312" w:cs="TimesNewRoman"/>
          <w:color w:val="000000" w:themeColor="text1"/>
          <w:kern w:val="0"/>
          <w:sz w:val="32"/>
          <w:szCs w:val="32"/>
        </w:rPr>
        <w:t>比2022年预算增加65.25万元，增长35.34%，原因主要是</w:t>
      </w:r>
      <w:r>
        <w:rPr>
          <w:rFonts w:hint="eastAsia" w:ascii="TimesNewRoman" w:hAnsi="TimesNewRoman" w:eastAsia="仿宋_GB2312" w:cs="TimesNewRoman"/>
          <w:kern w:val="0"/>
          <w:sz w:val="32"/>
          <w:szCs w:val="32"/>
        </w:rPr>
        <w:t>增加绩效奖金</w:t>
      </w:r>
      <w:r>
        <w:rPr>
          <w:rFonts w:hint="eastAsia" w:ascii="仿宋_GB2312" w:hAnsi="仿宋" w:eastAsia="仿宋_GB2312"/>
          <w:color w:val="000000" w:themeColor="text1"/>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color w:val="000000" w:themeColor="text1"/>
          <w:kern w:val="0"/>
          <w:sz w:val="32"/>
          <w:szCs w:val="32"/>
        </w:rPr>
        <w:t>10、</w:t>
      </w:r>
      <w:r>
        <w:rPr>
          <w:rFonts w:hint="eastAsia" w:ascii="仿宋_GB2312" w:hAnsi="仿宋" w:eastAsia="仿宋_GB2312" w:cs="Times New Roman"/>
          <w:b/>
          <w:bCs/>
          <w:sz w:val="32"/>
          <w:szCs w:val="32"/>
        </w:rPr>
        <w:t>住房保障支出</w:t>
      </w:r>
      <w:r>
        <w:rPr>
          <w:rFonts w:hint="eastAsia" w:ascii="仿宋_GB2312" w:hAnsi="仿宋" w:eastAsia="仿宋_GB2312"/>
          <w:b/>
          <w:bCs/>
          <w:sz w:val="32"/>
          <w:szCs w:val="32"/>
        </w:rPr>
        <w:t>（类）住房改革支出（款）住房公积金（项）</w:t>
      </w:r>
      <w:r>
        <w:rPr>
          <w:rFonts w:hint="eastAsia" w:ascii="TimesNewRoman" w:hAnsi="TimesNewRoman" w:eastAsia="仿宋_GB2312" w:cs="TimesNewRoman"/>
          <w:kern w:val="0"/>
          <w:sz w:val="32"/>
          <w:szCs w:val="32"/>
        </w:rPr>
        <w:t>2023年预算41.08万元，比2022年预算增加8.32万元，增长25.39%，原因主要是公积金基数调整及人员变动。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11、</w:t>
      </w:r>
      <w:r>
        <w:rPr>
          <w:rFonts w:hint="eastAsia" w:ascii="仿宋_GB2312" w:hAnsi="仿宋" w:eastAsia="仿宋_GB2312" w:cs="Times New Roman"/>
          <w:b/>
          <w:bCs/>
          <w:sz w:val="32"/>
          <w:szCs w:val="32"/>
        </w:rPr>
        <w:t>住房保障支出</w:t>
      </w:r>
      <w:r>
        <w:rPr>
          <w:rFonts w:hint="eastAsia" w:ascii="仿宋_GB2312" w:hAnsi="仿宋" w:eastAsia="仿宋_GB2312"/>
          <w:b/>
          <w:bCs/>
          <w:sz w:val="32"/>
          <w:szCs w:val="32"/>
        </w:rPr>
        <w:t>（类）住房改革支出（款）购房补贴（项）</w:t>
      </w:r>
      <w:r>
        <w:rPr>
          <w:rFonts w:hint="eastAsia" w:ascii="TimesNewRoman" w:hAnsi="TimesNewRoman" w:eastAsia="仿宋_GB2312" w:cs="TimesNewRoman"/>
          <w:kern w:val="0"/>
          <w:sz w:val="32"/>
          <w:szCs w:val="32"/>
        </w:rPr>
        <w:t>2023年预算17.12万元，比2022年预算增加3.47万元，增长25.42%，原因主要是公积金基数调整及人员变动。</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六、关于2023年一般公共预算基本支出表的说明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rPr>
        <w:t>自然资源和规划局</w:t>
      </w:r>
      <w:r>
        <w:rPr>
          <w:rFonts w:hint="eastAsia" w:ascii="TimesNewRoman" w:hAnsi="TimesNewRoman" w:eastAsia="仿宋_GB2312" w:cs="TimesNewRoman"/>
          <w:kern w:val="0"/>
          <w:sz w:val="32"/>
          <w:szCs w:val="32"/>
        </w:rPr>
        <w:t>2023年一般公共预算基本支出481.95万元，其中，人员经费446.27万元，公用经费35.68万元。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kern w:val="0"/>
          <w:sz w:val="32"/>
          <w:szCs w:val="32"/>
        </w:rPr>
        <w:t>446.27</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住房公积金、办公费、工会经费、福利费、其他交通费用、其他商品服务支出、退休费、生活补助、医疗费补助、对其他个人和家庭的补助支出。</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kern w:val="0"/>
          <w:sz w:val="32"/>
          <w:szCs w:val="32"/>
        </w:rPr>
        <w:t>35.68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主要包括：其他交通费用、其他商品服务支出。</w:t>
      </w:r>
    </w:p>
    <w:p>
      <w:pPr>
        <w:ind w:firstLine="640" w:firstLineChars="200"/>
        <w:rPr>
          <w:rFonts w:ascii="TimesNewRoman" w:hAnsi="TimesNewRoman" w:eastAsia="仿宋_GB2312" w:cs="TimesNewRoman"/>
          <w:kern w:val="0"/>
          <w:sz w:val="32"/>
          <w:szCs w:val="32"/>
        </w:rPr>
      </w:pP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七、关于2023年政府性基金预算支出表的说明</w:t>
      </w:r>
    </w:p>
    <w:p>
      <w:pPr>
        <w:ind w:firstLine="640" w:firstLineChars="200"/>
        <w:rPr>
          <w:rFonts w:ascii="TimesNewRoman" w:hAnsi="TimesNewRoman" w:eastAsia="仿宋_GB2312" w:cs="TimesNewRoman"/>
          <w:color w:val="000000" w:themeColor="text1"/>
          <w:kern w:val="0"/>
          <w:sz w:val="32"/>
          <w:szCs w:val="32"/>
        </w:rPr>
      </w:pPr>
      <w:r>
        <w:rPr>
          <w:rFonts w:hint="eastAsia" w:ascii="TimesNewRoman" w:hAnsi="TimesNewRoman" w:eastAsia="仿宋_GB2312" w:cs="TimesNewRoman"/>
          <w:color w:val="000000" w:themeColor="text1"/>
          <w:kern w:val="0"/>
          <w:sz w:val="32"/>
          <w:szCs w:val="32"/>
        </w:rPr>
        <w:t>淮北市</w:t>
      </w:r>
      <w:r>
        <w:rPr>
          <w:rFonts w:hint="eastAsia" w:ascii="TimesNewRoman" w:hAnsi="TimesNewRoman" w:eastAsia="仿宋_GB2312" w:cs="TimesNewRoman"/>
          <w:bCs/>
          <w:color w:val="000000" w:themeColor="text1"/>
          <w:sz w:val="32"/>
          <w:szCs w:val="32"/>
        </w:rPr>
        <w:t>自然资源和规划局</w:t>
      </w:r>
      <w:r>
        <w:rPr>
          <w:rFonts w:hint="eastAsia" w:ascii="TimesNewRoman" w:hAnsi="TimesNewRoman" w:eastAsia="仿宋_GB2312" w:cs="TimesNewRoman"/>
          <w:color w:val="000000" w:themeColor="text1"/>
          <w:kern w:val="0"/>
          <w:sz w:val="32"/>
          <w:szCs w:val="32"/>
        </w:rPr>
        <w:t>相山分局2023年政府性基金支出124.22万元，比2022年预算增加11.02万元，增长9.73%，主要原因是项目支出增加。具体情况如下：</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color w:val="000000" w:themeColor="text1"/>
          <w:kern w:val="0"/>
          <w:sz w:val="32"/>
          <w:szCs w:val="32"/>
        </w:rPr>
        <w:t>（一）城乡社区支出（类）国有土地使用权出让收入安排的支出（款）土地出让业务支出（项）</w:t>
      </w:r>
      <w:r>
        <w:rPr>
          <w:rFonts w:hint="eastAsia" w:ascii="TimesNewRoman" w:hAnsi="TimesNewRoman" w:eastAsia="仿宋_GB2312" w:cs="TimesNewRoman"/>
          <w:color w:val="000000" w:themeColor="text1"/>
          <w:kern w:val="0"/>
          <w:sz w:val="32"/>
          <w:szCs w:val="32"/>
        </w:rPr>
        <w:t>2023年预算124.22万元，</w:t>
      </w:r>
      <w:r>
        <w:rPr>
          <w:rFonts w:hint="eastAsia" w:ascii="TimesNewRoman" w:hAnsi="TimesNewRoman" w:eastAsia="仿宋_GB2312" w:cs="TimesNewRoman"/>
          <w:kern w:val="0"/>
          <w:sz w:val="32"/>
          <w:szCs w:val="32"/>
        </w:rPr>
        <w:t>比2022年预算增加11.02万元，增长9.73%，原因主要是项目支出增加。</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八、关于2023年国有资本经营预算支出表的说明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淮北市自然资源和规划局相山分局2023年没有国有资本经营预算拨款收入，也没有使用国有资本经营预算拨款安排的支出。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九、关于2023年项目支出表的说明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rPr>
        <w:t>自然资源和规划局</w:t>
      </w:r>
      <w:r>
        <w:rPr>
          <w:rFonts w:hint="eastAsia" w:ascii="TimesNewRoman" w:hAnsi="TimesNewRoman" w:eastAsia="仿宋_GB2312" w:cs="TimesNewRoman"/>
          <w:kern w:val="0"/>
          <w:sz w:val="32"/>
          <w:szCs w:val="32"/>
        </w:rPr>
        <w:t>2023年预算共安排项目支出124.22万元，比2022年预算增加11.02万元，增长9.73%，原因主要是项目支出</w:t>
      </w:r>
      <w:r>
        <w:rPr>
          <w:rFonts w:hint="eastAsia" w:ascii="仿宋_GB2312" w:hAnsi="仿宋" w:eastAsia="仿宋_GB2312" w:cs="Times New Roman"/>
          <w:sz w:val="32"/>
          <w:szCs w:val="32"/>
        </w:rPr>
        <w:t>增加</w:t>
      </w:r>
      <w:r>
        <w:rPr>
          <w:rFonts w:hint="eastAsia" w:ascii="TimesNewRoman" w:hAnsi="TimesNewRoman" w:eastAsia="仿宋_GB2312" w:cs="TimesNewRoman"/>
          <w:kern w:val="0"/>
          <w:sz w:val="32"/>
          <w:szCs w:val="32"/>
        </w:rPr>
        <w:t>。主要包括：本年财政拨款安排124.22万元（其中，一般公共预算拨款安排0万元，政府性基金预算拨款安排124.22万元），财政专户管理资金安排0万元。</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十、关于2023年政府采购支出表的说明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淮北市自然资源和规划局相山分局2023年预算安排政府采购支出0万元，与2022年预算一致。其中，一般公共预算安排0万元，占0%；政府性基金预算安排0万元，占0%；财政专户管理资金安排0万元，占0%。</w:t>
      </w:r>
    </w:p>
    <w:p>
      <w:pPr>
        <w:ind w:firstLine="640" w:firstLineChars="200"/>
        <w:rPr>
          <w:rFonts w:ascii="TimesNewRoman" w:hAnsi="TimesNewRoman" w:eastAsia="仿宋_GB2312" w:cs="TimesNewRoman"/>
          <w:kern w:val="0"/>
          <w:sz w:val="32"/>
          <w:szCs w:val="32"/>
        </w:rPr>
      </w:pP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十一、关于2023年政府购买服务支出表的说明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rPr>
        <w:t>自然资源和规划局相山分局</w:t>
      </w:r>
      <w:r>
        <w:rPr>
          <w:rFonts w:hint="eastAsia" w:ascii="TimesNewRoman" w:hAnsi="TimesNewRoman" w:eastAsia="仿宋_GB2312" w:cs="TimesNewRoman"/>
          <w:kern w:val="0"/>
          <w:sz w:val="32"/>
          <w:szCs w:val="32"/>
        </w:rPr>
        <w:t>2023年预算安排政府购买服务支出0万元，与2022年预算一致。</w:t>
      </w:r>
    </w:p>
    <w:p>
      <w:pPr>
        <w:ind w:firstLine="640" w:firstLineChars="200"/>
        <w:rPr>
          <w:rFonts w:ascii="TimesNewRoman" w:hAnsi="TimesNewRoman" w:eastAsia="仿宋_GB2312" w:cs="TimesNewRoman"/>
          <w:kern w:val="0"/>
          <w:sz w:val="32"/>
          <w:szCs w:val="32"/>
        </w:rPr>
      </w:pP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800" w:firstLineChars="25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
          <w:bCs/>
          <w:kern w:val="0"/>
          <w:sz w:val="32"/>
          <w:szCs w:val="32"/>
        </w:rPr>
        <w:t>“自然资源业务费”</w:t>
      </w:r>
      <w:r>
        <w:rPr>
          <w:rFonts w:hint="eastAsia" w:ascii="TimesNewRoman" w:hAnsi="TimesNewRoman" w:eastAsia="仿宋_GB2312" w:cs="TimesNewRoman"/>
          <w:kern w:val="0"/>
          <w:sz w:val="32"/>
          <w:szCs w:val="32"/>
        </w:rPr>
        <w:t>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本项目用于办公楼5层约2000平方米，邮电费、办公费运行、维（护）护费、办公设备购置；国土所2辆车辆运行费用车辆燃修费（发展相山分中心1辆车，国土所2辆车）2、用于全区土地矿产资源等管理保护与合理利用以及全区测绘管理的工作部门，执行相关法律法规。落实土地利用总体规划、矿产资源规划和动态巡查制度。严格落实耕地保护政策，积极配合组织实施基本农田保护和未利用土地整理、复垦、开发工作。协助市局做好各类用地的审查报批、建设用地管理、地籍管理、建设项目评估选址、国有土地资本运营、非煤矿山管理、测绘管理工作。开展国土资源执法监察，协助市局查处辖区内重大土地、矿产、测绘违法案件；对一般土地、矿产、测绘违法案件的立案查处。做好全局人员政治、业务培训工作府和上级国土资源部门报告。3、用于土地资本运营系统工程，从储备到土地供应，期间发生各项费用，只有发挥系统功能的作用，才能实现土地资本运营收益最大化。土地资本运营包括：办公费、差旅费、维修护费、其他商品和服务支出。4、土地调查数据库更：用于更新农村土地利用现状数据库，为经济发展和国土资源服务；年度土地变更调查数据更新，用于年度变更调查和成果确认后数据库更新及软件升级。5、党建活动租车费6、地质灾害防治经费，7、测量标志管护费用8、权益科资产清查业务经费。</w:t>
      </w:r>
      <w:r>
        <w:rPr>
          <w:rFonts w:hint="eastAsia" w:ascii="TimesNewRoman" w:hAnsi="TimesNewRoman" w:eastAsia="仿宋_GB2312" w:cs="TimesNewRoman"/>
          <w:kern w:val="0"/>
          <w:sz w:val="32"/>
          <w:szCs w:val="32"/>
        </w:rPr>
        <w:tab/>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（2）立项依据。1.淮行管（2011）8号 ；2. 财购[2011]27号；3.皖国土资（2008）231号；4.淮信组（2010）7号；5.国土资电发（2010）145号；6.皖国土资（2006）225号；7.【1992】价费字597号；8.《2015年度国有土地收购储备及招拍挂出让计划》、土委会会议纪要、财综字【1995】326号。</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（3）实施主体。淮北市自然资源和规划局相山分局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（4）起止时间。2023.01-2023.12</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为提高办事效率和服务水平，需支出取暖制冷费和水电费用；随着细化、规范，业务量大幅度增加，尤其2个所加大土地执法巡查力度、切实保护耕地，协调全区各镇工作需要购买保险及维修保养费用；随着信息化建设推进，电脑等硬件增多，需维护费用。通过为系统职工提供良好工作条件，从而提高服务保障能力。通过添置充实信息化设备，全面推动基层电子政务工作，确保提升高效服务。为加强国有建设用地使用权出让管理，进一步规范出让行为，完善出让程序，加大土地运营力度，市土地储备发展中心联合分中心人员做好人员培训、加强网络维护，对辖区内的土地进行前期的地籍调查、测量绘制，对成熟的地块进行规划设计、土地评估，公告、公证和询价等一系列工作，土地管理委员会会议对全市土地资源管理重大问题，实行集体研究、民主决策，提高了决策的科学性、民主性。</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（6）年度预算安排。61.06万元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hAnsi="宋体" w:cs="宋体"/>
                <w:b/>
                <w:bCs/>
                <w:sz w:val="30"/>
                <w:szCs w:val="30"/>
              </w:rPr>
            </w:pPr>
            <w:r>
              <w:rPr>
                <w:rFonts w:hint="eastAsia" w:ascii="宋体" w:hAnsi="宋体" w:cs="宋体"/>
                <w:b/>
                <w:color w:val="000000"/>
                <w:kern w:val="0"/>
                <w:sz w:val="30"/>
                <w:szCs w:val="30"/>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hAnsi="宋体" w:cs="宋体"/>
                <w:sz w:val="30"/>
                <w:szCs w:val="30"/>
              </w:rPr>
            </w:pPr>
            <w:r>
              <w:rPr>
                <w:rFonts w:hint="eastAsia" w:ascii="宋体" w:hAnsi="宋体" w:cs="宋体"/>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项目名称</w:t>
            </w:r>
          </w:p>
        </w:tc>
        <w:tc>
          <w:tcPr>
            <w:tcW w:w="7577" w:type="dxa"/>
            <w:gridSpan w:val="4"/>
            <w:tcBorders>
              <w:tl2br w:val="nil"/>
              <w:tr2bl w:val="nil"/>
            </w:tcBorders>
            <w:vAlign w:val="center"/>
          </w:tcPr>
          <w:p>
            <w:pPr>
              <w:jc w:val="center"/>
              <w:rPr>
                <w:rFonts w:ascii="宋体" w:hAnsi="宋体" w:cs="宋体"/>
                <w:sz w:val="18"/>
                <w:szCs w:val="18"/>
              </w:rPr>
            </w:pPr>
            <w:r>
              <w:rPr>
                <w:rFonts w:hint="eastAsia" w:ascii="宋体" w:hAnsi="宋体" w:cs="宋体"/>
                <w:color w:val="000000"/>
                <w:kern w:val="0"/>
                <w:sz w:val="18"/>
                <w:szCs w:val="18"/>
              </w:rPr>
              <w:t>自然资源业务费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hAnsi="宋体" w:cs="宋体"/>
                <w:sz w:val="18"/>
                <w:szCs w:val="18"/>
              </w:rPr>
            </w:pPr>
            <w:r>
              <w:rPr>
                <w:rFonts w:hint="eastAsia" w:ascii="宋体" w:hAnsi="宋体" w:cs="宋体"/>
                <w:color w:val="000000"/>
                <w:kern w:val="0"/>
                <w:sz w:val="18"/>
                <w:szCs w:val="18"/>
              </w:rPr>
              <w:t>主管部门   及代码</w:t>
            </w:r>
          </w:p>
        </w:tc>
        <w:tc>
          <w:tcPr>
            <w:tcW w:w="3349" w:type="dxa"/>
            <w:gridSpan w:val="2"/>
            <w:tcBorders>
              <w:tl2br w:val="nil"/>
              <w:tr2bl w:val="nil"/>
            </w:tcBorders>
            <w:vAlign w:val="center"/>
          </w:tcPr>
          <w:p>
            <w:pPr>
              <w:jc w:val="center"/>
              <w:rPr>
                <w:rFonts w:ascii="宋体" w:hAnsi="宋体" w:cs="宋体"/>
                <w:sz w:val="18"/>
                <w:szCs w:val="18"/>
              </w:rPr>
            </w:pPr>
            <w:r>
              <w:rPr>
                <w:rFonts w:hint="eastAsia" w:ascii="宋体" w:hAnsi="宋体" w:cs="宋体"/>
                <w:color w:val="000000"/>
                <w:kern w:val="0"/>
                <w:sz w:val="18"/>
                <w:szCs w:val="18"/>
              </w:rPr>
              <w:t>201-淮北市自然资源和规划局</w:t>
            </w:r>
          </w:p>
        </w:tc>
        <w:tc>
          <w:tcPr>
            <w:tcW w:w="1848" w:type="dxa"/>
            <w:tcBorders>
              <w:tl2br w:val="nil"/>
              <w:tr2bl w:val="nil"/>
            </w:tcBorders>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rPr>
              <w:t>实施单位</w:t>
            </w:r>
          </w:p>
        </w:tc>
        <w:tc>
          <w:tcPr>
            <w:tcW w:w="2380" w:type="dxa"/>
            <w:tcBorders>
              <w:tl2br w:val="nil"/>
              <w:tr2bl w:val="nil"/>
            </w:tcBorders>
            <w:vAlign w:val="center"/>
          </w:tcPr>
          <w:p>
            <w:pPr>
              <w:jc w:val="center"/>
              <w:rPr>
                <w:rFonts w:ascii="宋体" w:hAnsi="宋体"/>
                <w:sz w:val="18"/>
                <w:szCs w:val="18"/>
              </w:rPr>
            </w:pPr>
            <w:r>
              <w:rPr>
                <w:rFonts w:hint="eastAsia" w:ascii="宋体" w:hAnsi="宋体" w:cs="宋体"/>
                <w:color w:val="000000"/>
                <w:kern w:val="0"/>
                <w:sz w:val="18"/>
                <w:szCs w:val="18"/>
              </w:rPr>
              <w:t>淮北市自然资源和规划局相山分局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项目来源</w:t>
            </w:r>
          </w:p>
        </w:tc>
        <w:tc>
          <w:tcPr>
            <w:tcW w:w="3349" w:type="dxa"/>
            <w:gridSpan w:val="2"/>
            <w:tcBorders>
              <w:tl2br w:val="nil"/>
              <w:tr2bl w:val="nil"/>
            </w:tcBorders>
            <w:vAlign w:val="center"/>
          </w:tcPr>
          <w:p>
            <w:pPr>
              <w:jc w:val="center"/>
              <w:rPr>
                <w:rFonts w:ascii="宋体" w:hAnsi="宋体" w:cs="宋体"/>
                <w:sz w:val="18"/>
                <w:szCs w:val="18"/>
              </w:rPr>
            </w:pPr>
            <w:r>
              <w:rPr>
                <w:rFonts w:hint="eastAsia" w:ascii="宋体" w:cs="宋体"/>
                <w:sz w:val="20"/>
              </w:rPr>
              <w:t>1-本级申报项目</w:t>
            </w:r>
          </w:p>
        </w:tc>
        <w:tc>
          <w:tcPr>
            <w:tcW w:w="1848" w:type="dxa"/>
            <w:tcBorders>
              <w:tl2br w:val="nil"/>
              <w:tr2bl w:val="nil"/>
            </w:tcBorders>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rPr>
              <w:t>项目期</w:t>
            </w:r>
          </w:p>
        </w:tc>
        <w:tc>
          <w:tcPr>
            <w:tcW w:w="2380" w:type="dxa"/>
            <w:tcBorders>
              <w:tl2br w:val="nil"/>
              <w:tr2bl w:val="nil"/>
            </w:tcBorders>
            <w:vAlign w:val="center"/>
          </w:tcPr>
          <w:p>
            <w:pPr>
              <w:jc w:val="center"/>
              <w:rPr>
                <w:rFonts w:ascii="宋体" w:hAnsi="宋体"/>
                <w:sz w:val="18"/>
                <w:szCs w:val="18"/>
              </w:rPr>
            </w:pPr>
            <w:r>
              <w:rPr>
                <w:rFonts w:hint="eastAsia" w:ascii="宋体" w:hAnsi="宋体"/>
                <w:sz w:val="18"/>
                <w:szCs w:val="18"/>
              </w:rPr>
              <w:t>2023.01-2023.12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项目资金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（万元）</w:t>
            </w:r>
          </w:p>
        </w:tc>
        <w:tc>
          <w:tcPr>
            <w:tcW w:w="3349" w:type="dxa"/>
            <w:gridSpan w:val="2"/>
            <w:tcBorders>
              <w:tl2br w:val="nil"/>
              <w:tr2bl w:val="nil"/>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rPr>
              <w:t xml:space="preserve"> 年度资金总额：</w:t>
            </w:r>
          </w:p>
        </w:tc>
        <w:tc>
          <w:tcPr>
            <w:tcW w:w="4228" w:type="dxa"/>
            <w:gridSpan w:val="2"/>
            <w:tcBorders>
              <w:tl2br w:val="nil"/>
              <w:tr2bl w:val="nil"/>
            </w:tcBorders>
            <w:vAlign w:val="center"/>
          </w:tcPr>
          <w:p>
            <w:pPr>
              <w:jc w:val="right"/>
              <w:rPr>
                <w:rFonts w:ascii="宋体" w:hAnsi="宋体" w:eastAsia="宋体" w:cs="宋体"/>
                <w:sz w:val="18"/>
                <w:szCs w:val="18"/>
              </w:rPr>
            </w:pPr>
            <w:r>
              <w:rPr>
                <w:rFonts w:hint="eastAsia" w:ascii="宋体" w:hAnsi="宋体" w:cs="宋体"/>
                <w:sz w:val="18"/>
                <w:szCs w:val="18"/>
              </w:rPr>
              <w:t>61.06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hAnsi="宋体" w:cs="宋体"/>
                <w:sz w:val="18"/>
                <w:szCs w:val="18"/>
              </w:rPr>
            </w:pPr>
          </w:p>
        </w:tc>
        <w:tc>
          <w:tcPr>
            <w:tcW w:w="3349" w:type="dxa"/>
            <w:gridSpan w:val="2"/>
            <w:tcBorders>
              <w:tl2br w:val="nil"/>
              <w:tr2bl w:val="nil"/>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rPr>
              <w:t xml:space="preserve">   其中：财政拨款</w:t>
            </w:r>
          </w:p>
        </w:tc>
        <w:tc>
          <w:tcPr>
            <w:tcW w:w="4228" w:type="dxa"/>
            <w:gridSpan w:val="2"/>
            <w:tcBorders>
              <w:tl2br w:val="nil"/>
              <w:tr2bl w:val="nil"/>
            </w:tcBorders>
            <w:vAlign w:val="center"/>
          </w:tcPr>
          <w:p>
            <w:pPr>
              <w:jc w:val="righ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hAnsi="宋体" w:cs="宋体"/>
                <w:sz w:val="18"/>
                <w:szCs w:val="18"/>
              </w:rPr>
            </w:pPr>
          </w:p>
        </w:tc>
        <w:tc>
          <w:tcPr>
            <w:tcW w:w="3349" w:type="dxa"/>
            <w:gridSpan w:val="2"/>
            <w:tcBorders>
              <w:tl2br w:val="nil"/>
              <w:tr2bl w:val="nil"/>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rPr>
              <w:t xml:space="preserve">         上年结转</w:t>
            </w:r>
          </w:p>
        </w:tc>
        <w:tc>
          <w:tcPr>
            <w:tcW w:w="4228" w:type="dxa"/>
            <w:gridSpan w:val="2"/>
            <w:tcBorders>
              <w:tl2br w:val="nil"/>
              <w:tr2bl w:val="nil"/>
            </w:tcBorders>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hAnsi="宋体" w:cs="宋体"/>
                <w:sz w:val="18"/>
                <w:szCs w:val="18"/>
              </w:rPr>
            </w:pPr>
          </w:p>
        </w:tc>
        <w:tc>
          <w:tcPr>
            <w:tcW w:w="3349" w:type="dxa"/>
            <w:gridSpan w:val="2"/>
            <w:tcBorders>
              <w:tl2br w:val="nil"/>
              <w:tr2bl w:val="nil"/>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rPr>
              <w:t xml:space="preserve">         其他资金</w:t>
            </w:r>
          </w:p>
        </w:tc>
        <w:tc>
          <w:tcPr>
            <w:tcW w:w="4228" w:type="dxa"/>
            <w:gridSpan w:val="2"/>
            <w:tcBorders>
              <w:tl2br w:val="nil"/>
              <w:tr2bl w:val="nil"/>
            </w:tcBorders>
            <w:vAlign w:val="center"/>
          </w:tcPr>
          <w:p>
            <w:pPr>
              <w:jc w:val="right"/>
              <w:rPr>
                <w:rFonts w:ascii="宋体" w:hAnsi="宋体" w:eastAsia="宋体" w:cs="宋体"/>
                <w:sz w:val="18"/>
                <w:szCs w:val="18"/>
              </w:rPr>
            </w:pPr>
            <w:r>
              <w:rPr>
                <w:rFonts w:hint="eastAsia" w:ascii="宋体" w:hAnsi="宋体" w:cs="宋体"/>
                <w:sz w:val="18"/>
                <w:szCs w:val="18"/>
              </w:rPr>
              <w:t>61.06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hAnsi="宋体" w:cs="宋体"/>
                <w:sz w:val="18"/>
                <w:szCs w:val="18"/>
              </w:rPr>
            </w:pPr>
            <w:r>
              <w:rPr>
                <w:rFonts w:hint="eastAsia" w:ascii="宋体" w:hAnsi="宋体" w:cs="宋体"/>
                <w:color w:val="000000"/>
                <w:kern w:val="0"/>
                <w:sz w:val="18"/>
                <w:szCs w:val="18"/>
              </w:rPr>
              <w:t>年度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目标</w:t>
            </w:r>
          </w:p>
        </w:tc>
        <w:tc>
          <w:tcPr>
            <w:tcW w:w="8582" w:type="dxa"/>
            <w:gridSpan w:val="6"/>
            <w:tcBorders>
              <w:tl2br w:val="nil"/>
              <w:tr2bl w:val="nil"/>
            </w:tcBorders>
            <w:vAlign w:val="center"/>
          </w:tcPr>
          <w:p>
            <w:pPr>
              <w:jc w:val="left"/>
              <w:rPr>
                <w:rFonts w:ascii="宋体" w:hAnsi="宋体" w:cs="宋体"/>
                <w:sz w:val="18"/>
                <w:szCs w:val="18"/>
              </w:rPr>
            </w:pPr>
            <w:r>
              <w:rPr>
                <w:rFonts w:hint="eastAsia" w:ascii="宋体" w:hAnsi="宋体"/>
                <w:sz w:val="18"/>
                <w:szCs w:val="18"/>
              </w:rPr>
              <w:t>目标1：保障自然资源各项业务工作的正常开展，顺利推进，提高管理科学化、规范化水平。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标</w:t>
            </w:r>
          </w:p>
        </w:tc>
        <w:tc>
          <w:tcPr>
            <w:tcW w:w="723" w:type="dxa"/>
            <w:tcBorders>
              <w:tl2br w:val="nil"/>
              <w:tr2bl w:val="nil"/>
            </w:tcBorders>
            <w:vAlign w:val="center"/>
          </w:tcPr>
          <w:p>
            <w:pPr>
              <w:widowControl/>
              <w:spacing w:line="200" w:lineRule="exact"/>
              <w:jc w:val="center"/>
              <w:textAlignment w:val="center"/>
              <w:rPr>
                <w:rFonts w:ascii="宋体" w:hAnsi="宋体" w:cs="宋体"/>
                <w:sz w:val="18"/>
                <w:szCs w:val="18"/>
              </w:rPr>
            </w:pPr>
            <w:r>
              <w:rPr>
                <w:rFonts w:hint="eastAsia" w:ascii="宋体" w:hAnsi="宋体" w:cs="宋体"/>
                <w:color w:val="000000"/>
                <w:kern w:val="0"/>
                <w:sz w:val="18"/>
                <w:szCs w:val="18"/>
              </w:rPr>
              <w:t>一级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指标</w:t>
            </w:r>
          </w:p>
        </w:tc>
        <w:tc>
          <w:tcPr>
            <w:tcW w:w="759" w:type="dxa"/>
            <w:gridSpan w:val="2"/>
            <w:tcBorders>
              <w:tl2br w:val="nil"/>
              <w:tr2bl w:val="nil"/>
            </w:tcBorders>
            <w:vAlign w:val="center"/>
          </w:tcPr>
          <w:p>
            <w:pPr>
              <w:widowControl/>
              <w:spacing w:line="200" w:lineRule="exact"/>
              <w:jc w:val="center"/>
              <w:textAlignment w:val="center"/>
              <w:rPr>
                <w:rFonts w:ascii="宋体" w:hAnsi="宋体" w:cs="宋体"/>
                <w:sz w:val="18"/>
                <w:szCs w:val="18"/>
              </w:rPr>
            </w:pPr>
            <w:r>
              <w:rPr>
                <w:rFonts w:hint="eastAsia" w:ascii="宋体" w:hAnsi="宋体" w:cs="宋体"/>
                <w:color w:val="000000"/>
                <w:kern w:val="0"/>
                <w:sz w:val="18"/>
                <w:szCs w:val="18"/>
              </w:rPr>
              <w:t>二级指标</w:t>
            </w:r>
          </w:p>
        </w:tc>
        <w:tc>
          <w:tcPr>
            <w:tcW w:w="2872"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三级指标</w:t>
            </w:r>
          </w:p>
        </w:tc>
        <w:tc>
          <w:tcPr>
            <w:tcW w:w="4228" w:type="dxa"/>
            <w:gridSpan w:val="2"/>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hAnsi="宋体" w:cs="宋体"/>
                <w:sz w:val="18"/>
                <w:szCs w:val="18"/>
              </w:rPr>
            </w:pPr>
          </w:p>
        </w:tc>
        <w:tc>
          <w:tcPr>
            <w:tcW w:w="723" w:type="dxa"/>
            <w:vMerge w:val="restart"/>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产出指标</w:t>
            </w:r>
          </w:p>
        </w:tc>
        <w:tc>
          <w:tcPr>
            <w:tcW w:w="759" w:type="dxa"/>
            <w:gridSpan w:val="2"/>
            <w:tcBorders>
              <w:tl2br w:val="nil"/>
              <w:tr2bl w:val="nil"/>
            </w:tcBorders>
            <w:vAlign w:val="center"/>
          </w:tcPr>
          <w:p>
            <w:pPr>
              <w:widowControl/>
              <w:spacing w:line="200" w:lineRule="exact"/>
              <w:jc w:val="center"/>
              <w:textAlignment w:val="center"/>
              <w:rPr>
                <w:rFonts w:ascii="宋体" w:hAnsi="宋体" w:cs="宋体"/>
                <w:sz w:val="18"/>
                <w:szCs w:val="18"/>
              </w:rPr>
            </w:pPr>
            <w:r>
              <w:rPr>
                <w:rFonts w:hint="eastAsia" w:ascii="宋体" w:hAnsi="宋体" w:cs="宋体"/>
                <w:color w:val="000000"/>
                <w:kern w:val="0"/>
                <w:sz w:val="18"/>
                <w:szCs w:val="18"/>
              </w:rPr>
              <w:t>数量指标</w:t>
            </w:r>
          </w:p>
        </w:tc>
        <w:tc>
          <w:tcPr>
            <w:tcW w:w="2872" w:type="dxa"/>
            <w:tcBorders>
              <w:tl2br w:val="nil"/>
              <w:tr2bl w:val="nil"/>
            </w:tcBorders>
            <w:vAlign w:val="center"/>
          </w:tcPr>
          <w:p>
            <w:pPr>
              <w:rPr>
                <w:rFonts w:ascii="宋体" w:hAnsi="宋体"/>
                <w:sz w:val="18"/>
                <w:szCs w:val="18"/>
              </w:rPr>
            </w:pPr>
            <w:r>
              <w:rPr>
                <w:rFonts w:hint="eastAsia" w:ascii="宋体" w:hAnsi="宋体"/>
                <w:sz w:val="18"/>
                <w:szCs w:val="18"/>
              </w:rPr>
              <w:t xml:space="preserve"> 指标1：服务人员数量</w:t>
            </w:r>
          </w:p>
        </w:tc>
        <w:tc>
          <w:tcPr>
            <w:tcW w:w="4228" w:type="dxa"/>
            <w:gridSpan w:val="2"/>
            <w:tcBorders>
              <w:tl2br w:val="nil"/>
              <w:tr2bl w:val="nil"/>
            </w:tcBorders>
            <w:vAlign w:val="center"/>
          </w:tcPr>
          <w:p>
            <w:pPr>
              <w:rPr>
                <w:rFonts w:ascii="宋体" w:hAnsi="宋体" w:cs="宋体"/>
                <w:sz w:val="18"/>
                <w:szCs w:val="18"/>
              </w:rPr>
            </w:pPr>
            <w:r>
              <w:rPr>
                <w:rFonts w:ascii="宋体" w:hAnsi="宋体"/>
                <w:sz w:val="18"/>
                <w:szCs w:val="18"/>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hAnsi="宋体" w:cs="宋体"/>
                <w:sz w:val="18"/>
                <w:szCs w:val="18"/>
              </w:rPr>
            </w:pPr>
          </w:p>
        </w:tc>
        <w:tc>
          <w:tcPr>
            <w:tcW w:w="723" w:type="dxa"/>
            <w:vMerge w:val="continue"/>
            <w:tcBorders>
              <w:tl2br w:val="nil"/>
              <w:tr2bl w:val="nil"/>
            </w:tcBorders>
            <w:vAlign w:val="center"/>
          </w:tcPr>
          <w:p>
            <w:pPr>
              <w:jc w:val="center"/>
              <w:rPr>
                <w:rFonts w:ascii="宋体" w:hAnsi="宋体" w:cs="宋体"/>
                <w:sz w:val="18"/>
                <w:szCs w:val="18"/>
              </w:rPr>
            </w:pPr>
          </w:p>
        </w:tc>
        <w:tc>
          <w:tcPr>
            <w:tcW w:w="759" w:type="dxa"/>
            <w:gridSpan w:val="2"/>
            <w:tcBorders>
              <w:tl2br w:val="nil"/>
              <w:tr2bl w:val="nil"/>
            </w:tcBorders>
            <w:vAlign w:val="center"/>
          </w:tcPr>
          <w:p>
            <w:pPr>
              <w:widowControl/>
              <w:spacing w:line="200" w:lineRule="exact"/>
              <w:jc w:val="center"/>
              <w:textAlignment w:val="center"/>
              <w:rPr>
                <w:rFonts w:ascii="宋体" w:hAnsi="宋体" w:cs="宋体"/>
                <w:sz w:val="18"/>
                <w:szCs w:val="18"/>
              </w:rPr>
            </w:pPr>
            <w:r>
              <w:rPr>
                <w:rFonts w:hint="eastAsia" w:ascii="宋体" w:hAnsi="宋体" w:cs="宋体"/>
                <w:color w:val="000000"/>
                <w:kern w:val="0"/>
                <w:sz w:val="18"/>
                <w:szCs w:val="18"/>
              </w:rPr>
              <w:t>质量指标</w:t>
            </w:r>
          </w:p>
        </w:tc>
        <w:tc>
          <w:tcPr>
            <w:tcW w:w="2872" w:type="dxa"/>
            <w:tcBorders>
              <w:tl2br w:val="nil"/>
              <w:tr2bl w:val="nil"/>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rPr>
              <w:t>指标1：经费支出合规性</w:t>
            </w:r>
          </w:p>
        </w:tc>
        <w:tc>
          <w:tcPr>
            <w:tcW w:w="4228" w:type="dxa"/>
            <w:gridSpan w:val="2"/>
            <w:tcBorders>
              <w:tl2br w:val="nil"/>
              <w:tr2bl w:val="nil"/>
            </w:tcBorders>
            <w:vAlign w:val="center"/>
          </w:tcPr>
          <w:p>
            <w:pPr>
              <w:rPr>
                <w:rFonts w:ascii="宋体" w:hAnsi="宋体" w:cs="宋体"/>
                <w:sz w:val="18"/>
                <w:szCs w:val="18"/>
              </w:rPr>
            </w:pPr>
            <w:r>
              <w:rPr>
                <w:rFonts w:hint="eastAsia" w:ascii="宋体" w:hAnsi="宋体"/>
                <w:sz w:val="18"/>
                <w:szCs w:val="18"/>
              </w:rPr>
              <w:t>严格执行相关财经法规制度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38" w:type="dxa"/>
            <w:vMerge w:val="continue"/>
            <w:tcBorders>
              <w:tl2br w:val="nil"/>
              <w:tr2bl w:val="nil"/>
            </w:tcBorders>
            <w:vAlign w:val="center"/>
          </w:tcPr>
          <w:p>
            <w:pPr>
              <w:jc w:val="center"/>
              <w:rPr>
                <w:rFonts w:ascii="宋体" w:hAnsi="宋体" w:cs="宋体"/>
                <w:sz w:val="18"/>
                <w:szCs w:val="18"/>
              </w:rPr>
            </w:pPr>
          </w:p>
        </w:tc>
        <w:tc>
          <w:tcPr>
            <w:tcW w:w="723" w:type="dxa"/>
            <w:vMerge w:val="continue"/>
            <w:tcBorders>
              <w:tl2br w:val="nil"/>
              <w:tr2bl w:val="nil"/>
            </w:tcBorders>
            <w:vAlign w:val="center"/>
          </w:tcPr>
          <w:p>
            <w:pPr>
              <w:jc w:val="center"/>
              <w:rPr>
                <w:rFonts w:ascii="宋体" w:hAnsi="宋体" w:cs="宋体"/>
                <w:sz w:val="18"/>
                <w:szCs w:val="18"/>
              </w:rPr>
            </w:pPr>
          </w:p>
        </w:tc>
        <w:tc>
          <w:tcPr>
            <w:tcW w:w="759" w:type="dxa"/>
            <w:gridSpan w:val="2"/>
            <w:tcBorders>
              <w:tl2br w:val="nil"/>
              <w:tr2bl w:val="nil"/>
            </w:tcBorders>
            <w:vAlign w:val="center"/>
          </w:tcPr>
          <w:p>
            <w:pPr>
              <w:widowControl/>
              <w:spacing w:line="200" w:lineRule="exact"/>
              <w:jc w:val="center"/>
              <w:textAlignment w:val="center"/>
              <w:rPr>
                <w:rFonts w:ascii="宋体" w:hAnsi="宋体" w:cs="宋体"/>
                <w:sz w:val="18"/>
                <w:szCs w:val="18"/>
              </w:rPr>
            </w:pPr>
            <w:r>
              <w:rPr>
                <w:rFonts w:hint="eastAsia" w:ascii="宋体" w:hAnsi="宋体" w:cs="宋体"/>
                <w:color w:val="000000"/>
                <w:kern w:val="0"/>
                <w:sz w:val="18"/>
                <w:szCs w:val="18"/>
              </w:rPr>
              <w:t>时效指标</w:t>
            </w:r>
          </w:p>
        </w:tc>
        <w:tc>
          <w:tcPr>
            <w:tcW w:w="2872" w:type="dxa"/>
            <w:tcBorders>
              <w:tl2br w:val="nil"/>
              <w:tr2bl w:val="nil"/>
            </w:tcBorders>
            <w:vAlign w:val="center"/>
          </w:tcPr>
          <w:p>
            <w:pPr>
              <w:rPr>
                <w:rFonts w:ascii="宋体" w:hAnsi="宋体" w:cs="宋体"/>
                <w:sz w:val="18"/>
                <w:szCs w:val="18"/>
              </w:rPr>
            </w:pPr>
            <w:r>
              <w:rPr>
                <w:rFonts w:hint="eastAsia" w:ascii="宋体" w:hAnsi="宋体"/>
                <w:sz w:val="18"/>
                <w:szCs w:val="18"/>
              </w:rPr>
              <w:t xml:space="preserve"> 指标1：项目完成及时性</w:t>
            </w:r>
          </w:p>
        </w:tc>
        <w:tc>
          <w:tcPr>
            <w:tcW w:w="4228" w:type="dxa"/>
            <w:gridSpan w:val="2"/>
            <w:tcBorders>
              <w:tl2br w:val="nil"/>
              <w:tr2bl w:val="nil"/>
            </w:tcBorders>
            <w:vAlign w:val="center"/>
          </w:tcPr>
          <w:p>
            <w:pPr>
              <w:rPr>
                <w:rFonts w:ascii="宋体" w:hAnsi="宋体" w:cs="宋体"/>
                <w:sz w:val="18"/>
                <w:szCs w:val="18"/>
              </w:rPr>
            </w:pPr>
            <w:r>
              <w:rPr>
                <w:rFonts w:hint="eastAsia" w:ascii="宋体" w:hAnsi="宋体"/>
                <w:sz w:val="18"/>
                <w:szCs w:val="18"/>
              </w:rPr>
              <w:t>　采购及时、质量有保障，不断提高数据统计水平、工作效率，确保财政国资各项业务顺利开展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hAnsi="宋体" w:cs="宋体"/>
                <w:sz w:val="18"/>
                <w:szCs w:val="18"/>
              </w:rPr>
            </w:pPr>
          </w:p>
        </w:tc>
        <w:tc>
          <w:tcPr>
            <w:tcW w:w="723" w:type="dxa"/>
            <w:vMerge w:val="continue"/>
            <w:tcBorders>
              <w:tl2br w:val="nil"/>
              <w:tr2bl w:val="nil"/>
            </w:tcBorders>
            <w:vAlign w:val="center"/>
          </w:tcPr>
          <w:p>
            <w:pPr>
              <w:jc w:val="center"/>
              <w:rPr>
                <w:rFonts w:ascii="宋体" w:hAnsi="宋体" w:cs="宋体"/>
                <w:sz w:val="18"/>
                <w:szCs w:val="18"/>
              </w:rPr>
            </w:pPr>
          </w:p>
        </w:tc>
        <w:tc>
          <w:tcPr>
            <w:tcW w:w="759" w:type="dxa"/>
            <w:gridSpan w:val="2"/>
            <w:tcBorders>
              <w:tl2br w:val="nil"/>
              <w:tr2bl w:val="nil"/>
            </w:tcBorders>
            <w:vAlign w:val="center"/>
          </w:tcPr>
          <w:p>
            <w:pPr>
              <w:widowControl/>
              <w:spacing w:line="200" w:lineRule="exact"/>
              <w:jc w:val="center"/>
              <w:textAlignment w:val="center"/>
              <w:rPr>
                <w:rFonts w:ascii="宋体" w:hAnsi="宋体" w:cs="宋体"/>
                <w:sz w:val="18"/>
                <w:szCs w:val="18"/>
              </w:rPr>
            </w:pPr>
            <w:r>
              <w:rPr>
                <w:rFonts w:hint="eastAsia" w:ascii="宋体" w:hAnsi="宋体" w:cs="宋体"/>
                <w:color w:val="000000"/>
                <w:kern w:val="0"/>
                <w:sz w:val="18"/>
                <w:szCs w:val="18"/>
              </w:rPr>
              <w:t>成本指标</w:t>
            </w:r>
          </w:p>
        </w:tc>
        <w:tc>
          <w:tcPr>
            <w:tcW w:w="2872" w:type="dxa"/>
            <w:tcBorders>
              <w:tl2br w:val="nil"/>
              <w:tr2bl w:val="nil"/>
            </w:tcBorders>
            <w:vAlign w:val="center"/>
          </w:tcPr>
          <w:p>
            <w:pPr>
              <w:rPr>
                <w:rFonts w:ascii="宋体" w:hAnsi="宋体" w:cs="宋体"/>
                <w:sz w:val="18"/>
                <w:szCs w:val="18"/>
              </w:rPr>
            </w:pPr>
            <w:r>
              <w:rPr>
                <w:rFonts w:hint="eastAsia" w:ascii="宋体" w:hAnsi="宋体"/>
                <w:sz w:val="18"/>
                <w:szCs w:val="18"/>
              </w:rPr>
              <w:t xml:space="preserve"> 指标1：项目总成本</w:t>
            </w:r>
          </w:p>
        </w:tc>
        <w:tc>
          <w:tcPr>
            <w:tcW w:w="4228" w:type="dxa"/>
            <w:gridSpan w:val="2"/>
            <w:tcBorders>
              <w:tl2br w:val="nil"/>
              <w:tr2bl w:val="nil"/>
            </w:tcBorders>
            <w:vAlign w:val="center"/>
          </w:tcPr>
          <w:p>
            <w:pPr>
              <w:rPr>
                <w:rFonts w:ascii="宋体" w:hAnsi="宋体" w:cs="宋体"/>
                <w:sz w:val="18"/>
                <w:szCs w:val="18"/>
              </w:rPr>
            </w:pPr>
            <w:r>
              <w:rPr>
                <w:rFonts w:ascii="宋体" w:hAnsi="宋体"/>
                <w:sz w:val="18"/>
                <w:szCs w:val="18"/>
              </w:rPr>
              <w:t>61.06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hAnsi="宋体" w:cs="宋体"/>
                <w:sz w:val="18"/>
                <w:szCs w:val="18"/>
              </w:rPr>
            </w:pPr>
          </w:p>
        </w:tc>
        <w:tc>
          <w:tcPr>
            <w:tcW w:w="723" w:type="dxa"/>
            <w:vMerge w:val="restart"/>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效益指标</w:t>
            </w:r>
          </w:p>
        </w:tc>
        <w:tc>
          <w:tcPr>
            <w:tcW w:w="759" w:type="dxa"/>
            <w:gridSpan w:val="2"/>
            <w:tcBorders>
              <w:tl2br w:val="nil"/>
              <w:tr2bl w:val="nil"/>
            </w:tcBorders>
            <w:vAlign w:val="center"/>
          </w:tcPr>
          <w:p>
            <w:pPr>
              <w:widowControl/>
              <w:spacing w:line="200" w:lineRule="exact"/>
              <w:jc w:val="center"/>
              <w:textAlignment w:val="center"/>
              <w:rPr>
                <w:rFonts w:ascii="宋体" w:hAnsi="宋体" w:cs="宋体"/>
                <w:sz w:val="18"/>
                <w:szCs w:val="18"/>
              </w:rPr>
            </w:pPr>
            <w:r>
              <w:rPr>
                <w:rFonts w:hint="eastAsia" w:ascii="宋体" w:hAnsi="宋体" w:cs="宋体"/>
                <w:color w:val="000000"/>
                <w:kern w:val="0"/>
                <w:sz w:val="18"/>
                <w:szCs w:val="18"/>
              </w:rPr>
              <w:t>经济效益指标</w:t>
            </w:r>
          </w:p>
        </w:tc>
        <w:tc>
          <w:tcPr>
            <w:tcW w:w="2872" w:type="dxa"/>
            <w:tcBorders>
              <w:tl2br w:val="nil"/>
              <w:tr2bl w:val="nil"/>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指标1：高质量保障</w:t>
            </w:r>
          </w:p>
        </w:tc>
        <w:tc>
          <w:tcPr>
            <w:tcW w:w="4228" w:type="dxa"/>
            <w:gridSpan w:val="2"/>
            <w:tcBorders>
              <w:tl2br w:val="nil"/>
              <w:tr2bl w:val="nil"/>
            </w:tcBorders>
            <w:vAlign w:val="bottom"/>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hAnsi="宋体" w:cs="宋体"/>
                <w:sz w:val="18"/>
                <w:szCs w:val="18"/>
              </w:rPr>
            </w:pPr>
          </w:p>
        </w:tc>
        <w:tc>
          <w:tcPr>
            <w:tcW w:w="723" w:type="dxa"/>
            <w:vMerge w:val="continue"/>
            <w:tcBorders>
              <w:tl2br w:val="nil"/>
              <w:tr2bl w:val="nil"/>
            </w:tcBorders>
            <w:vAlign w:val="center"/>
          </w:tcPr>
          <w:p>
            <w:pPr>
              <w:jc w:val="center"/>
              <w:rPr>
                <w:rFonts w:ascii="宋体" w:hAnsi="宋体" w:cs="宋体"/>
                <w:sz w:val="18"/>
                <w:szCs w:val="18"/>
              </w:rPr>
            </w:pPr>
          </w:p>
        </w:tc>
        <w:tc>
          <w:tcPr>
            <w:tcW w:w="759" w:type="dxa"/>
            <w:gridSpan w:val="2"/>
            <w:tcBorders>
              <w:tl2br w:val="nil"/>
              <w:tr2bl w:val="nil"/>
            </w:tcBorders>
            <w:vAlign w:val="center"/>
          </w:tcPr>
          <w:p>
            <w:pPr>
              <w:widowControl/>
              <w:spacing w:line="200" w:lineRule="exact"/>
              <w:jc w:val="center"/>
              <w:textAlignment w:val="center"/>
              <w:rPr>
                <w:rFonts w:ascii="宋体" w:hAnsi="宋体" w:cs="宋体"/>
                <w:sz w:val="18"/>
                <w:szCs w:val="18"/>
              </w:rPr>
            </w:pPr>
            <w:r>
              <w:rPr>
                <w:rFonts w:hint="eastAsia" w:ascii="宋体" w:hAnsi="宋体" w:cs="宋体"/>
                <w:color w:val="000000"/>
                <w:kern w:val="0"/>
                <w:sz w:val="18"/>
                <w:szCs w:val="18"/>
              </w:rPr>
              <w:t>社会效益指标</w:t>
            </w:r>
          </w:p>
        </w:tc>
        <w:tc>
          <w:tcPr>
            <w:tcW w:w="2872" w:type="dxa"/>
            <w:tcBorders>
              <w:tl2br w:val="nil"/>
              <w:tr2bl w:val="nil"/>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rPr>
              <w:t>指标1服务各行业</w:t>
            </w:r>
          </w:p>
        </w:tc>
        <w:tc>
          <w:tcPr>
            <w:tcW w:w="4228" w:type="dxa"/>
            <w:gridSpan w:val="2"/>
            <w:tcBorders>
              <w:tl2br w:val="nil"/>
              <w:tr2bl w:val="nil"/>
            </w:tcBorders>
            <w:vAlign w:val="bottom"/>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重视所接受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hAnsi="宋体" w:cs="宋体"/>
                <w:sz w:val="18"/>
                <w:szCs w:val="18"/>
              </w:rPr>
            </w:pPr>
          </w:p>
        </w:tc>
        <w:tc>
          <w:tcPr>
            <w:tcW w:w="723" w:type="dxa"/>
            <w:vMerge w:val="continue"/>
            <w:tcBorders>
              <w:tl2br w:val="nil"/>
              <w:tr2bl w:val="nil"/>
            </w:tcBorders>
            <w:vAlign w:val="center"/>
          </w:tcPr>
          <w:p>
            <w:pPr>
              <w:jc w:val="center"/>
              <w:rPr>
                <w:rFonts w:ascii="宋体" w:hAnsi="宋体" w:cs="宋体"/>
                <w:sz w:val="18"/>
                <w:szCs w:val="18"/>
              </w:rPr>
            </w:pPr>
          </w:p>
        </w:tc>
        <w:tc>
          <w:tcPr>
            <w:tcW w:w="759" w:type="dxa"/>
            <w:gridSpan w:val="2"/>
            <w:tcBorders>
              <w:tl2br w:val="nil"/>
              <w:tr2bl w:val="nil"/>
            </w:tcBorders>
            <w:vAlign w:val="center"/>
          </w:tcPr>
          <w:p>
            <w:pPr>
              <w:widowControl/>
              <w:spacing w:line="200" w:lineRule="exact"/>
              <w:jc w:val="center"/>
              <w:textAlignment w:val="center"/>
              <w:rPr>
                <w:rFonts w:ascii="宋体" w:hAnsi="宋体" w:cs="宋体"/>
                <w:sz w:val="18"/>
                <w:szCs w:val="18"/>
              </w:rPr>
            </w:pPr>
            <w:r>
              <w:rPr>
                <w:rFonts w:hint="eastAsia" w:ascii="宋体" w:hAnsi="宋体" w:cs="宋体"/>
                <w:color w:val="000000"/>
                <w:kern w:val="0"/>
                <w:sz w:val="18"/>
                <w:szCs w:val="18"/>
              </w:rPr>
              <w:t>生态效益指标</w:t>
            </w:r>
          </w:p>
        </w:tc>
        <w:tc>
          <w:tcPr>
            <w:tcW w:w="2872" w:type="dxa"/>
            <w:tcBorders>
              <w:tl2br w:val="nil"/>
              <w:tr2bl w:val="nil"/>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指标1：</w:t>
            </w:r>
          </w:p>
          <w:p>
            <w:pPr>
              <w:widowControl/>
              <w:jc w:val="left"/>
              <w:textAlignment w:val="center"/>
              <w:rPr>
                <w:rFonts w:ascii="宋体" w:hAnsi="宋体" w:cs="宋体"/>
                <w:sz w:val="18"/>
                <w:szCs w:val="18"/>
              </w:rPr>
            </w:pPr>
            <w:r>
              <w:rPr>
                <w:rFonts w:hint="eastAsia" w:ascii="宋体" w:hAnsi="宋体" w:cs="宋体"/>
                <w:color w:val="000000"/>
                <w:kern w:val="0"/>
                <w:sz w:val="18"/>
                <w:szCs w:val="18"/>
              </w:rPr>
              <w:t>增强生态文明建设意识</w:t>
            </w:r>
          </w:p>
        </w:tc>
        <w:tc>
          <w:tcPr>
            <w:tcW w:w="4228" w:type="dxa"/>
            <w:gridSpan w:val="2"/>
            <w:tcBorders>
              <w:tl2br w:val="nil"/>
              <w:tr2bl w:val="nil"/>
            </w:tcBorders>
            <w:vAlign w:val="bottom"/>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增强群众生态文明意识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hAnsi="宋体" w:cs="宋体"/>
                <w:sz w:val="18"/>
                <w:szCs w:val="18"/>
              </w:rPr>
            </w:pPr>
          </w:p>
        </w:tc>
        <w:tc>
          <w:tcPr>
            <w:tcW w:w="723" w:type="dxa"/>
            <w:vMerge w:val="continue"/>
            <w:tcBorders>
              <w:tl2br w:val="nil"/>
              <w:tr2bl w:val="nil"/>
            </w:tcBorders>
            <w:vAlign w:val="center"/>
          </w:tcPr>
          <w:p>
            <w:pPr>
              <w:jc w:val="center"/>
              <w:rPr>
                <w:rFonts w:ascii="宋体" w:hAnsi="宋体" w:cs="宋体"/>
                <w:sz w:val="18"/>
                <w:szCs w:val="18"/>
              </w:rPr>
            </w:pPr>
          </w:p>
        </w:tc>
        <w:tc>
          <w:tcPr>
            <w:tcW w:w="759" w:type="dxa"/>
            <w:gridSpan w:val="2"/>
            <w:tcBorders>
              <w:tl2br w:val="nil"/>
              <w:tr2bl w:val="nil"/>
            </w:tcBorders>
            <w:vAlign w:val="center"/>
          </w:tcPr>
          <w:p>
            <w:pPr>
              <w:widowControl/>
              <w:spacing w:line="200" w:lineRule="exact"/>
              <w:jc w:val="center"/>
              <w:rPr>
                <w:rFonts w:ascii="宋体" w:hAnsi="宋体" w:cs="宋体"/>
                <w:sz w:val="18"/>
                <w:szCs w:val="18"/>
              </w:rPr>
            </w:pPr>
            <w:r>
              <w:rPr>
                <w:rFonts w:hint="eastAsia" w:ascii="宋体" w:hAnsi="宋体" w:cs="宋体"/>
                <w:sz w:val="18"/>
                <w:szCs w:val="18"/>
              </w:rPr>
              <w:t>可持续影响指标</w:t>
            </w:r>
          </w:p>
        </w:tc>
        <w:tc>
          <w:tcPr>
            <w:tcW w:w="2872" w:type="dxa"/>
            <w:tcBorders>
              <w:tl2br w:val="nil"/>
              <w:tr2bl w:val="nil"/>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指标1：</w:t>
            </w:r>
          </w:p>
          <w:p>
            <w:pPr>
              <w:widowControl/>
              <w:jc w:val="left"/>
              <w:textAlignment w:val="center"/>
              <w:rPr>
                <w:rFonts w:ascii="宋体" w:hAnsi="宋体" w:cs="宋体"/>
                <w:sz w:val="18"/>
                <w:szCs w:val="18"/>
              </w:rPr>
            </w:pPr>
            <w:r>
              <w:rPr>
                <w:rFonts w:hint="eastAsia" w:ascii="宋体" w:hAnsi="宋体" w:cs="宋体"/>
                <w:color w:val="000000"/>
                <w:kern w:val="0"/>
                <w:sz w:val="18"/>
                <w:szCs w:val="18"/>
              </w:rPr>
              <w:t>服务行业满意度</w:t>
            </w:r>
          </w:p>
        </w:tc>
        <w:tc>
          <w:tcPr>
            <w:tcW w:w="4228" w:type="dxa"/>
            <w:gridSpan w:val="2"/>
            <w:tcBorders>
              <w:tl2br w:val="nil"/>
              <w:tr2bl w:val="nil"/>
            </w:tcBorders>
            <w:vAlign w:val="bottom"/>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各行各业满意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hAnsi="宋体" w:cs="宋体"/>
                <w:sz w:val="18"/>
                <w:szCs w:val="18"/>
              </w:rPr>
            </w:pPr>
          </w:p>
        </w:tc>
        <w:tc>
          <w:tcPr>
            <w:tcW w:w="723" w:type="dxa"/>
            <w:tcBorders>
              <w:tl2br w:val="nil"/>
              <w:tr2bl w:val="nil"/>
            </w:tcBorders>
            <w:vAlign w:val="center"/>
          </w:tcPr>
          <w:p>
            <w:pPr>
              <w:widowControl/>
              <w:spacing w:line="200" w:lineRule="exact"/>
              <w:jc w:val="center"/>
              <w:rPr>
                <w:rFonts w:ascii="宋体" w:hAnsi="宋体" w:cs="宋体"/>
                <w:sz w:val="18"/>
                <w:szCs w:val="18"/>
              </w:rPr>
            </w:pPr>
            <w:r>
              <w:rPr>
                <w:rFonts w:hint="eastAsia" w:ascii="宋体" w:hAnsi="宋体" w:cs="宋体"/>
                <w:sz w:val="18"/>
                <w:szCs w:val="18"/>
              </w:rPr>
              <w:t>满意度指标</w:t>
            </w:r>
          </w:p>
        </w:tc>
        <w:tc>
          <w:tcPr>
            <w:tcW w:w="759" w:type="dxa"/>
            <w:gridSpan w:val="2"/>
            <w:tcBorders>
              <w:tl2br w:val="nil"/>
              <w:tr2bl w:val="nil"/>
            </w:tcBorders>
            <w:vAlign w:val="center"/>
          </w:tcPr>
          <w:p>
            <w:pPr>
              <w:widowControl/>
              <w:spacing w:line="200" w:lineRule="exact"/>
              <w:jc w:val="center"/>
              <w:rPr>
                <w:rFonts w:ascii="宋体" w:hAnsi="宋体" w:cs="宋体"/>
                <w:sz w:val="18"/>
                <w:szCs w:val="18"/>
              </w:rPr>
            </w:pPr>
            <w:r>
              <w:rPr>
                <w:rFonts w:hint="eastAsia" w:ascii="宋体" w:hAnsi="宋体" w:cs="宋体"/>
                <w:sz w:val="18"/>
                <w:szCs w:val="18"/>
              </w:rPr>
              <w:t>满意度指标</w:t>
            </w:r>
          </w:p>
        </w:tc>
        <w:tc>
          <w:tcPr>
            <w:tcW w:w="2872" w:type="dxa"/>
            <w:tcBorders>
              <w:tl2br w:val="nil"/>
              <w:tr2bl w:val="nil"/>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rPr>
              <w:t>指标1：各行业单位满意度</w:t>
            </w:r>
          </w:p>
        </w:tc>
        <w:tc>
          <w:tcPr>
            <w:tcW w:w="4228" w:type="dxa"/>
            <w:gridSpan w:val="2"/>
            <w:tcBorders>
              <w:tl2br w:val="nil"/>
              <w:tr2bl w:val="nil"/>
            </w:tcBorders>
            <w:vAlign w:val="center"/>
          </w:tcPr>
          <w:p>
            <w:pPr>
              <w:jc w:val="left"/>
              <w:rPr>
                <w:rFonts w:ascii="宋体" w:hAnsi="宋体" w:eastAsia="宋体" w:cs="宋体"/>
                <w:sz w:val="18"/>
                <w:szCs w:val="18"/>
              </w:rPr>
            </w:pPr>
            <w:r>
              <w:rPr>
                <w:rFonts w:hint="eastAsia" w:ascii="宋体" w:hAnsi="宋体"/>
                <w:sz w:val="18"/>
                <w:szCs w:val="18"/>
              </w:rPr>
              <w:t>≥29</w:t>
            </w:r>
          </w:p>
        </w:tc>
      </w:tr>
    </w:tbl>
    <w:p>
      <w:pPr>
        <w:adjustRightInd w:val="0"/>
        <w:snapToGrid w:val="0"/>
        <w:spacing w:line="580" w:lineRule="exact"/>
        <w:ind w:firstLine="643" w:firstLineChars="200"/>
        <w:rPr>
          <w:rFonts w:ascii="TimesNewRoman" w:hAnsi="TimesNewRoman" w:eastAsia="仿宋_GB2312" w:cs="TimesNewRoman"/>
          <w:b/>
          <w:sz w:val="32"/>
          <w:szCs w:val="32"/>
        </w:rPr>
      </w:pPr>
      <w:bookmarkStart w:id="0" w:name="_GoBack"/>
      <w:bookmarkEnd w:id="0"/>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color w:val="000000" w:themeColor="text1"/>
          <w:kern w:val="0"/>
          <w:sz w:val="32"/>
          <w:szCs w:val="32"/>
        </w:rPr>
      </w:pPr>
      <w:r>
        <w:rPr>
          <w:rFonts w:hint="eastAsia" w:ascii="TimesNewRoman" w:hAnsi="TimesNewRoman" w:eastAsia="仿宋_GB2312" w:cs="TimesNewRoman"/>
          <w:kern w:val="0"/>
          <w:sz w:val="32"/>
          <w:szCs w:val="32"/>
        </w:rPr>
        <w:t>淮北市自然资源和规划局相山分局2023年机关运行经费财政拨款预算35.68万元，比2022年预算减少3.58万元，</w:t>
      </w:r>
      <w:r>
        <w:rPr>
          <w:rFonts w:hint="eastAsia" w:ascii="TimesNewRoman" w:hAnsi="TimesNewRoman" w:eastAsia="仿宋_GB2312" w:cs="TimesNewRoman"/>
          <w:color w:val="000000" w:themeColor="text1"/>
          <w:kern w:val="0"/>
          <w:sz w:val="32"/>
          <w:szCs w:val="32"/>
        </w:rPr>
        <w:t>下降9.11%，原因主要是</w:t>
      </w:r>
      <w:r>
        <w:rPr>
          <w:rFonts w:hint="eastAsia" w:ascii="仿宋_GB2312" w:hAnsi="仿宋" w:eastAsia="仿宋_GB2312"/>
          <w:color w:val="000000" w:themeColor="text1"/>
          <w:sz w:val="32"/>
          <w:szCs w:val="32"/>
        </w:rPr>
        <w:t>人员变动</w:t>
      </w:r>
      <w:r>
        <w:rPr>
          <w:rFonts w:hint="eastAsia" w:ascii="TimesNewRoman" w:hAnsi="TimesNewRoman" w:eastAsia="仿宋_GB2312" w:cs="TimesNewRoman"/>
          <w:color w:val="000000" w:themeColor="text1"/>
          <w:kern w:val="0"/>
          <w:sz w:val="32"/>
          <w:szCs w:val="32"/>
        </w:rPr>
        <w:t>。</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淮北市自然资源和规划局相山分局2023年政府采购预算0万元。其中：政府采购货物预算0万元，政府采购工程预算0万元，政府采购服务预算0万元。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截至2022年12月31日，淮北市自然资源和规划局相山分局共有车辆2辆，其中：其他用车</w:t>
      </w:r>
      <w:r>
        <w:rPr>
          <w:rFonts w:hint="eastAsia" w:ascii="TimesNewRoman" w:hAnsi="TimesNewRoman" w:eastAsia="仿宋_GB2312" w:cs="TimesNewRoman"/>
          <w:color w:val="000000" w:themeColor="text1"/>
          <w:kern w:val="0"/>
          <w:sz w:val="32"/>
          <w:szCs w:val="32"/>
        </w:rPr>
        <w:t>2辆</w:t>
      </w:r>
      <w:r>
        <w:rPr>
          <w:rFonts w:hint="eastAsia" w:ascii="TimesNewRoman" w:hAnsi="TimesNewRoman" w:eastAsia="仿宋_GB2312" w:cs="TimesNewRoman"/>
          <w:kern w:val="0"/>
          <w:sz w:val="32"/>
          <w:szCs w:val="32"/>
        </w:rPr>
        <w:t>。单价50万元以上的通用设备0台（套），单价100万元以上专用设备0台（套）。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2023年部门（单位）预算安排购置公务用车0辆，购置费0万元，安排购置单价50万元以上的通用设备0台（套），购置费0万元；安排购置单价100万元以上专用设备0台（套），购置费0万元。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2023年，淮北市自然资源和规划局相山分局3个项目实行了绩效目标管理，涉及一般公共预算当年财政拨款0万元、政府性基金预算当年财政拨款124.22万元、财政专户管理资金当年安排0万元。</w:t>
      </w:r>
    </w:p>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57B8C"/>
    <w:rsid w:val="0007124B"/>
    <w:rsid w:val="00082D9F"/>
    <w:rsid w:val="000A3A7E"/>
    <w:rsid w:val="000B087D"/>
    <w:rsid w:val="000B14CC"/>
    <w:rsid w:val="000E12BD"/>
    <w:rsid w:val="00107830"/>
    <w:rsid w:val="00107D54"/>
    <w:rsid w:val="00111276"/>
    <w:rsid w:val="00134611"/>
    <w:rsid w:val="00147B41"/>
    <w:rsid w:val="00173D4B"/>
    <w:rsid w:val="00182068"/>
    <w:rsid w:val="00185BD1"/>
    <w:rsid w:val="001C6502"/>
    <w:rsid w:val="001D28F9"/>
    <w:rsid w:val="001D7355"/>
    <w:rsid w:val="001F07EC"/>
    <w:rsid w:val="001F3E0A"/>
    <w:rsid w:val="00221794"/>
    <w:rsid w:val="00223CB2"/>
    <w:rsid w:val="00253E18"/>
    <w:rsid w:val="00276887"/>
    <w:rsid w:val="00285645"/>
    <w:rsid w:val="0029364C"/>
    <w:rsid w:val="002D6382"/>
    <w:rsid w:val="002F16CB"/>
    <w:rsid w:val="002F76CE"/>
    <w:rsid w:val="00311D3B"/>
    <w:rsid w:val="00361F02"/>
    <w:rsid w:val="003669CF"/>
    <w:rsid w:val="003A1E60"/>
    <w:rsid w:val="003A354E"/>
    <w:rsid w:val="003B4405"/>
    <w:rsid w:val="003D0985"/>
    <w:rsid w:val="003D7C1A"/>
    <w:rsid w:val="003E0872"/>
    <w:rsid w:val="003F58BF"/>
    <w:rsid w:val="00411666"/>
    <w:rsid w:val="004221EB"/>
    <w:rsid w:val="00445AE6"/>
    <w:rsid w:val="00462FE9"/>
    <w:rsid w:val="004A63F5"/>
    <w:rsid w:val="004B15E9"/>
    <w:rsid w:val="004C4CFD"/>
    <w:rsid w:val="004E0CD2"/>
    <w:rsid w:val="004E3DE8"/>
    <w:rsid w:val="004E69C7"/>
    <w:rsid w:val="004F1ABD"/>
    <w:rsid w:val="005076EE"/>
    <w:rsid w:val="00507954"/>
    <w:rsid w:val="00544C7D"/>
    <w:rsid w:val="00552F22"/>
    <w:rsid w:val="00572453"/>
    <w:rsid w:val="005735B0"/>
    <w:rsid w:val="0057562B"/>
    <w:rsid w:val="00585700"/>
    <w:rsid w:val="005D0B77"/>
    <w:rsid w:val="005D699B"/>
    <w:rsid w:val="005F6AE0"/>
    <w:rsid w:val="0061135A"/>
    <w:rsid w:val="00625508"/>
    <w:rsid w:val="00635560"/>
    <w:rsid w:val="006546AF"/>
    <w:rsid w:val="006E344A"/>
    <w:rsid w:val="006E6FD5"/>
    <w:rsid w:val="00734A97"/>
    <w:rsid w:val="00764A04"/>
    <w:rsid w:val="00774719"/>
    <w:rsid w:val="007907E7"/>
    <w:rsid w:val="0079083E"/>
    <w:rsid w:val="007B08CD"/>
    <w:rsid w:val="00813919"/>
    <w:rsid w:val="00862A2E"/>
    <w:rsid w:val="00870A1B"/>
    <w:rsid w:val="008A4BD7"/>
    <w:rsid w:val="008C2AA0"/>
    <w:rsid w:val="008D49AD"/>
    <w:rsid w:val="008F6D1A"/>
    <w:rsid w:val="00907A67"/>
    <w:rsid w:val="00946FDD"/>
    <w:rsid w:val="00951AAB"/>
    <w:rsid w:val="009676A6"/>
    <w:rsid w:val="009679B7"/>
    <w:rsid w:val="00974CF2"/>
    <w:rsid w:val="009802DA"/>
    <w:rsid w:val="009A3CA3"/>
    <w:rsid w:val="009B7D20"/>
    <w:rsid w:val="009E0DF5"/>
    <w:rsid w:val="009F5714"/>
    <w:rsid w:val="009F7E32"/>
    <w:rsid w:val="00A13B1C"/>
    <w:rsid w:val="00A64A76"/>
    <w:rsid w:val="00A7501B"/>
    <w:rsid w:val="00AB107D"/>
    <w:rsid w:val="00AD1804"/>
    <w:rsid w:val="00AE3242"/>
    <w:rsid w:val="00B038A5"/>
    <w:rsid w:val="00B27C3B"/>
    <w:rsid w:val="00B5402D"/>
    <w:rsid w:val="00B560B2"/>
    <w:rsid w:val="00B66F1C"/>
    <w:rsid w:val="00B832C5"/>
    <w:rsid w:val="00B92EDF"/>
    <w:rsid w:val="00BA2F69"/>
    <w:rsid w:val="00BB0F52"/>
    <w:rsid w:val="00BB57A1"/>
    <w:rsid w:val="00BC4693"/>
    <w:rsid w:val="00BC7916"/>
    <w:rsid w:val="00BD5F63"/>
    <w:rsid w:val="00BE502D"/>
    <w:rsid w:val="00C025E9"/>
    <w:rsid w:val="00C06AA3"/>
    <w:rsid w:val="00C079DA"/>
    <w:rsid w:val="00C11C8F"/>
    <w:rsid w:val="00C4429C"/>
    <w:rsid w:val="00C816AB"/>
    <w:rsid w:val="00C87C1F"/>
    <w:rsid w:val="00CE1986"/>
    <w:rsid w:val="00CE244E"/>
    <w:rsid w:val="00D079B0"/>
    <w:rsid w:val="00D555E8"/>
    <w:rsid w:val="00D70EAC"/>
    <w:rsid w:val="00D82D0C"/>
    <w:rsid w:val="00D95950"/>
    <w:rsid w:val="00DA7CEB"/>
    <w:rsid w:val="00DB1462"/>
    <w:rsid w:val="00DD7855"/>
    <w:rsid w:val="00DF0351"/>
    <w:rsid w:val="00E3029B"/>
    <w:rsid w:val="00E6111D"/>
    <w:rsid w:val="00E66C26"/>
    <w:rsid w:val="00E73285"/>
    <w:rsid w:val="00E907C4"/>
    <w:rsid w:val="00E93D70"/>
    <w:rsid w:val="00EA3403"/>
    <w:rsid w:val="00EC0B06"/>
    <w:rsid w:val="00EC7755"/>
    <w:rsid w:val="00ED2C44"/>
    <w:rsid w:val="00ED5536"/>
    <w:rsid w:val="00EF633E"/>
    <w:rsid w:val="00F16017"/>
    <w:rsid w:val="00F23772"/>
    <w:rsid w:val="00F63134"/>
    <w:rsid w:val="00F915B7"/>
    <w:rsid w:val="01503E80"/>
    <w:rsid w:val="06281945"/>
    <w:rsid w:val="08D86C5E"/>
    <w:rsid w:val="0D0910B9"/>
    <w:rsid w:val="12B204AD"/>
    <w:rsid w:val="206928E4"/>
    <w:rsid w:val="244B3008"/>
    <w:rsid w:val="31DE1CAE"/>
    <w:rsid w:val="32E659CE"/>
    <w:rsid w:val="3B4439E3"/>
    <w:rsid w:val="3E7A5113"/>
    <w:rsid w:val="3E846CA0"/>
    <w:rsid w:val="3F7136EB"/>
    <w:rsid w:val="47DD1654"/>
    <w:rsid w:val="50E150BB"/>
    <w:rsid w:val="56B25CD7"/>
    <w:rsid w:val="58174F45"/>
    <w:rsid w:val="5D7E71A2"/>
    <w:rsid w:val="5D8F7305"/>
    <w:rsid w:val="5FB400AB"/>
    <w:rsid w:val="64E4747A"/>
    <w:rsid w:val="743E3B5D"/>
    <w:rsid w:val="7B777D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1627</Words>
  <Characters>9278</Characters>
  <Lines>77</Lines>
  <Paragraphs>21</Paragraphs>
  <TotalTime>16</TotalTime>
  <ScaleCrop>false</ScaleCrop>
  <LinksUpToDate>false</LinksUpToDate>
  <CharactersWithSpaces>10884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2023-02-01T07:21:00Z</dcterms:created>
  <dc:creator>lenovo</dc:creator>
  <cp:lastModifiedBy>Administrator</cp:lastModifiedBy>
  <dcterms:modified xsi:type="dcterms:W3CDTF">2024-09-23T07:42:54Z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