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17DE0">
      <w:pPr>
        <w:spacing w:line="560" w:lineRule="exact"/>
        <w:rPr>
          <w:rFonts w:ascii="TimesNewRoman" w:hAnsi="TimesNewRoman" w:eastAsia="华文中宋" w:cs="TimesNewRoman"/>
          <w:b/>
          <w:szCs w:val="32"/>
        </w:rPr>
      </w:pPr>
    </w:p>
    <w:p w14:paraId="20371D97">
      <w:pPr>
        <w:spacing w:line="560" w:lineRule="exact"/>
        <w:jc w:val="center"/>
        <w:rPr>
          <w:rFonts w:ascii="黑体" w:hAnsi="黑体" w:eastAsia="黑体" w:cs="TimesNewRoman"/>
          <w:b/>
          <w:sz w:val="36"/>
          <w:szCs w:val="36"/>
        </w:rPr>
      </w:pPr>
      <w:r>
        <w:rPr>
          <w:rFonts w:ascii="黑体" w:hAnsi="黑体" w:eastAsia="黑体" w:cs="TimesNewRoman"/>
          <w:b/>
          <w:sz w:val="36"/>
          <w:szCs w:val="36"/>
        </w:rPr>
        <w:t>相山区</w:t>
      </w:r>
      <w:r>
        <w:rPr>
          <w:rFonts w:hint="eastAsia" w:ascii="黑体" w:hAnsi="黑体" w:eastAsia="黑体" w:cs="TimesNewRoman"/>
          <w:b/>
          <w:sz w:val="36"/>
          <w:szCs w:val="36"/>
          <w:lang w:eastAsia="zh-CN"/>
        </w:rPr>
        <w:t>民政局</w:t>
      </w:r>
      <w:r>
        <w:rPr>
          <w:rFonts w:ascii="黑体" w:hAnsi="黑体" w:eastAsia="黑体" w:cs="TimesNewRoman"/>
          <w:b/>
          <w:sz w:val="36"/>
          <w:szCs w:val="36"/>
          <w:lang w:val="en"/>
        </w:rPr>
        <w:t>2025</w:t>
      </w:r>
      <w:r>
        <w:rPr>
          <w:rFonts w:ascii="黑体" w:hAnsi="黑体" w:eastAsia="黑体" w:cs="TimesNewRoman"/>
          <w:b/>
          <w:sz w:val="36"/>
          <w:szCs w:val="36"/>
        </w:rPr>
        <w:t>年一般公共</w:t>
      </w:r>
    </w:p>
    <w:p w14:paraId="0009561C">
      <w:pPr>
        <w:spacing w:line="560" w:lineRule="exact"/>
        <w:jc w:val="center"/>
        <w:outlineLvl w:val="0"/>
        <w:rPr>
          <w:rFonts w:ascii="TimesNewRoman" w:hAnsi="TimesNewRoman" w:eastAsia="楷体_GB2312" w:cs="TimesNewRoman"/>
          <w:szCs w:val="32"/>
        </w:rPr>
      </w:pPr>
      <w:r>
        <w:rPr>
          <w:rFonts w:ascii="黑体" w:hAnsi="黑体" w:eastAsia="黑体" w:cs="TimesNewRoman"/>
          <w:b/>
          <w:sz w:val="36"/>
          <w:szCs w:val="36"/>
        </w:rPr>
        <w:t>预算“三公”经费预算</w:t>
      </w:r>
    </w:p>
    <w:p w14:paraId="4D58AA1A">
      <w:pPr>
        <w:spacing w:line="560" w:lineRule="exact"/>
        <w:jc w:val="center"/>
        <w:outlineLvl w:val="0"/>
        <w:rPr>
          <w:rFonts w:ascii="TimesNewRoman" w:hAnsi="TimesNewRoman" w:eastAsia="楷体_GB2312" w:cs="TimesNewRoman"/>
          <w:szCs w:val="32"/>
        </w:rPr>
      </w:pPr>
    </w:p>
    <w:p w14:paraId="2D888792">
      <w:pPr>
        <w:spacing w:line="560" w:lineRule="exact"/>
        <w:rPr>
          <w:rFonts w:ascii="TimesNewRoman" w:hAnsi="TimesNewRoman" w:cs="TimesNewRoman"/>
          <w:sz w:val="6"/>
          <w:szCs w:val="32"/>
        </w:rPr>
      </w:pPr>
    </w:p>
    <w:p w14:paraId="2F99CDE9">
      <w:pPr>
        <w:spacing w:line="560" w:lineRule="exact"/>
        <w:ind w:firstLine="664" w:firstLineChars="200"/>
        <w:outlineLvl w:val="0"/>
        <w:rPr>
          <w:rFonts w:ascii="TimesNewRoman" w:hAnsi="TimesNewRoman" w:eastAsia="黑体" w:cs="TimesNewRoman"/>
          <w:szCs w:val="32"/>
        </w:rPr>
      </w:pPr>
      <w:r>
        <w:rPr>
          <w:rFonts w:ascii="TimesNewRoman" w:hAnsi="TimesNewRoman" w:eastAsia="黑体" w:cs="TimesNewRoman"/>
          <w:szCs w:val="32"/>
        </w:rPr>
        <w:t>一、</w:t>
      </w:r>
      <w:r>
        <w:rPr>
          <w:rFonts w:ascii="TimesNewRoman" w:hAnsi="TimesNewRoman" w:eastAsia="黑体" w:cs="TimesNewRoman"/>
          <w:szCs w:val="32"/>
          <w:lang w:val="en"/>
        </w:rPr>
        <w:t>2025</w:t>
      </w:r>
      <w:r>
        <w:rPr>
          <w:rFonts w:ascii="TimesNewRoman" w:hAnsi="TimesNewRoman" w:eastAsia="黑体" w:cs="TimesNewRoman"/>
          <w:szCs w:val="32"/>
        </w:rPr>
        <w:t>年一般公共预算“三公”经费支出预算表</w:t>
      </w:r>
    </w:p>
    <w:p w14:paraId="51D143EB">
      <w:pPr>
        <w:adjustRightInd w:val="0"/>
        <w:snapToGrid w:val="0"/>
        <w:spacing w:line="560" w:lineRule="exact"/>
        <w:rPr>
          <w:rStyle w:val="7"/>
          <w:rFonts w:ascii="TimesNewRoman" w:hAnsi="TimesNewRoman" w:cs="TimesNewRoman"/>
          <w:b w:val="0"/>
          <w:bCs w:val="0"/>
          <w:szCs w:val="21"/>
        </w:rPr>
      </w:pPr>
      <w:r>
        <w:rPr>
          <w:rStyle w:val="7"/>
          <w:rFonts w:ascii="TimesNewRoman" w:hAnsi="TimesNewRoman" w:cs="TimesNewRoman"/>
          <w:b w:val="0"/>
          <w:bCs w:val="0"/>
          <w:szCs w:val="21"/>
        </w:rPr>
        <w:t xml:space="preserve">   </w:t>
      </w:r>
    </w:p>
    <w:p w14:paraId="359F7207">
      <w:pPr>
        <w:wordWrap w:val="0"/>
        <w:adjustRightInd w:val="0"/>
        <w:snapToGrid w:val="0"/>
        <w:spacing w:line="560" w:lineRule="exact"/>
        <w:ind w:firstLine="650" w:firstLineChars="196"/>
        <w:jc w:val="right"/>
        <w:rPr>
          <w:rStyle w:val="7"/>
          <w:rFonts w:ascii="TimesNewRoman" w:hAnsi="TimesNewRoman" w:cs="TimesNewRoman"/>
          <w:b w:val="0"/>
          <w:bCs w:val="0"/>
          <w:sz w:val="28"/>
          <w:szCs w:val="28"/>
        </w:rPr>
      </w:pPr>
      <w:r>
        <w:rPr>
          <w:rStyle w:val="7"/>
          <w:rFonts w:ascii="TimesNewRoman" w:hAnsi="TimesNewRoman" w:cs="TimesNewRoman"/>
          <w:b w:val="0"/>
          <w:bCs w:val="0"/>
          <w:szCs w:val="21"/>
        </w:rPr>
        <w:t xml:space="preserve">      </w:t>
      </w:r>
      <w:r>
        <w:rPr>
          <w:rStyle w:val="7"/>
          <w:rFonts w:ascii="TimesNewRoman" w:hAnsi="TimesNewRoman" w:cs="TimesNewRoman"/>
          <w:b w:val="0"/>
          <w:bCs w:val="0"/>
          <w:sz w:val="28"/>
          <w:szCs w:val="28"/>
        </w:rPr>
        <w:t>单位：万元</w:t>
      </w:r>
    </w:p>
    <w:tbl>
      <w:tblPr>
        <w:tblStyle w:val="5"/>
        <w:tblW w:w="892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850"/>
        <w:gridCol w:w="1080"/>
        <w:gridCol w:w="1730"/>
        <w:gridCol w:w="1810"/>
        <w:gridCol w:w="1106"/>
      </w:tblGrid>
      <w:tr w14:paraId="2E6F9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4BD58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“三公”经费合计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9A7ED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因公出国（境）费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08529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公务用车购置及运行费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DD684E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</w:t>
            </w:r>
          </w:p>
          <w:p w14:paraId="63208BF0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接待费</w:t>
            </w:r>
          </w:p>
        </w:tc>
      </w:tr>
      <w:tr w14:paraId="18699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11E21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6D8B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9332A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小计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0FA9B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公务用车购置费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B87B3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公务用车运行费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543890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</w:tr>
      <w:tr w14:paraId="34955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2526B">
            <w:pPr>
              <w:widowControl/>
              <w:spacing w:line="560" w:lineRule="exact"/>
              <w:ind w:firstLine="348" w:firstLineChars="150"/>
              <w:jc w:val="left"/>
              <w:rPr>
                <w:rFonts w:hint="default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9080C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A0192">
            <w:pPr>
              <w:widowControl/>
              <w:spacing w:line="560" w:lineRule="exact"/>
              <w:jc w:val="center"/>
              <w:rPr>
                <w:rFonts w:hint="default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2399B">
            <w:pPr>
              <w:widowControl/>
              <w:spacing w:line="560" w:lineRule="exact"/>
              <w:ind w:firstLine="116" w:firstLineChars="50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9E15F">
            <w:pPr>
              <w:widowControl/>
              <w:spacing w:line="560" w:lineRule="exact"/>
              <w:ind w:firstLine="116" w:firstLineChars="50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DCA57">
            <w:pPr>
              <w:widowControl/>
              <w:spacing w:line="560" w:lineRule="exact"/>
              <w:rPr>
                <w:rFonts w:hint="default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0.5</w:t>
            </w:r>
          </w:p>
        </w:tc>
      </w:tr>
    </w:tbl>
    <w:p w14:paraId="7D2F4C34">
      <w:pPr>
        <w:spacing w:line="560" w:lineRule="exact"/>
        <w:outlineLvl w:val="0"/>
        <w:rPr>
          <w:rFonts w:ascii="TimesNewRoman" w:hAnsi="TimesNewRoman" w:eastAsia="黑体" w:cs="TimesNewRoman"/>
          <w:szCs w:val="32"/>
        </w:rPr>
      </w:pPr>
    </w:p>
    <w:p w14:paraId="17D8AC79">
      <w:pPr>
        <w:spacing w:line="560" w:lineRule="exact"/>
        <w:ind w:firstLine="664" w:firstLineChars="200"/>
        <w:outlineLvl w:val="0"/>
        <w:rPr>
          <w:rFonts w:ascii="TimesNewRoman" w:hAnsi="TimesNewRoman" w:eastAsia="黑体" w:cs="TimesNewRoman"/>
          <w:spacing w:val="-6"/>
          <w:szCs w:val="32"/>
        </w:rPr>
      </w:pPr>
      <w:r>
        <w:rPr>
          <w:rFonts w:ascii="TimesNewRoman" w:hAnsi="TimesNewRoman" w:eastAsia="黑体" w:cs="TimesNewRoman"/>
          <w:szCs w:val="32"/>
        </w:rPr>
        <w:t>二、</w:t>
      </w:r>
      <w:r>
        <w:rPr>
          <w:rFonts w:ascii="TimesNewRoman" w:hAnsi="TimesNewRoman" w:eastAsia="黑体" w:cs="TimesNewRoman"/>
          <w:spacing w:val="-6"/>
          <w:szCs w:val="32"/>
          <w:lang w:val="en"/>
        </w:rPr>
        <w:t>2025</w:t>
      </w:r>
      <w:r>
        <w:rPr>
          <w:rFonts w:ascii="TimesNewRoman" w:hAnsi="TimesNewRoman" w:eastAsia="黑体" w:cs="TimesNewRoman"/>
          <w:spacing w:val="-6"/>
          <w:szCs w:val="32"/>
        </w:rPr>
        <w:t>年一般公共预算“三公”经费支出预算情况说明</w:t>
      </w:r>
    </w:p>
    <w:p w14:paraId="22D5845E">
      <w:pPr>
        <w:adjustRightInd w:val="0"/>
        <w:snapToGrid w:val="0"/>
        <w:spacing w:line="560" w:lineRule="exact"/>
        <w:ind w:firstLine="664" w:firstLineChars="200"/>
        <w:rPr>
          <w:rFonts w:ascii="TimesNewRoman" w:hAnsi="TimesNewRoman" w:cs="TimesNewRoman"/>
          <w:szCs w:val="32"/>
        </w:rPr>
      </w:pPr>
      <w:r>
        <w:rPr>
          <w:rFonts w:ascii="TimesNewRoman" w:hAnsi="TimesNewRoman" w:cs="TimesNewRoman"/>
          <w:szCs w:val="32"/>
        </w:rPr>
        <w:t>相山区</w:t>
      </w:r>
      <w:r>
        <w:rPr>
          <w:rFonts w:hint="eastAsia" w:ascii="TimesNewRoman" w:hAnsi="TimesNewRoman" w:cs="TimesNewRoman"/>
          <w:szCs w:val="32"/>
          <w:lang w:eastAsia="zh-CN"/>
        </w:rPr>
        <w:t>民政局</w:t>
      </w:r>
      <w:r>
        <w:rPr>
          <w:rFonts w:ascii="TimesNewRoman" w:hAnsi="TimesNewRoman" w:cs="TimesNewRoman"/>
          <w:szCs w:val="32"/>
          <w:lang w:val="en"/>
        </w:rPr>
        <w:t>2025</w:t>
      </w:r>
      <w:r>
        <w:rPr>
          <w:rFonts w:ascii="TimesNewRoman" w:hAnsi="TimesNewRoman" w:cs="TimesNewRoman"/>
          <w:szCs w:val="32"/>
        </w:rPr>
        <w:t>年一般公共预算“三公”经费支出预算为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0.5</w:t>
      </w:r>
      <w:r>
        <w:rPr>
          <w:rFonts w:ascii="TimesNewRoman" w:hAnsi="TimesNewRoman" w:cs="TimesNewRoman"/>
          <w:szCs w:val="32"/>
        </w:rPr>
        <w:t>万元，</w:t>
      </w:r>
      <w:r>
        <w:rPr>
          <w:rFonts w:hint="eastAsia" w:ascii="TimesNewRoman" w:hAnsi="TimesNewRoman" w:cs="TimesNewRoman"/>
          <w:szCs w:val="32"/>
          <w:lang w:eastAsia="zh-CN"/>
        </w:rPr>
        <w:t>与</w:t>
      </w:r>
      <w:r>
        <w:rPr>
          <w:rFonts w:hint="eastAsia" w:ascii="TimesNewRoman" w:hAnsi="TimesNewRoman" w:cs="TimesNewRoman"/>
          <w:szCs w:val="32"/>
        </w:rPr>
        <w:t>202</w:t>
      </w:r>
      <w:r>
        <w:rPr>
          <w:rFonts w:hint="eastAsia" w:ascii="TimesNewRoman" w:hAnsi="TimesNewRoman" w:cs="TimesNewRoman"/>
          <w:szCs w:val="32"/>
          <w:lang w:val="en-US" w:eastAsia="zh-CN"/>
        </w:rPr>
        <w:t>4</w:t>
      </w:r>
      <w:r>
        <w:rPr>
          <w:rFonts w:ascii="TimesNewRoman" w:hAnsi="TimesNewRoman" w:cs="TimesNewRoman"/>
          <w:szCs w:val="32"/>
        </w:rPr>
        <w:t>年预算</w:t>
      </w:r>
      <w:r>
        <w:rPr>
          <w:rFonts w:hint="eastAsia" w:ascii="TimesNewRoman" w:hAnsi="TimesNewRoman" w:cs="TimesNewRoman"/>
          <w:szCs w:val="32"/>
          <w:lang w:eastAsia="zh-CN"/>
        </w:rPr>
        <w:t>相比持平。</w:t>
      </w:r>
      <w:r>
        <w:rPr>
          <w:rFonts w:ascii="TimesNewRoman" w:hAnsi="TimesNewRoman" w:cs="TimesNewRoman"/>
          <w:szCs w:val="32"/>
        </w:rPr>
        <w:t>其中：因公出国（境）费支出预算为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0</w:t>
      </w:r>
      <w:r>
        <w:rPr>
          <w:rFonts w:ascii="TimesNewRoman" w:hAnsi="TimesNewRoman" w:cs="TimesNewRoman"/>
          <w:szCs w:val="32"/>
        </w:rPr>
        <w:t>万元，公务接待费支出预算为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0.5</w:t>
      </w:r>
      <w:r>
        <w:rPr>
          <w:rFonts w:ascii="TimesNewRoman" w:hAnsi="TimesNewRoman" w:cs="TimesNewRoman"/>
          <w:szCs w:val="32"/>
        </w:rPr>
        <w:t>万元，公务用车购置及运行费支出预算为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0</w:t>
      </w:r>
      <w:r>
        <w:rPr>
          <w:rFonts w:ascii="TimesNewRoman" w:hAnsi="TimesNewRoman" w:cs="TimesNewRoman"/>
          <w:szCs w:val="32"/>
        </w:rPr>
        <w:t>万元。具体情况如下：</w:t>
      </w:r>
    </w:p>
    <w:p w14:paraId="2762B94B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ascii="TimesNewRoman" w:hAnsi="TimesNewRoman" w:eastAsia="仿宋_GB2312" w:cs="TimesNewRoman"/>
          <w:b/>
          <w:sz w:val="32"/>
          <w:szCs w:val="32"/>
        </w:rPr>
        <w:t>（一）因公出国（境）费</w:t>
      </w:r>
      <w:r>
        <w:rPr>
          <w:rFonts w:ascii="TimesNewRoman" w:hAnsi="TimesNewRoman" w:eastAsia="仿宋_GB2312" w:cs="TimesNewRoman"/>
          <w:sz w:val="32"/>
          <w:szCs w:val="32"/>
        </w:rPr>
        <w:t>支出预算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 xml:space="preserve">万元, 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与</w:t>
      </w:r>
      <w:r>
        <w:rPr>
          <w:rFonts w:hint="default" w:ascii="TimesNewRoman" w:hAnsi="TimesNewRoman" w:eastAsia="仿宋_GB2312" w:cs="TimesNewRoman"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4</w:t>
      </w:r>
      <w:r>
        <w:rPr>
          <w:rFonts w:hint="default" w:ascii="TimesNewRoman" w:hAnsi="TimesNewRoman" w:eastAsia="仿宋_GB2312" w:cs="TimesNewRoman"/>
          <w:sz w:val="32"/>
          <w:szCs w:val="32"/>
        </w:rPr>
        <w:t>年预算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持平，无变化。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因本单位无出国（境）事宜。</w:t>
      </w:r>
    </w:p>
    <w:p w14:paraId="780729F5">
      <w:pPr>
        <w:pStyle w:val="4"/>
        <w:adjustRightInd w:val="0"/>
        <w:snapToGrid w:val="0"/>
        <w:spacing w:line="560" w:lineRule="exact"/>
        <w:ind w:firstLine="664" w:firstLineChars="200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ascii="TimesNewRoman" w:hAnsi="TimesNewRoman" w:eastAsia="仿宋_GB2312" w:cs="TimesNewRoman"/>
          <w:b/>
          <w:sz w:val="32"/>
          <w:szCs w:val="32"/>
        </w:rPr>
        <w:t>（二）公务用车购置及运行费</w:t>
      </w:r>
      <w:r>
        <w:rPr>
          <w:rFonts w:ascii="TimesNewRoman" w:hAnsi="TimesNewRoman" w:eastAsia="仿宋_GB2312" w:cs="TimesNewRoman"/>
          <w:sz w:val="32"/>
          <w:szCs w:val="32"/>
        </w:rPr>
        <w:t>支出预算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与</w:t>
      </w:r>
      <w:r>
        <w:rPr>
          <w:rFonts w:hint="default" w:ascii="TimesNewRoman" w:hAnsi="TimesNewRoman" w:eastAsia="仿宋_GB2312" w:cs="TimesNewRoman"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4</w:t>
      </w:r>
      <w:r>
        <w:rPr>
          <w:rFonts w:hint="default" w:ascii="TimesNewRoman" w:hAnsi="TimesNewRoman" w:eastAsia="仿宋_GB2312" w:cs="TimesNewRoman"/>
          <w:sz w:val="32"/>
          <w:szCs w:val="32"/>
        </w:rPr>
        <w:t>年预算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持平，无变化。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因本单位无公务用车。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br w:type="textWrapping"/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 xml:space="preserve">    </w:t>
      </w:r>
      <w:r>
        <w:rPr>
          <w:rFonts w:ascii="TimesNewRoman" w:hAnsi="TimesNewRoman" w:eastAsia="仿宋_GB2312" w:cs="TimesNewRoman"/>
          <w:b/>
          <w:sz w:val="32"/>
          <w:szCs w:val="32"/>
        </w:rPr>
        <w:t>（三）公务接待费</w:t>
      </w:r>
      <w:r>
        <w:rPr>
          <w:rFonts w:ascii="TimesNewRoman" w:hAnsi="TimesNewRoman" w:eastAsia="仿宋_GB2312" w:cs="TimesNewRoman"/>
          <w:sz w:val="32"/>
          <w:szCs w:val="32"/>
        </w:rPr>
        <w:t>支出预算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0.5</w:t>
      </w:r>
      <w:r>
        <w:rPr>
          <w:rFonts w:ascii="TimesNewRoman" w:hAnsi="TimesNewRoman" w:eastAsia="仿宋_GB2312" w:cs="TimesNewRoman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与</w:t>
      </w:r>
      <w:r>
        <w:rPr>
          <w:rFonts w:hint="default" w:ascii="TimesNewRoman" w:hAnsi="TimesNewRoman" w:eastAsia="仿宋_GB2312" w:cs="TimesNewRoman"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4</w:t>
      </w:r>
      <w:r>
        <w:rPr>
          <w:rFonts w:hint="default" w:ascii="TimesNewRoman" w:hAnsi="TimesNewRoman" w:eastAsia="仿宋_GB2312" w:cs="TimesNewRoman"/>
          <w:sz w:val="32"/>
          <w:szCs w:val="32"/>
        </w:rPr>
        <w:t>年预算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持平，无变化。</w:t>
      </w:r>
      <w:r>
        <w:rPr>
          <w:rFonts w:ascii="TimesNewRoman" w:hAnsi="TimesNewRoman" w:eastAsia="仿宋_GB2312" w:cs="TimesNewRoman"/>
          <w:sz w:val="32"/>
          <w:szCs w:val="32"/>
        </w:rPr>
        <w:t>该项经费主要用于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公务接待。</w:t>
      </w:r>
      <w:r>
        <w:rPr>
          <w:rFonts w:ascii="TimesNewRoman" w:hAnsi="TimesNewRoman" w:eastAsia="仿宋_GB2312" w:cs="TimesNewRoman"/>
          <w:sz w:val="32"/>
          <w:szCs w:val="32"/>
        </w:rPr>
        <w:t>经费使用严格执行《党政机关厉行节约反对浪费条例》、《</w:t>
      </w:r>
      <w:r>
        <w:rPr>
          <w:rFonts w:hint="eastAsia" w:ascii="TimesNewRoman" w:hAnsi="TimesNewRoman" w:eastAsia="仿宋_GB2312" w:cs="TimesNewRoman"/>
          <w:sz w:val="32"/>
          <w:szCs w:val="32"/>
        </w:rPr>
        <w:t>安徽省省</w:t>
      </w:r>
      <w:r>
        <w:rPr>
          <w:rFonts w:ascii="TimesNewRoman" w:hAnsi="TimesNewRoman" w:eastAsia="仿宋_GB2312" w:cs="TimesNewRoman"/>
          <w:sz w:val="32"/>
          <w:szCs w:val="32"/>
        </w:rPr>
        <w:t>直机关公务接待管理暂行办法》（财行〔2014〕2066号）、《</w:t>
      </w:r>
      <w:r>
        <w:rPr>
          <w:rFonts w:hint="eastAsia" w:ascii="TimesNewRoman" w:hAnsi="TimesNewRoman" w:eastAsia="仿宋_GB2312" w:cs="TimesNewRoman"/>
          <w:sz w:val="32"/>
          <w:szCs w:val="32"/>
        </w:rPr>
        <w:t>安徽省</w:t>
      </w:r>
      <w:r>
        <w:rPr>
          <w:rFonts w:ascii="TimesNewRoman" w:hAnsi="TimesNewRoman" w:eastAsia="仿宋_GB2312" w:cs="TimesNewRoman"/>
          <w:sz w:val="32"/>
          <w:szCs w:val="32"/>
        </w:rPr>
        <w:t>财政厅关于调整</w:t>
      </w:r>
      <w:r>
        <w:rPr>
          <w:rFonts w:hint="eastAsia" w:ascii="TimesNewRoman" w:hAnsi="TimesNewRoman" w:eastAsia="仿宋_GB2312" w:cs="TimesNewRoman"/>
          <w:sz w:val="32"/>
          <w:szCs w:val="32"/>
        </w:rPr>
        <w:t>省</w:t>
      </w:r>
      <w:r>
        <w:rPr>
          <w:rFonts w:ascii="TimesNewRoman" w:hAnsi="TimesNewRoman" w:eastAsia="仿宋_GB2312" w:cs="TimesNewRoman"/>
          <w:sz w:val="32"/>
          <w:szCs w:val="32"/>
        </w:rPr>
        <w:t>直机关公务接待费用餐标准的通知》（财行〔2018〕1096号）等相关规定。</w:t>
      </w:r>
    </w:p>
    <w:p w14:paraId="2B68DB58">
      <w:pPr>
        <w:spacing w:line="560" w:lineRule="exact"/>
        <w:rPr>
          <w:rFonts w:ascii="TimesNewRoman" w:hAnsi="TimesNewRoman" w:eastAsia="黑体" w:cs="TimesNewRoman"/>
          <w:szCs w:val="32"/>
        </w:rPr>
      </w:pPr>
    </w:p>
    <w:p w14:paraId="420F92AF">
      <w:pPr>
        <w:spacing w:line="560" w:lineRule="exact"/>
        <w:rPr>
          <w:rFonts w:ascii="TimesNewRoman" w:hAnsi="TimesNewRoman" w:eastAsia="黑体" w:cs="TimesNewRoman"/>
          <w:szCs w:val="32"/>
        </w:rPr>
      </w:pPr>
    </w:p>
    <w:p w14:paraId="1CA4102E">
      <w:pPr>
        <w:spacing w:line="560" w:lineRule="exact"/>
        <w:rPr>
          <w:rFonts w:ascii="TimesNewRoman" w:hAnsi="TimesNewRoman" w:eastAsia="黑体" w:cs="TimesNewRoman"/>
          <w:szCs w:val="32"/>
        </w:rPr>
      </w:pPr>
    </w:p>
    <w:p w14:paraId="088BA612">
      <w:pPr>
        <w:spacing w:line="560" w:lineRule="exact"/>
        <w:rPr>
          <w:rFonts w:ascii="TimesNewRoman" w:hAnsi="TimesNewRoman" w:eastAsia="黑体" w:cs="TimesNewRoman"/>
          <w:szCs w:val="32"/>
        </w:rPr>
      </w:pPr>
    </w:p>
    <w:p w14:paraId="33E83FF4">
      <w:pPr>
        <w:spacing w:line="560" w:lineRule="exact"/>
        <w:rPr>
          <w:rFonts w:ascii="TimesNewRoman" w:hAnsi="TimesNewRoman" w:eastAsia="黑体" w:cs="TimesNewRoman"/>
          <w:szCs w:val="32"/>
        </w:rPr>
      </w:pPr>
    </w:p>
    <w:p w14:paraId="2EB6A4D1">
      <w:pPr>
        <w:spacing w:line="560" w:lineRule="exact"/>
        <w:rPr>
          <w:rFonts w:ascii="TimesNewRoman" w:hAnsi="TimesNewRoman" w:eastAsia="黑体" w:cs="TimesNewRoman"/>
          <w:szCs w:val="32"/>
        </w:rPr>
      </w:pPr>
    </w:p>
    <w:p w14:paraId="2E6B9598">
      <w:pPr>
        <w:spacing w:line="560" w:lineRule="exact"/>
        <w:rPr>
          <w:rFonts w:ascii="TimesNewRoman" w:hAnsi="TimesNewRoman" w:eastAsia="黑体" w:cs="TimesNewRoman"/>
          <w:szCs w:val="32"/>
        </w:rPr>
      </w:pPr>
    </w:p>
    <w:p w14:paraId="05A7CCFD">
      <w:pPr>
        <w:spacing w:line="560" w:lineRule="exact"/>
        <w:rPr>
          <w:rFonts w:ascii="TimesNewRoman" w:hAnsi="TimesNewRoman" w:eastAsia="黑体" w:cs="TimesNewRoman"/>
          <w:szCs w:val="32"/>
        </w:rPr>
      </w:pPr>
    </w:p>
    <w:p w14:paraId="5AB8C54E">
      <w:pPr>
        <w:spacing w:line="560" w:lineRule="exact"/>
        <w:rPr>
          <w:rFonts w:ascii="TimesNewRoman" w:hAnsi="TimesNewRoman" w:eastAsia="黑体" w:cs="TimesNewRoman"/>
          <w:szCs w:val="32"/>
        </w:rPr>
      </w:pPr>
    </w:p>
    <w:p w14:paraId="79B8DE91">
      <w:pPr>
        <w:spacing w:line="560" w:lineRule="exact"/>
        <w:rPr>
          <w:rFonts w:ascii="TimesNewRoman" w:hAnsi="TimesNewRoman" w:eastAsia="黑体" w:cs="TimesNewRoman"/>
          <w:szCs w:val="32"/>
        </w:rPr>
      </w:pPr>
    </w:p>
    <w:p w14:paraId="328CC692">
      <w:pPr>
        <w:spacing w:line="560" w:lineRule="exact"/>
        <w:rPr>
          <w:rFonts w:ascii="TimesNewRoman" w:hAnsi="TimesNewRoman" w:eastAsia="黑体" w:cs="TimesNewRoman"/>
          <w:szCs w:val="32"/>
        </w:rPr>
      </w:pPr>
    </w:p>
    <w:p w14:paraId="72625DA6">
      <w:pPr>
        <w:spacing w:line="560" w:lineRule="exact"/>
        <w:rPr>
          <w:rFonts w:ascii="TimesNewRoman" w:hAnsi="TimesNewRoman" w:eastAsia="黑体" w:cs="TimesNewRoman"/>
          <w:szCs w:val="32"/>
        </w:rPr>
      </w:pPr>
    </w:p>
    <w:p w14:paraId="1EA5A3D7">
      <w:pPr>
        <w:spacing w:line="560" w:lineRule="exact"/>
        <w:rPr>
          <w:rFonts w:ascii="TimesNewRoman" w:hAnsi="TimesNewRoman" w:eastAsia="黑体" w:cs="TimesNewRoman"/>
          <w:szCs w:val="32"/>
        </w:rPr>
      </w:pPr>
    </w:p>
    <w:p w14:paraId="78C9272A">
      <w:pPr>
        <w:spacing w:line="560" w:lineRule="exact"/>
        <w:rPr>
          <w:rFonts w:ascii="TimesNewRoman" w:hAnsi="TimesNewRoman" w:eastAsia="黑体" w:cs="TimesNewRoman"/>
          <w:szCs w:val="32"/>
        </w:rPr>
      </w:pPr>
    </w:p>
    <w:p w14:paraId="194374A1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5B2798D5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54270F09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28E49CFE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476720C1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NumType w:fmt="numberInDash"/>
      <w:cols w:space="720" w:num="1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">
    <w:altName w:val="Arial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D2140">
    <w:pPr>
      <w:pStyle w:val="3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991BC">
                          <w:pPr>
                            <w:pStyle w:val="3"/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t>- 21 -</w: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A991BC">
                    <w:pPr>
                      <w:pStyle w:val="3"/>
                      <w:rPr>
                        <w:rFonts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t>- 21 -</w: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59621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4FFE3C50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04"/>
    <w:rsid w:val="0093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rFonts w:eastAsia="宋体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2025-02-24T06:11:00Z</dcterms:created>
  <dc:creator>Administrator</dc:creator>
  <cp:lastModifiedBy>Administrator</cp:lastModifiedBy>
  <dcterms:modified xsi:type="dcterms:W3CDTF">2025-02-24T06:18:36Z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3974FE5553AE4AAB88BDCC76C416689A_11</vt:lpwstr>
  </property>
  <property fmtid="{D5CDD505-2E9C-101B-9397-08002B2CF9AE}" pid="4" name="KSOTemplateDocerSaveRecord">
    <vt:lpwstr>eyJoZGlkIjoiMTNjNmYyM2NkZGRkZjMxODIyOTA1NWFjZGZhNzllMzIifQ==</vt:lpwstr>
  </property>
</Properties>
</file>