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560" w:lineRule="exact"/>
        <w:ind w:left="0" w:right="0"/>
        <w:jc w:val="both"/>
        <w:rPr>
          <w:rFonts w:hint="default" w:ascii="Times New Roman" w:hAnsi="宋体" w:eastAsia="黑体" w:cs="Times New Roman"/>
          <w:sz w:val="32"/>
          <w:szCs w:val="32"/>
          <w:lang w:val="en-US"/>
        </w:rPr>
      </w:pPr>
      <w:r>
        <w:rPr>
          <w:rFonts w:hint="eastAsia" w:ascii="Times New Roman" w:hAnsi="宋体" w:eastAsia="黑体" w:cs="黑体"/>
          <w:kern w:val="2"/>
          <w:sz w:val="32"/>
          <w:szCs w:val="32"/>
          <w:lang w:val="en-US" w:eastAsia="zh-CN" w:bidi="ar"/>
        </w:rPr>
        <w:t>附件</w:t>
      </w:r>
      <w:r>
        <w:rPr>
          <w:rFonts w:hint="default" w:ascii="Times New Roman" w:hAnsi="宋体" w:eastAsia="黑体" w:cs="Times New Roman"/>
          <w:kern w:val="2"/>
          <w:sz w:val="32"/>
          <w:szCs w:val="32"/>
          <w:lang w:val="en-US" w:eastAsia="zh-CN" w:bidi="ar"/>
        </w:rPr>
        <w:t>1</w:t>
      </w: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keepNext w:val="0"/>
        <w:keepLines w:val="0"/>
        <w:widowControl w:val="0"/>
        <w:suppressLineNumbers w:val="0"/>
        <w:spacing w:before="0" w:beforeAutospacing="0" w:after="0" w:afterAutospacing="0"/>
        <w:ind w:left="0" w:right="0"/>
        <w:jc w:val="center"/>
        <w:rPr>
          <w:rFonts w:ascii="华文中宋" w:hAnsi="华文中宋" w:eastAsia="华文中宋" w:cs="华文中宋"/>
          <w:b/>
          <w:sz w:val="44"/>
          <w:szCs w:val="44"/>
        </w:rPr>
      </w:pPr>
      <w:r>
        <w:rPr>
          <w:rFonts w:hint="eastAsia" w:ascii="华文中宋" w:hAnsi="华文中宋" w:eastAsia="华文中宋" w:cs="华文中宋"/>
          <w:b/>
          <w:sz w:val="44"/>
          <w:szCs w:val="44"/>
          <w:lang w:eastAsia="zh-CN"/>
        </w:rPr>
        <w:t>相山区民政局2022</w:t>
      </w:r>
      <w:r>
        <w:rPr>
          <w:rFonts w:hint="eastAsia" w:ascii="华文中宋" w:hAnsi="华文中宋" w:eastAsia="华文中宋" w:cs="华文中宋"/>
          <w:b/>
          <w:sz w:val="44"/>
          <w:szCs w:val="44"/>
        </w:rPr>
        <w:t>年部门预算</w:t>
      </w:r>
    </w:p>
    <w:p>
      <w:pPr>
        <w:pStyle w:val="5"/>
        <w:adjustRightInd w:val="0"/>
        <w:snapToGrid w:val="0"/>
        <w:spacing w:before="0" w:beforeAutospacing="0" w:after="0" w:afterAutospacing="0" w:line="360" w:lineRule="auto"/>
        <w:jc w:val="center"/>
        <w:rPr>
          <w:rFonts w:ascii="黑体" w:hAnsi="黑体" w:eastAsia="黑体"/>
          <w:bCs/>
          <w:sz w:val="36"/>
          <w:szCs w:val="36"/>
        </w:rPr>
      </w:pPr>
    </w:p>
    <w:p>
      <w:pPr>
        <w:pStyle w:val="5"/>
        <w:adjustRightInd w:val="0"/>
        <w:snapToGrid w:val="0"/>
        <w:spacing w:before="0" w:beforeAutospacing="0" w:after="0" w:afterAutospacing="0" w:line="360" w:lineRule="auto"/>
        <w:jc w:val="center"/>
        <w:rPr>
          <w:rFonts w:ascii="黑体" w:hAnsi="黑体" w:eastAsia="黑体"/>
          <w:bCs/>
          <w:sz w:val="36"/>
          <w:szCs w:val="36"/>
        </w:rPr>
      </w:pPr>
    </w:p>
    <w:p>
      <w:pPr>
        <w:pStyle w:val="5"/>
        <w:adjustRightInd w:val="0"/>
        <w:snapToGrid w:val="0"/>
        <w:spacing w:before="0" w:beforeAutospacing="0" w:after="0" w:afterAutospacing="0" w:line="360" w:lineRule="auto"/>
        <w:jc w:val="center"/>
        <w:rPr>
          <w:rFonts w:ascii="黑体" w:hAnsi="黑体" w:eastAsia="黑体"/>
          <w:bCs/>
          <w:sz w:val="36"/>
          <w:szCs w:val="36"/>
        </w:rPr>
      </w:pPr>
    </w:p>
    <w:p>
      <w:pPr>
        <w:pStyle w:val="5"/>
        <w:adjustRightInd w:val="0"/>
        <w:snapToGrid w:val="0"/>
        <w:spacing w:before="0" w:beforeAutospacing="0" w:after="0" w:afterAutospacing="0" w:line="360" w:lineRule="auto"/>
        <w:jc w:val="center"/>
        <w:rPr>
          <w:rFonts w:ascii="黑体" w:hAnsi="黑体" w:eastAsia="黑体"/>
          <w:bCs/>
          <w:sz w:val="36"/>
          <w:szCs w:val="36"/>
        </w:rPr>
      </w:pPr>
    </w:p>
    <w:p>
      <w:pPr>
        <w:pStyle w:val="5"/>
        <w:adjustRightInd w:val="0"/>
        <w:snapToGrid w:val="0"/>
        <w:spacing w:before="0" w:beforeAutospacing="0" w:after="0" w:afterAutospacing="0" w:line="360" w:lineRule="auto"/>
        <w:jc w:val="center"/>
        <w:rPr>
          <w:rFonts w:ascii="黑体" w:hAnsi="黑体" w:eastAsia="黑体"/>
          <w:bCs/>
          <w:sz w:val="36"/>
          <w:szCs w:val="36"/>
        </w:rPr>
      </w:pPr>
    </w:p>
    <w:p>
      <w:pPr>
        <w:pStyle w:val="5"/>
        <w:adjustRightInd w:val="0"/>
        <w:snapToGrid w:val="0"/>
        <w:spacing w:before="0" w:beforeAutospacing="0" w:after="0" w:afterAutospacing="0" w:line="360" w:lineRule="auto"/>
        <w:jc w:val="center"/>
        <w:rPr>
          <w:rFonts w:ascii="黑体" w:hAnsi="黑体" w:eastAsia="黑体"/>
          <w:bCs/>
          <w:sz w:val="36"/>
          <w:szCs w:val="36"/>
        </w:rPr>
      </w:pPr>
    </w:p>
    <w:p>
      <w:pPr>
        <w:pStyle w:val="5"/>
        <w:adjustRightInd w:val="0"/>
        <w:snapToGrid w:val="0"/>
        <w:spacing w:before="0" w:beforeAutospacing="0" w:after="0" w:afterAutospacing="0" w:line="360" w:lineRule="auto"/>
        <w:jc w:val="center"/>
        <w:rPr>
          <w:rFonts w:ascii="黑体" w:hAnsi="黑体" w:eastAsia="黑体"/>
          <w:bCs/>
          <w:sz w:val="36"/>
          <w:szCs w:val="36"/>
        </w:rPr>
      </w:pPr>
    </w:p>
    <w:p>
      <w:pPr>
        <w:pStyle w:val="5"/>
        <w:adjustRightInd w:val="0"/>
        <w:snapToGrid w:val="0"/>
        <w:spacing w:before="0" w:beforeAutospacing="0" w:after="0" w:afterAutospacing="0" w:line="360" w:lineRule="auto"/>
        <w:jc w:val="center"/>
        <w:rPr>
          <w:rFonts w:ascii="黑体" w:hAnsi="黑体" w:eastAsia="黑体"/>
          <w:bCs/>
          <w:sz w:val="36"/>
          <w:szCs w:val="36"/>
        </w:rPr>
      </w:pPr>
    </w:p>
    <w:p>
      <w:pPr>
        <w:pStyle w:val="5"/>
        <w:adjustRightInd w:val="0"/>
        <w:snapToGrid w:val="0"/>
        <w:spacing w:before="0" w:beforeAutospacing="0" w:after="0" w:afterAutospacing="0" w:line="360" w:lineRule="auto"/>
        <w:jc w:val="center"/>
        <w:rPr>
          <w:rFonts w:ascii="黑体" w:hAnsi="黑体" w:eastAsia="黑体"/>
          <w:bCs/>
          <w:sz w:val="44"/>
          <w:szCs w:val="44"/>
        </w:rPr>
      </w:pPr>
      <w:r>
        <w:rPr>
          <w:rFonts w:hint="eastAsia" w:ascii="黑体" w:hAnsi="黑体" w:eastAsia="黑体"/>
          <w:bCs/>
          <w:sz w:val="44"/>
          <w:szCs w:val="44"/>
          <w:lang w:eastAsia="zh-CN"/>
        </w:rPr>
        <w:t>2022</w:t>
      </w:r>
      <w:r>
        <w:rPr>
          <w:rFonts w:hint="eastAsia" w:ascii="黑体" w:hAnsi="黑体" w:eastAsia="黑体"/>
          <w:bCs/>
          <w:sz w:val="44"/>
          <w:szCs w:val="44"/>
        </w:rPr>
        <w:t>年</w:t>
      </w:r>
      <w:r>
        <w:rPr>
          <w:rFonts w:hint="eastAsia" w:ascii="黑体" w:hAnsi="黑体" w:eastAsia="黑体"/>
          <w:bCs/>
          <w:sz w:val="44"/>
          <w:szCs w:val="44"/>
          <w:lang w:val="en-US" w:eastAsia="zh-CN"/>
        </w:rPr>
        <w:t>2</w:t>
      </w:r>
      <w:r>
        <w:rPr>
          <w:rFonts w:hint="eastAsia" w:ascii="黑体" w:hAnsi="黑体" w:eastAsia="黑体"/>
          <w:bCs/>
          <w:sz w:val="44"/>
          <w:szCs w:val="44"/>
        </w:rPr>
        <w:t>月</w:t>
      </w:r>
    </w:p>
    <w:p>
      <w:pPr>
        <w:pStyle w:val="5"/>
        <w:adjustRightInd w:val="0"/>
        <w:snapToGrid w:val="0"/>
        <w:spacing w:before="0" w:beforeAutospacing="0" w:after="0" w:afterAutospacing="0" w:line="360" w:lineRule="auto"/>
        <w:jc w:val="both"/>
        <w:rPr>
          <w:rFonts w:ascii="黑体" w:hAnsi="黑体" w:eastAsia="黑体"/>
          <w:bCs/>
          <w:sz w:val="36"/>
          <w:szCs w:val="36"/>
        </w:rPr>
      </w:pPr>
    </w:p>
    <w:p>
      <w:pPr>
        <w:pStyle w:val="5"/>
        <w:adjustRightInd w:val="0"/>
        <w:snapToGrid w:val="0"/>
        <w:spacing w:before="0" w:beforeAutospacing="0" w:after="0" w:afterAutospacing="0" w:line="500" w:lineRule="exact"/>
        <w:jc w:val="center"/>
        <w:rPr>
          <w:rFonts w:hint="eastAsia" w:ascii="黑体" w:hAnsi="黑体" w:eastAsia="黑体"/>
          <w:bCs/>
          <w:sz w:val="44"/>
          <w:szCs w:val="44"/>
        </w:rPr>
      </w:pPr>
    </w:p>
    <w:p>
      <w:pPr>
        <w:pStyle w:val="5"/>
        <w:adjustRightInd w:val="0"/>
        <w:snapToGrid w:val="0"/>
        <w:spacing w:before="0" w:beforeAutospacing="0" w:after="0" w:afterAutospacing="0" w:line="500" w:lineRule="exact"/>
        <w:jc w:val="center"/>
        <w:rPr>
          <w:rFonts w:hint="eastAsia" w:ascii="黑体" w:hAnsi="黑体" w:eastAsia="黑体"/>
          <w:bCs/>
          <w:sz w:val="44"/>
          <w:szCs w:val="44"/>
        </w:rPr>
      </w:pPr>
    </w:p>
    <w:p>
      <w:pPr>
        <w:pStyle w:val="5"/>
        <w:adjustRightInd w:val="0"/>
        <w:snapToGrid w:val="0"/>
        <w:spacing w:before="0" w:beforeAutospacing="0" w:after="0" w:afterAutospacing="0" w:line="500" w:lineRule="exact"/>
        <w:jc w:val="center"/>
        <w:rPr>
          <w:rFonts w:hint="eastAsia" w:ascii="黑体" w:hAnsi="黑体" w:eastAsia="黑体"/>
          <w:bCs/>
          <w:sz w:val="44"/>
          <w:szCs w:val="44"/>
        </w:rPr>
      </w:pPr>
    </w:p>
    <w:p>
      <w:pPr>
        <w:pStyle w:val="5"/>
        <w:adjustRightInd w:val="0"/>
        <w:snapToGrid w:val="0"/>
        <w:spacing w:before="0" w:beforeAutospacing="0" w:after="0" w:afterAutospacing="0" w:line="500" w:lineRule="exact"/>
        <w:jc w:val="center"/>
        <w:rPr>
          <w:rFonts w:hint="eastAsia" w:ascii="黑体" w:hAnsi="黑体" w:eastAsia="黑体"/>
          <w:bCs/>
          <w:sz w:val="44"/>
          <w:szCs w:val="44"/>
        </w:rPr>
      </w:pPr>
    </w:p>
    <w:p>
      <w:pPr>
        <w:pStyle w:val="5"/>
        <w:adjustRightInd w:val="0"/>
        <w:snapToGrid w:val="0"/>
        <w:spacing w:before="0" w:beforeAutospacing="0" w:after="0" w:afterAutospacing="0" w:line="500" w:lineRule="exact"/>
        <w:jc w:val="center"/>
        <w:rPr>
          <w:rFonts w:hint="eastAsia" w:ascii="黑体" w:hAnsi="黑体" w:eastAsia="黑体"/>
          <w:bCs/>
          <w:sz w:val="44"/>
          <w:szCs w:val="44"/>
        </w:rPr>
      </w:pPr>
    </w:p>
    <w:p>
      <w:pPr>
        <w:pStyle w:val="5"/>
        <w:adjustRightInd w:val="0"/>
        <w:snapToGrid w:val="0"/>
        <w:spacing w:before="0" w:beforeAutospacing="0" w:after="0" w:afterAutospacing="0" w:line="500" w:lineRule="exact"/>
        <w:jc w:val="center"/>
        <w:rPr>
          <w:rFonts w:ascii="黑体" w:hAnsi="黑体" w:eastAsia="黑体"/>
          <w:bCs/>
          <w:sz w:val="44"/>
          <w:szCs w:val="44"/>
        </w:rPr>
      </w:pPr>
      <w:r>
        <w:rPr>
          <w:rFonts w:hint="eastAsia" w:ascii="黑体" w:hAnsi="黑体" w:eastAsia="黑体"/>
          <w:bCs/>
          <w:sz w:val="44"/>
          <w:szCs w:val="44"/>
        </w:rPr>
        <w:t>目 录</w:t>
      </w:r>
    </w:p>
    <w:p>
      <w:pPr>
        <w:pStyle w:val="5"/>
        <w:adjustRightInd w:val="0"/>
        <w:snapToGrid w:val="0"/>
        <w:spacing w:before="0" w:beforeAutospacing="0" w:after="0" w:afterAutospacing="0" w:line="500" w:lineRule="exact"/>
        <w:ind w:firstLine="643" w:firstLineChars="200"/>
        <w:jc w:val="both"/>
        <w:rPr>
          <w:rFonts w:hint="eastAsia" w:ascii="仿宋_GB2312" w:hAnsi="仿宋" w:eastAsia="仿宋_GB2312" w:cs="仿宋"/>
          <w:b/>
          <w:sz w:val="32"/>
          <w:szCs w:val="32"/>
        </w:rPr>
      </w:pPr>
    </w:p>
    <w:p>
      <w:pPr>
        <w:pStyle w:val="5"/>
        <w:adjustRightInd w:val="0"/>
        <w:snapToGrid w:val="0"/>
        <w:spacing w:before="0" w:beforeAutospacing="0" w:after="0" w:afterAutospacing="0" w:line="500" w:lineRule="exact"/>
        <w:ind w:firstLine="643" w:firstLineChars="200"/>
        <w:jc w:val="both"/>
        <w:rPr>
          <w:rFonts w:ascii="仿宋_GB2312" w:hAnsi="仿宋" w:eastAsia="仿宋_GB2312" w:cs="仿宋"/>
          <w:b/>
          <w:sz w:val="32"/>
          <w:szCs w:val="32"/>
        </w:rPr>
      </w:pPr>
      <w:r>
        <w:rPr>
          <w:rFonts w:hint="eastAsia" w:ascii="仿宋_GB2312" w:hAnsi="仿宋" w:eastAsia="仿宋_GB2312" w:cs="仿宋"/>
          <w:b/>
          <w:sz w:val="32"/>
          <w:szCs w:val="32"/>
        </w:rPr>
        <w:t>第一部分 部门概况</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1.主要职责</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2.部门预算构成</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3.</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年度主要工作任务</w:t>
      </w:r>
    </w:p>
    <w:p>
      <w:pPr>
        <w:pStyle w:val="5"/>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 xml:space="preserve">第二部分 </w:t>
      </w:r>
      <w:r>
        <w:rPr>
          <w:rFonts w:hint="eastAsia" w:ascii="仿宋_GB2312" w:hAnsi="仿宋" w:eastAsia="仿宋_GB2312" w:cs="仿宋"/>
          <w:b/>
          <w:sz w:val="32"/>
          <w:szCs w:val="32"/>
          <w:lang w:eastAsia="zh-CN"/>
        </w:rPr>
        <w:t>2022</w:t>
      </w:r>
      <w:r>
        <w:rPr>
          <w:rFonts w:hint="eastAsia" w:ascii="仿宋_GB2312" w:hAnsi="仿宋" w:eastAsia="仿宋_GB2312" w:cs="仿宋"/>
          <w:b/>
          <w:sz w:val="32"/>
          <w:szCs w:val="32"/>
        </w:rPr>
        <w:t>年部门预算表</w:t>
      </w:r>
    </w:p>
    <w:p>
      <w:pPr>
        <w:pStyle w:val="5"/>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1.</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年收支总表</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年收入总表</w:t>
      </w:r>
    </w:p>
    <w:p>
      <w:pPr>
        <w:pStyle w:val="5"/>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3.</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年支出总表</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4.</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年财政拨款收支总表</w:t>
      </w:r>
    </w:p>
    <w:p>
      <w:pPr>
        <w:pStyle w:val="5"/>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5.</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年一般公共预算支出表</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6.</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年一般公共预算基本支出表</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7.</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年政府性基金预算支出表</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8.</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年国有资本经营预算支出表</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9.</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年项目支出表</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10.</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年政府采购支出表</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11.</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年政府购买服务支出表</w:t>
      </w:r>
    </w:p>
    <w:p>
      <w:pPr>
        <w:pStyle w:val="5"/>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 xml:space="preserve">第三部分 </w:t>
      </w:r>
      <w:r>
        <w:rPr>
          <w:rFonts w:hint="eastAsia" w:ascii="仿宋_GB2312" w:hAnsi="仿宋" w:eastAsia="仿宋_GB2312" w:cs="仿宋"/>
          <w:b/>
          <w:sz w:val="32"/>
          <w:szCs w:val="32"/>
          <w:lang w:eastAsia="zh-CN"/>
        </w:rPr>
        <w:t>2022</w:t>
      </w:r>
      <w:r>
        <w:rPr>
          <w:rFonts w:hint="eastAsia" w:ascii="仿宋_GB2312" w:hAnsi="仿宋" w:eastAsia="仿宋_GB2312" w:cs="仿宋"/>
          <w:b/>
          <w:sz w:val="32"/>
          <w:szCs w:val="32"/>
        </w:rPr>
        <w:t>年</w:t>
      </w:r>
      <w:r>
        <w:rPr>
          <w:rFonts w:hint="eastAsia" w:ascii="仿宋_GB2312" w:hAnsi="仿宋" w:eastAsia="仿宋_GB2312" w:cs="仿宋"/>
          <w:b/>
          <w:sz w:val="32"/>
          <w:szCs w:val="32"/>
          <w:lang w:eastAsia="zh-CN"/>
        </w:rPr>
        <w:t>部门</w:t>
      </w:r>
      <w:r>
        <w:rPr>
          <w:rFonts w:hint="eastAsia" w:ascii="仿宋_GB2312" w:hAnsi="仿宋" w:eastAsia="仿宋_GB2312" w:cs="仿宋"/>
          <w:b/>
          <w:sz w:val="32"/>
          <w:szCs w:val="32"/>
        </w:rPr>
        <w:t>预算情况说明</w:t>
      </w:r>
    </w:p>
    <w:p>
      <w:pPr>
        <w:pStyle w:val="5"/>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1.关于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年收支总表的说明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年收入总表的说明</w:t>
      </w:r>
    </w:p>
    <w:p>
      <w:pPr>
        <w:adjustRightInd w:val="0"/>
        <w:snapToGrid w:val="0"/>
        <w:spacing w:line="600"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kern w:val="0"/>
          <w:sz w:val="32"/>
          <w:szCs w:val="32"/>
        </w:rPr>
        <w:t>3.关于</w:t>
      </w:r>
      <w:r>
        <w:rPr>
          <w:rFonts w:hint="eastAsia" w:ascii="仿宋_GB2312" w:hAnsi="仿宋" w:eastAsia="仿宋_GB2312" w:cs="仿宋"/>
          <w:bCs/>
          <w:kern w:val="0"/>
          <w:sz w:val="32"/>
          <w:szCs w:val="32"/>
          <w:lang w:eastAsia="zh-CN"/>
        </w:rPr>
        <w:t>2022</w:t>
      </w:r>
      <w:r>
        <w:rPr>
          <w:rFonts w:hint="eastAsia" w:ascii="仿宋_GB2312" w:hAnsi="仿宋" w:eastAsia="仿宋_GB2312" w:cs="仿宋"/>
          <w:bCs/>
          <w:kern w:val="0"/>
          <w:sz w:val="32"/>
          <w:szCs w:val="32"/>
        </w:rPr>
        <w:t>年支出总表的说明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4.关于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年财政拨款收支总表的说明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5.关于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年一般公共预算支出表的说明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6.关于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年一般公共预算基本支出表的说明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7.关于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年政府性基金预算支出表的说明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8.关于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年国有资本经营预算支出表的说明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9.关于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年项目支出表的说明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10.关于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年政府采购支出表的说明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11.关于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年政府购买服务支出表的说明</w:t>
      </w:r>
    </w:p>
    <w:p>
      <w:pPr>
        <w:pStyle w:val="5"/>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12.其他重要事项情况说明</w:t>
      </w:r>
    </w:p>
    <w:p>
      <w:pPr>
        <w:pStyle w:val="5"/>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第四部分 名词解释</w:t>
      </w:r>
    </w:p>
    <w:p>
      <w:pPr>
        <w:pStyle w:val="5"/>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p>
    <w:p>
      <w:pPr>
        <w:pStyle w:val="5"/>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p>
    <w:p>
      <w:pPr>
        <w:pStyle w:val="5"/>
        <w:adjustRightInd w:val="0"/>
        <w:snapToGrid w:val="0"/>
        <w:spacing w:before="0" w:beforeAutospacing="0" w:after="0" w:afterAutospacing="0" w:line="500" w:lineRule="exact"/>
        <w:rPr>
          <w:rFonts w:ascii="仿宋_GB2312" w:hAnsi="仿宋" w:eastAsia="仿宋_GB2312" w:cs="仿宋"/>
          <w:b/>
          <w:sz w:val="32"/>
          <w:szCs w:val="32"/>
        </w:rPr>
      </w:pPr>
    </w:p>
    <w:p>
      <w:pPr>
        <w:pStyle w:val="5"/>
        <w:adjustRightInd w:val="0"/>
        <w:snapToGrid w:val="0"/>
        <w:spacing w:before="0" w:beforeAutospacing="0" w:after="0" w:afterAutospacing="0" w:line="360" w:lineRule="auto"/>
        <w:jc w:val="center"/>
        <w:rPr>
          <w:rFonts w:ascii="黑体" w:hAnsi="黑体" w:eastAsia="黑体"/>
          <w:bCs/>
          <w:sz w:val="36"/>
          <w:szCs w:val="36"/>
        </w:rPr>
      </w:pPr>
      <w:r>
        <w:rPr>
          <w:rFonts w:hint="eastAsia" w:ascii="黑体" w:hAnsi="黑体" w:eastAsia="黑体"/>
          <w:bCs/>
          <w:sz w:val="36"/>
          <w:szCs w:val="36"/>
        </w:rPr>
        <w:t>第一部分 部门概况</w:t>
      </w:r>
    </w:p>
    <w:p>
      <w:pPr>
        <w:pStyle w:val="5"/>
        <w:adjustRightInd w:val="0"/>
        <w:snapToGrid w:val="0"/>
        <w:spacing w:before="0" w:beforeAutospacing="0" w:after="0" w:afterAutospacing="0" w:line="360" w:lineRule="auto"/>
        <w:ind w:firstLine="627" w:firstLineChars="196"/>
        <w:jc w:val="both"/>
      </w:pPr>
      <w:r>
        <w:rPr>
          <w:rFonts w:hint="eastAsia" w:ascii="黑体" w:hAnsi="黑体" w:eastAsia="黑体"/>
          <w:bCs/>
          <w:sz w:val="32"/>
          <w:szCs w:val="32"/>
        </w:rPr>
        <w:t>一、主要职责</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（一）根据国民经济和社会发展规划，拟定全区民政事业发展战略，编制民政事业中、长期发展规划；制定年度工作计划，监督检查有关民政政策法规实施情况。</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（二）负责全区城乡居民最低生活保障工作，解决低收入家庭的生活困难。</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w:t>
      </w:r>
      <w:r>
        <w:rPr>
          <w:rFonts w:hint="eastAsia" w:ascii="仿宋" w:hAnsi="仿宋" w:eastAsia="仿宋" w:cs="仿宋"/>
          <w:bCs/>
          <w:color w:val="auto"/>
          <w:sz w:val="32"/>
          <w:szCs w:val="32"/>
          <w:highlight w:val="none"/>
          <w:shd w:val="clear" w:color="auto" w:fill="auto"/>
          <w:lang w:eastAsia="zh-CN"/>
        </w:rPr>
        <w:t>三</w:t>
      </w:r>
      <w:r>
        <w:rPr>
          <w:rFonts w:hint="eastAsia" w:ascii="仿宋" w:hAnsi="仿宋" w:eastAsia="仿宋" w:cs="仿宋"/>
          <w:bCs/>
          <w:color w:val="auto"/>
          <w:sz w:val="32"/>
          <w:szCs w:val="32"/>
          <w:highlight w:val="none"/>
          <w:shd w:val="clear" w:color="auto" w:fill="auto"/>
        </w:rPr>
        <w:t>）负责全区农村五保供养工作，做好五保供养机构建设工作并做好监督与管理。</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w:t>
      </w:r>
      <w:r>
        <w:rPr>
          <w:rFonts w:hint="eastAsia" w:ascii="仿宋" w:hAnsi="仿宋" w:eastAsia="仿宋" w:cs="仿宋"/>
          <w:bCs/>
          <w:color w:val="auto"/>
          <w:sz w:val="32"/>
          <w:szCs w:val="32"/>
          <w:highlight w:val="none"/>
          <w:shd w:val="clear" w:color="auto" w:fill="auto"/>
          <w:lang w:eastAsia="zh-CN"/>
        </w:rPr>
        <w:t>四</w:t>
      </w:r>
      <w:r>
        <w:rPr>
          <w:rFonts w:hint="eastAsia" w:ascii="仿宋" w:hAnsi="仿宋" w:eastAsia="仿宋" w:cs="仿宋"/>
          <w:bCs/>
          <w:color w:val="auto"/>
          <w:sz w:val="32"/>
          <w:szCs w:val="32"/>
          <w:highlight w:val="none"/>
          <w:shd w:val="clear" w:color="auto" w:fill="auto"/>
        </w:rPr>
        <w:t>）承担全区基层政权建设日常工作。拟定社区建设发展规划，组织协调区直机关和街道、社区开展社区建设工作；指导全区基层政权和基层群众自治组织建设，推动农村开展村民自治活动；负责社区居委会的建设与管理，居委会干部的选举、培训，指导社区共建与管理工作，指导完成社区居委会换届改选工作；协调整合社区服务和社区活动的场地及设施建设工作；指导社区居委会开展社区服务工作，推进社区服务产业化。</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w:t>
      </w:r>
      <w:r>
        <w:rPr>
          <w:rFonts w:hint="eastAsia" w:ascii="仿宋" w:hAnsi="仿宋" w:eastAsia="仿宋" w:cs="仿宋"/>
          <w:bCs/>
          <w:color w:val="auto"/>
          <w:sz w:val="32"/>
          <w:szCs w:val="32"/>
          <w:highlight w:val="none"/>
          <w:shd w:val="clear" w:color="auto" w:fill="auto"/>
          <w:lang w:eastAsia="zh-CN"/>
        </w:rPr>
        <w:t>五</w:t>
      </w:r>
      <w:r>
        <w:rPr>
          <w:rFonts w:hint="eastAsia" w:ascii="仿宋" w:hAnsi="仿宋" w:eastAsia="仿宋" w:cs="仿宋"/>
          <w:bCs/>
          <w:color w:val="auto"/>
          <w:sz w:val="32"/>
          <w:szCs w:val="32"/>
          <w:highlight w:val="none"/>
          <w:shd w:val="clear" w:color="auto" w:fill="auto"/>
        </w:rPr>
        <w:t>）负责全区镇（街道）、村（社区）的设立、撤销、调整和行政区域界线变更的审核报批；研究和修订行政区域规划；组织行政区域界线的勘定。</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w:t>
      </w:r>
      <w:r>
        <w:rPr>
          <w:rFonts w:hint="eastAsia" w:ascii="仿宋" w:hAnsi="仿宋" w:eastAsia="仿宋" w:cs="仿宋"/>
          <w:bCs/>
          <w:color w:val="auto"/>
          <w:sz w:val="32"/>
          <w:szCs w:val="32"/>
          <w:highlight w:val="none"/>
          <w:shd w:val="clear" w:color="auto" w:fill="auto"/>
          <w:lang w:eastAsia="zh-CN"/>
        </w:rPr>
        <w:t>六</w:t>
      </w:r>
      <w:r>
        <w:rPr>
          <w:rFonts w:hint="eastAsia" w:ascii="仿宋" w:hAnsi="仿宋" w:eastAsia="仿宋" w:cs="仿宋"/>
          <w:bCs/>
          <w:color w:val="auto"/>
          <w:sz w:val="32"/>
          <w:szCs w:val="32"/>
          <w:highlight w:val="none"/>
          <w:shd w:val="clear" w:color="auto" w:fill="auto"/>
        </w:rPr>
        <w:t>）负责全区的生活无着人员社会救助工作，负责全区孤儿生活救助及资金发放工作。</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w:t>
      </w:r>
      <w:r>
        <w:rPr>
          <w:rFonts w:hint="eastAsia" w:ascii="仿宋" w:hAnsi="仿宋" w:eastAsia="仿宋" w:cs="仿宋"/>
          <w:bCs/>
          <w:color w:val="auto"/>
          <w:sz w:val="32"/>
          <w:szCs w:val="32"/>
          <w:highlight w:val="none"/>
          <w:shd w:val="clear" w:color="auto" w:fill="auto"/>
          <w:lang w:eastAsia="zh-CN"/>
        </w:rPr>
        <w:t>七</w:t>
      </w:r>
      <w:r>
        <w:rPr>
          <w:rFonts w:hint="eastAsia" w:ascii="仿宋" w:hAnsi="仿宋" w:eastAsia="仿宋" w:cs="仿宋"/>
          <w:bCs/>
          <w:color w:val="auto"/>
          <w:sz w:val="32"/>
          <w:szCs w:val="32"/>
          <w:highlight w:val="none"/>
          <w:shd w:val="clear" w:color="auto" w:fill="auto"/>
        </w:rPr>
        <w:t>）负责全区的慈善宣传和慈善捐赠的接收、统计、上报工作。</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w:t>
      </w:r>
      <w:r>
        <w:rPr>
          <w:rFonts w:hint="eastAsia" w:ascii="仿宋" w:hAnsi="仿宋" w:eastAsia="仿宋" w:cs="仿宋"/>
          <w:bCs/>
          <w:color w:val="auto"/>
          <w:sz w:val="32"/>
          <w:szCs w:val="32"/>
          <w:highlight w:val="none"/>
          <w:shd w:val="clear" w:color="auto" w:fill="auto"/>
          <w:lang w:eastAsia="zh-CN"/>
        </w:rPr>
        <w:t>八</w:t>
      </w:r>
      <w:r>
        <w:rPr>
          <w:rFonts w:hint="eastAsia" w:ascii="仿宋" w:hAnsi="仿宋" w:eastAsia="仿宋" w:cs="仿宋"/>
          <w:bCs/>
          <w:color w:val="auto"/>
          <w:sz w:val="32"/>
          <w:szCs w:val="32"/>
          <w:highlight w:val="none"/>
          <w:shd w:val="clear" w:color="auto" w:fill="auto"/>
        </w:rPr>
        <w:t>）负责全区临时救助工作，解决暂时性家庭困难。</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w:t>
      </w:r>
      <w:r>
        <w:rPr>
          <w:rFonts w:hint="eastAsia" w:ascii="仿宋" w:hAnsi="仿宋" w:eastAsia="仿宋" w:cs="仿宋"/>
          <w:bCs/>
          <w:color w:val="auto"/>
          <w:sz w:val="32"/>
          <w:szCs w:val="32"/>
          <w:highlight w:val="none"/>
          <w:shd w:val="clear" w:color="auto" w:fill="auto"/>
          <w:lang w:eastAsia="zh-CN"/>
        </w:rPr>
        <w:t>九</w:t>
      </w:r>
      <w:r>
        <w:rPr>
          <w:rFonts w:hint="eastAsia" w:ascii="仿宋" w:hAnsi="仿宋" w:eastAsia="仿宋" w:cs="仿宋"/>
          <w:bCs/>
          <w:color w:val="auto"/>
          <w:sz w:val="32"/>
          <w:szCs w:val="32"/>
          <w:highlight w:val="none"/>
          <w:shd w:val="clear" w:color="auto" w:fill="auto"/>
        </w:rPr>
        <w:t>）负责全区社会团体和民办非企业单位的登记管理和年度检查；指导和监督全区社团和民办非企业单位依法开展活动。</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十)负责全区婚姻登记和管理工作，依法实施婚姻登记管理。负责办理结婚登记、离婚登记；补发结、离婚登记；出具婚姻登记记录证明；处理违法婚姻行为；负责婚姻登记材料收集、整理、归档、管理，确保其完整，维护婚姻当事人的合法权益；配合卫生、计生部门做好婚前体检、优生优育等宣传教育活动。</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(十</w:t>
      </w:r>
      <w:r>
        <w:rPr>
          <w:rFonts w:hint="eastAsia" w:ascii="仿宋" w:hAnsi="仿宋" w:eastAsia="仿宋" w:cs="仿宋"/>
          <w:bCs/>
          <w:color w:val="auto"/>
          <w:sz w:val="32"/>
          <w:szCs w:val="32"/>
          <w:highlight w:val="none"/>
          <w:shd w:val="clear" w:color="auto" w:fill="auto"/>
          <w:lang w:eastAsia="zh-CN"/>
        </w:rPr>
        <w:t>一</w:t>
      </w:r>
      <w:r>
        <w:rPr>
          <w:rFonts w:hint="eastAsia" w:ascii="仿宋" w:hAnsi="仿宋" w:eastAsia="仿宋" w:cs="仿宋"/>
          <w:bCs/>
          <w:color w:val="auto"/>
          <w:sz w:val="32"/>
          <w:szCs w:val="32"/>
          <w:highlight w:val="none"/>
          <w:shd w:val="clear" w:color="auto" w:fill="auto"/>
        </w:rPr>
        <w:t>)负责全区艾滋病人生活救助金的审批发放工作。</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(十</w:t>
      </w:r>
      <w:r>
        <w:rPr>
          <w:rFonts w:hint="eastAsia" w:ascii="仿宋" w:hAnsi="仿宋" w:eastAsia="仿宋" w:cs="仿宋"/>
          <w:bCs/>
          <w:color w:val="auto"/>
          <w:sz w:val="32"/>
          <w:szCs w:val="32"/>
          <w:highlight w:val="none"/>
          <w:shd w:val="clear" w:color="auto" w:fill="auto"/>
          <w:lang w:eastAsia="zh-CN"/>
        </w:rPr>
        <w:t>二</w:t>
      </w:r>
      <w:r>
        <w:rPr>
          <w:rFonts w:hint="eastAsia" w:ascii="仿宋" w:hAnsi="仿宋" w:eastAsia="仿宋" w:cs="仿宋"/>
          <w:bCs/>
          <w:color w:val="auto"/>
          <w:sz w:val="32"/>
          <w:szCs w:val="32"/>
          <w:highlight w:val="none"/>
          <w:shd w:val="clear" w:color="auto" w:fill="auto"/>
        </w:rPr>
        <w:t>)研究拟定全区社区服务业发展规划，建立完善社区服务管理体系及基础设施。</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(十</w:t>
      </w:r>
      <w:r>
        <w:rPr>
          <w:rFonts w:hint="eastAsia" w:ascii="仿宋" w:hAnsi="仿宋" w:eastAsia="仿宋" w:cs="仿宋"/>
          <w:bCs/>
          <w:color w:val="auto"/>
          <w:sz w:val="32"/>
          <w:szCs w:val="32"/>
          <w:highlight w:val="none"/>
          <w:shd w:val="clear" w:color="auto" w:fill="auto"/>
          <w:lang w:eastAsia="zh-CN"/>
        </w:rPr>
        <w:t>三</w:t>
      </w:r>
      <w:r>
        <w:rPr>
          <w:rFonts w:hint="eastAsia" w:ascii="仿宋" w:hAnsi="仿宋" w:eastAsia="仿宋" w:cs="仿宋"/>
          <w:bCs/>
          <w:color w:val="auto"/>
          <w:sz w:val="32"/>
          <w:szCs w:val="32"/>
          <w:highlight w:val="none"/>
          <w:shd w:val="clear" w:color="auto" w:fill="auto"/>
        </w:rPr>
        <w:t>)负责全区殡葬管理和全区殡葬企事业单位的监督指导工作。</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40" w:lineRule="exact"/>
        <w:ind w:firstLine="627" w:firstLineChars="196"/>
        <w:jc w:val="both"/>
        <w:textAlignment w:val="auto"/>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(十</w:t>
      </w:r>
      <w:r>
        <w:rPr>
          <w:rFonts w:hint="eastAsia" w:ascii="仿宋" w:hAnsi="仿宋" w:eastAsia="仿宋" w:cs="仿宋"/>
          <w:bCs/>
          <w:color w:val="auto"/>
          <w:sz w:val="32"/>
          <w:szCs w:val="32"/>
          <w:highlight w:val="none"/>
          <w:shd w:val="clear" w:color="auto" w:fill="auto"/>
          <w:lang w:eastAsia="zh-CN"/>
        </w:rPr>
        <w:t>四</w:t>
      </w:r>
      <w:r>
        <w:rPr>
          <w:rFonts w:hint="eastAsia" w:ascii="仿宋" w:hAnsi="仿宋" w:eastAsia="仿宋" w:cs="仿宋"/>
          <w:bCs/>
          <w:color w:val="auto"/>
          <w:sz w:val="32"/>
          <w:szCs w:val="32"/>
          <w:highlight w:val="none"/>
          <w:shd w:val="clear" w:color="auto" w:fill="auto"/>
        </w:rPr>
        <w:t>)负责全区民政事业计划财务工作，指导监督民政事业经费的使用和管理，负责编制民政事业经费预算和各类民政统计报表上报工作。</w:t>
      </w:r>
    </w:p>
    <w:p>
      <w:pPr>
        <w:pStyle w:val="5"/>
        <w:numPr>
          <w:ilvl w:val="0"/>
          <w:numId w:val="0"/>
        </w:numPr>
        <w:adjustRightInd w:val="0"/>
        <w:snapToGrid w:val="0"/>
        <w:spacing w:before="0" w:beforeAutospacing="0" w:after="0" w:afterAutospacing="0" w:line="360" w:lineRule="auto"/>
        <w:ind w:firstLine="640" w:firstLineChars="200"/>
        <w:jc w:val="both"/>
        <w:rPr>
          <w:rFonts w:hint="eastAsia" w:ascii="仿宋" w:hAnsi="仿宋" w:eastAsia="仿宋" w:cs="仿宋"/>
          <w:bCs/>
          <w:color w:val="auto"/>
          <w:sz w:val="32"/>
          <w:szCs w:val="32"/>
          <w:highlight w:val="none"/>
          <w:shd w:val="clear" w:color="auto" w:fill="auto"/>
        </w:rPr>
      </w:pPr>
      <w:r>
        <w:rPr>
          <w:rFonts w:hint="eastAsia" w:ascii="仿宋" w:hAnsi="仿宋" w:eastAsia="仿宋" w:cs="仿宋"/>
          <w:bCs/>
          <w:color w:val="auto"/>
          <w:sz w:val="32"/>
          <w:szCs w:val="32"/>
          <w:highlight w:val="none"/>
          <w:shd w:val="clear" w:color="auto" w:fill="auto"/>
        </w:rPr>
        <w:t>(十</w:t>
      </w:r>
      <w:r>
        <w:rPr>
          <w:rFonts w:hint="eastAsia" w:ascii="仿宋" w:hAnsi="仿宋" w:eastAsia="仿宋" w:cs="仿宋"/>
          <w:bCs/>
          <w:color w:val="auto"/>
          <w:sz w:val="32"/>
          <w:szCs w:val="32"/>
          <w:highlight w:val="none"/>
          <w:shd w:val="clear" w:color="auto" w:fill="auto"/>
          <w:lang w:eastAsia="zh-CN"/>
        </w:rPr>
        <w:t>五</w:t>
      </w:r>
      <w:r>
        <w:rPr>
          <w:rFonts w:hint="eastAsia" w:ascii="仿宋" w:hAnsi="仿宋" w:eastAsia="仿宋" w:cs="仿宋"/>
          <w:bCs/>
          <w:color w:val="auto"/>
          <w:sz w:val="32"/>
          <w:szCs w:val="32"/>
          <w:highlight w:val="none"/>
          <w:shd w:val="clear" w:color="auto" w:fill="auto"/>
        </w:rPr>
        <w:t>)认真做好民政信访工作</w:t>
      </w:r>
    </w:p>
    <w:p>
      <w:pPr>
        <w:pStyle w:val="5"/>
        <w:numPr>
          <w:ilvl w:val="0"/>
          <w:numId w:val="0"/>
        </w:numPr>
        <w:adjustRightInd w:val="0"/>
        <w:snapToGrid w:val="0"/>
        <w:spacing w:before="0" w:beforeAutospacing="0" w:after="0" w:afterAutospacing="0" w:line="360" w:lineRule="auto"/>
        <w:ind w:firstLine="640" w:firstLineChars="200"/>
        <w:jc w:val="both"/>
        <w:rPr>
          <w:rFonts w:hint="eastAsia" w:ascii="黑体" w:hAnsi="黑体" w:eastAsia="黑体"/>
          <w:bCs/>
          <w:sz w:val="32"/>
          <w:szCs w:val="32"/>
        </w:rPr>
      </w:pPr>
      <w:r>
        <w:rPr>
          <w:rFonts w:hint="eastAsia" w:ascii="黑体" w:hAnsi="黑体" w:eastAsia="黑体"/>
          <w:bCs/>
          <w:sz w:val="32"/>
          <w:szCs w:val="32"/>
          <w:lang w:eastAsia="zh-CN"/>
        </w:rPr>
        <w:t>二、</w:t>
      </w:r>
      <w:r>
        <w:rPr>
          <w:rFonts w:hint="eastAsia" w:ascii="黑体" w:hAnsi="黑体" w:eastAsia="黑体"/>
          <w:bCs/>
          <w:sz w:val="32"/>
          <w:szCs w:val="32"/>
        </w:rPr>
        <w:t>部门预算构成</w:t>
      </w:r>
    </w:p>
    <w:p>
      <w:pPr>
        <w:pStyle w:val="5"/>
        <w:adjustRightInd w:val="0"/>
        <w:snapToGrid w:val="0"/>
        <w:spacing w:before="0" w:beforeAutospacing="0" w:after="0" w:afterAutospacing="0" w:line="600" w:lineRule="exact"/>
        <w:ind w:firstLine="480" w:firstLineChars="150"/>
        <w:outlineLvl w:val="0"/>
        <w:rPr>
          <w:rFonts w:hint="eastAsia" w:ascii="仿宋_GB2312" w:hAnsi="仿宋" w:eastAsia="仿宋_GB2312" w:cs="仿宋"/>
          <w:bCs/>
          <w:sz w:val="32"/>
          <w:szCs w:val="32"/>
        </w:rPr>
      </w:pPr>
      <w:r>
        <w:rPr>
          <w:rFonts w:hint="eastAsia" w:ascii="楷体_GB2312" w:hAnsi="仿宋" w:eastAsia="楷体_GB2312" w:cs="Times New Roman"/>
          <w:color w:val="FF0000"/>
          <w:kern w:val="2"/>
          <w:sz w:val="32"/>
          <w:szCs w:val="32"/>
          <w:lang w:val="en-US" w:eastAsia="zh-CN"/>
        </w:rPr>
        <w:t xml:space="preserve">   </w:t>
      </w:r>
      <w:r>
        <w:rPr>
          <w:rFonts w:hint="eastAsia" w:ascii="仿宋_GB2312" w:hAnsi="仿宋" w:eastAsia="仿宋_GB2312" w:cs="仿宋"/>
          <w:bCs/>
          <w:sz w:val="32"/>
          <w:szCs w:val="32"/>
          <w:lang w:eastAsia="zh-CN"/>
        </w:rPr>
        <w:t>相山区民政局2022</w:t>
      </w:r>
      <w:r>
        <w:rPr>
          <w:rFonts w:hint="eastAsia" w:ascii="仿宋_GB2312" w:hAnsi="仿宋" w:eastAsia="仿宋_GB2312" w:cs="仿宋"/>
          <w:bCs/>
          <w:sz w:val="32"/>
          <w:szCs w:val="32"/>
        </w:rPr>
        <w:t>年度单位预算仅包括单位本级预算，无其他下属单位预算。</w:t>
      </w:r>
    </w:p>
    <w:p>
      <w:pPr>
        <w:pStyle w:val="5"/>
        <w:adjustRightInd w:val="0"/>
        <w:snapToGrid w:val="0"/>
        <w:spacing w:before="0" w:beforeAutospacing="0" w:after="0" w:afterAutospacing="0" w:line="600" w:lineRule="exact"/>
        <w:ind w:firstLine="480" w:firstLineChars="150"/>
        <w:outlineLvl w:val="0"/>
        <w:rPr>
          <w:rFonts w:hint="eastAsia" w:ascii="黑体" w:hAnsi="黑体" w:eastAsia="黑体"/>
          <w:bCs/>
          <w:sz w:val="32"/>
          <w:szCs w:val="32"/>
        </w:rPr>
      </w:pPr>
      <w:r>
        <w:rPr>
          <w:rFonts w:hint="eastAsia" w:ascii="仿宋_GB2312" w:hAnsi="仿宋" w:eastAsia="仿宋_GB2312" w:cs="仿宋"/>
          <w:bCs/>
          <w:sz w:val="32"/>
          <w:szCs w:val="32"/>
          <w:lang w:val="en-US" w:eastAsia="zh-CN"/>
        </w:rPr>
        <w:t xml:space="preserve"> </w:t>
      </w:r>
      <w:r>
        <w:rPr>
          <w:rFonts w:hint="eastAsia" w:ascii="黑体" w:hAnsi="黑体" w:eastAsia="黑体"/>
          <w:bCs/>
          <w:sz w:val="32"/>
          <w:szCs w:val="32"/>
        </w:rPr>
        <w:t>三、</w:t>
      </w:r>
      <w:r>
        <w:rPr>
          <w:rFonts w:hint="eastAsia" w:ascii="黑体" w:hAnsi="黑体" w:eastAsia="黑体"/>
          <w:bCs/>
          <w:sz w:val="32"/>
          <w:szCs w:val="32"/>
          <w:lang w:eastAsia="zh-CN"/>
        </w:rPr>
        <w:t>2022</w:t>
      </w:r>
      <w:r>
        <w:rPr>
          <w:rFonts w:hint="eastAsia" w:ascii="黑体" w:hAnsi="黑体" w:eastAsia="黑体"/>
          <w:bCs/>
          <w:sz w:val="32"/>
          <w:szCs w:val="32"/>
        </w:rPr>
        <w:t>年度主要工作任务</w:t>
      </w:r>
    </w:p>
    <w:p>
      <w:pPr>
        <w:pStyle w:val="5"/>
        <w:numPr>
          <w:ilvl w:val="0"/>
          <w:numId w:val="0"/>
        </w:numPr>
        <w:adjustRightInd w:val="0"/>
        <w:snapToGrid w:val="0"/>
        <w:spacing w:before="0" w:beforeAutospacing="0" w:after="0" w:afterAutospacing="0" w:line="600" w:lineRule="exact"/>
        <w:outlineLvl w:val="0"/>
        <w:rPr>
          <w:rFonts w:hint="eastAsia" w:ascii="黑体" w:hAnsi="黑体" w:eastAsia="黑体"/>
          <w:bCs/>
          <w:sz w:val="32"/>
          <w:szCs w:val="32"/>
        </w:rPr>
      </w:pPr>
      <w:r>
        <w:rPr>
          <w:rFonts w:hint="eastAsia" w:ascii="仿宋_GB2312" w:hAnsi="仿宋" w:eastAsia="仿宋_GB2312" w:cs="仿宋"/>
          <w:bCs/>
          <w:sz w:val="32"/>
          <w:szCs w:val="32"/>
          <w:lang w:val="en-US" w:eastAsia="zh-CN"/>
        </w:rPr>
        <w:t xml:space="preserve">   </w:t>
      </w:r>
      <w:r>
        <w:rPr>
          <w:rFonts w:hint="eastAsia" w:ascii="仿宋_GB2312" w:hAnsi="仿宋" w:eastAsia="仿宋_GB2312" w:cs="仿宋"/>
          <w:bCs/>
          <w:sz w:val="32"/>
          <w:szCs w:val="32"/>
        </w:rPr>
        <w:t>（</w:t>
      </w:r>
      <w:r>
        <w:rPr>
          <w:rFonts w:hint="eastAsia" w:ascii="仿宋_GB2312" w:hAnsi="仿宋" w:eastAsia="仿宋_GB2312" w:cs="仿宋"/>
          <w:bCs/>
          <w:sz w:val="32"/>
          <w:szCs w:val="32"/>
          <w:lang w:eastAsia="zh-CN"/>
        </w:rPr>
        <w:t>一</w:t>
      </w:r>
      <w:r>
        <w:rPr>
          <w:rFonts w:hint="eastAsia" w:ascii="仿宋_GB2312" w:hAnsi="仿宋" w:eastAsia="仿宋_GB2312" w:cs="仿宋"/>
          <w:bCs/>
          <w:sz w:val="32"/>
          <w:szCs w:val="32"/>
        </w:rPr>
        <w:t>）</w:t>
      </w:r>
      <w:r>
        <w:rPr>
          <w:rFonts w:hint="eastAsia" w:ascii="仿宋_GB2312" w:hAnsi="仿宋" w:eastAsia="仿宋_GB2312" w:cs="仿宋"/>
          <w:bCs/>
          <w:sz w:val="32"/>
          <w:szCs w:val="32"/>
          <w:lang w:eastAsia="zh-CN"/>
        </w:rPr>
        <w:t>扎实保障困难群体基本生活。兜牢乡村振兴的民生底线，保持过渡期内社会救助兜底政策总体稳定，守住不发生规模性返贫的底线，加快建设分层分类社会救助体系。</w:t>
      </w:r>
    </w:p>
    <w:p>
      <w:pPr>
        <w:pStyle w:val="5"/>
        <w:adjustRightInd w:val="0"/>
        <w:snapToGrid w:val="0"/>
        <w:spacing w:before="0" w:beforeAutospacing="0" w:after="0" w:afterAutospacing="0" w:line="600" w:lineRule="exact"/>
        <w:ind w:firstLine="480" w:firstLineChars="150"/>
        <w:outlineLvl w:val="0"/>
        <w:rPr>
          <w:rFonts w:hint="eastAsia" w:ascii="仿宋_GB2312" w:hAnsi="仿宋" w:eastAsia="仿宋_GB2312" w:cs="仿宋"/>
          <w:bCs/>
          <w:sz w:val="32"/>
          <w:szCs w:val="32"/>
        </w:rPr>
      </w:pPr>
      <w:r>
        <w:rPr>
          <w:rFonts w:hint="eastAsia" w:ascii="仿宋_GB2312" w:hAnsi="仿宋" w:eastAsia="仿宋_GB2312" w:cs="仿宋"/>
          <w:bCs/>
          <w:sz w:val="32"/>
          <w:szCs w:val="32"/>
        </w:rPr>
        <w:t>（二）加强养老服务体系建设力度。积极融入长三角一体化发展战略，主动对标学习徐州等先进地区民政部门工作经验，加快基本养老服务体系建设。</w:t>
      </w:r>
    </w:p>
    <w:p>
      <w:pPr>
        <w:pStyle w:val="5"/>
        <w:adjustRightInd w:val="0"/>
        <w:snapToGrid w:val="0"/>
        <w:spacing w:before="0" w:beforeAutospacing="0" w:after="0" w:afterAutospacing="0" w:line="600" w:lineRule="exact"/>
        <w:ind w:firstLine="480" w:firstLineChars="150"/>
        <w:outlineLvl w:val="0"/>
        <w:rPr>
          <w:rFonts w:hint="eastAsia" w:ascii="仿宋_GB2312" w:hAnsi="仿宋" w:eastAsia="仿宋_GB2312" w:cs="仿宋"/>
          <w:bCs/>
          <w:sz w:val="32"/>
          <w:szCs w:val="32"/>
          <w:lang w:eastAsia="zh-CN"/>
        </w:rPr>
      </w:pPr>
      <w:r>
        <w:rPr>
          <w:rFonts w:hint="eastAsia" w:ascii="仿宋_GB2312" w:hAnsi="仿宋" w:eastAsia="仿宋_GB2312" w:cs="仿宋"/>
          <w:bCs/>
          <w:sz w:val="32"/>
          <w:szCs w:val="32"/>
          <w:lang w:eastAsia="zh-CN"/>
        </w:rPr>
        <w:t>（三）抓好儿童群体关爱保护工作。完善孤儿、农村留守儿童、事实无人抚养儿童保障制度，履行儿童福利和未成年人保护工作职责，充分发挥儿童督导员、儿童主任作用。</w:t>
      </w:r>
    </w:p>
    <w:p>
      <w:pPr>
        <w:pStyle w:val="5"/>
        <w:adjustRightInd w:val="0"/>
        <w:snapToGrid w:val="0"/>
        <w:spacing w:before="0" w:beforeAutospacing="0" w:after="0" w:afterAutospacing="0" w:line="600" w:lineRule="exact"/>
        <w:ind w:firstLine="480" w:firstLineChars="150"/>
        <w:outlineLvl w:val="0"/>
        <w:rPr>
          <w:rFonts w:hint="eastAsia" w:ascii="仿宋_GB2312" w:hAnsi="仿宋" w:eastAsia="仿宋_GB2312" w:cs="仿宋"/>
          <w:bCs/>
          <w:sz w:val="32"/>
          <w:szCs w:val="32"/>
          <w:lang w:eastAsia="zh-CN"/>
        </w:rPr>
      </w:pPr>
      <w:r>
        <w:rPr>
          <w:rFonts w:hint="eastAsia" w:ascii="仿宋_GB2312" w:hAnsi="仿宋" w:eastAsia="仿宋_GB2312" w:cs="仿宋"/>
          <w:bCs/>
          <w:sz w:val="32"/>
          <w:szCs w:val="32"/>
          <w:lang w:eastAsia="zh-CN"/>
        </w:rPr>
        <w:t>（四）提质升级基本社会服务水平。落实困难残疾人生活补贴和重度残疾人护理补贴政策，开展“困难残疾人生活补贴和重度残疾人护理补贴资格认定”、“婚姻登记”跨省通办行动。推进殡葬移风易俗，深化丧葬礼俗改革，破除殡葬领域利益驱动机制，促进农村精神文明建设。</w:t>
      </w:r>
    </w:p>
    <w:p>
      <w:pPr>
        <w:pStyle w:val="5"/>
        <w:adjustRightInd w:val="0"/>
        <w:snapToGrid w:val="0"/>
        <w:spacing w:before="0" w:beforeAutospacing="0" w:after="0" w:afterAutospacing="0" w:line="600" w:lineRule="exact"/>
        <w:ind w:firstLine="480" w:firstLineChars="150"/>
        <w:outlineLvl w:val="0"/>
        <w:rPr>
          <w:rFonts w:hint="eastAsia" w:ascii="仿宋_GB2312" w:hAnsi="仿宋" w:eastAsia="仿宋_GB2312" w:cs="仿宋"/>
          <w:bCs/>
          <w:sz w:val="32"/>
          <w:szCs w:val="32"/>
          <w:lang w:eastAsia="zh-CN"/>
        </w:rPr>
      </w:pPr>
      <w:r>
        <w:rPr>
          <w:rFonts w:hint="eastAsia" w:ascii="仿宋_GB2312" w:hAnsi="仿宋" w:eastAsia="仿宋_GB2312" w:cs="仿宋"/>
          <w:bCs/>
          <w:sz w:val="32"/>
          <w:szCs w:val="32"/>
          <w:lang w:eastAsia="zh-CN"/>
        </w:rPr>
        <w:t>（五）着力加强基层社会治理创新。贯彻落实党中央有关加强基层治理体系和治理能力现代化建设的决策部署，完善党组织领导的村民自治机制，推进基层群众性自治组织规范化建设。</w:t>
      </w:r>
    </w:p>
    <w:p>
      <w:pPr>
        <w:pStyle w:val="5"/>
        <w:adjustRightInd w:val="0"/>
        <w:snapToGrid w:val="0"/>
        <w:spacing w:before="0" w:beforeAutospacing="0" w:after="0" w:afterAutospacing="0" w:line="600" w:lineRule="exact"/>
        <w:ind w:firstLine="480" w:firstLineChars="150"/>
        <w:outlineLvl w:val="0"/>
        <w:rPr>
          <w:rFonts w:hint="eastAsia" w:ascii="仿宋_GB2312" w:hAnsi="仿宋" w:eastAsia="仿宋_GB2312" w:cs="仿宋"/>
          <w:bCs/>
          <w:sz w:val="32"/>
          <w:szCs w:val="32"/>
          <w:lang w:eastAsia="zh-CN"/>
        </w:rPr>
      </w:pPr>
    </w:p>
    <w:p>
      <w:pPr>
        <w:pStyle w:val="5"/>
        <w:adjustRightInd w:val="0"/>
        <w:snapToGrid w:val="0"/>
        <w:spacing w:before="0" w:beforeAutospacing="0" w:after="0" w:afterAutospacing="0" w:line="360" w:lineRule="auto"/>
        <w:rPr>
          <w:rFonts w:ascii="黑体" w:hAnsi="黑体" w:eastAsia="黑体"/>
          <w:bCs/>
          <w:sz w:val="36"/>
          <w:szCs w:val="36"/>
        </w:rPr>
      </w:pPr>
    </w:p>
    <w:p>
      <w:pPr>
        <w:pStyle w:val="5"/>
        <w:numPr>
          <w:ilvl w:val="0"/>
          <w:numId w:val="1"/>
        </w:numPr>
        <w:adjustRightInd w:val="0"/>
        <w:snapToGrid w:val="0"/>
        <w:spacing w:before="0" w:beforeAutospacing="0" w:after="0" w:afterAutospacing="0" w:line="600" w:lineRule="exact"/>
        <w:jc w:val="center"/>
        <w:rPr>
          <w:rFonts w:hint="eastAsia" w:ascii="黑体" w:hAnsi="黑体" w:eastAsia="黑体"/>
          <w:bCs/>
          <w:sz w:val="36"/>
          <w:szCs w:val="36"/>
        </w:rPr>
      </w:pPr>
      <w:r>
        <w:rPr>
          <w:rFonts w:hint="eastAsia" w:ascii="黑体" w:hAnsi="黑体" w:eastAsia="黑体"/>
          <w:bCs/>
          <w:sz w:val="36"/>
          <w:szCs w:val="36"/>
          <w:lang w:eastAsia="zh-CN"/>
        </w:rPr>
        <w:t>2022</w:t>
      </w:r>
      <w:r>
        <w:rPr>
          <w:rFonts w:hint="eastAsia" w:ascii="黑体" w:hAnsi="黑体" w:eastAsia="黑体"/>
          <w:bCs/>
          <w:sz w:val="36"/>
          <w:szCs w:val="36"/>
        </w:rPr>
        <w:t>年部门预算表</w:t>
      </w:r>
    </w:p>
    <w:p>
      <w:pPr>
        <w:pStyle w:val="5"/>
        <w:adjustRightInd w:val="0"/>
        <w:snapToGrid w:val="0"/>
        <w:spacing w:before="0" w:beforeAutospacing="0" w:after="0" w:afterAutospacing="0" w:line="600" w:lineRule="exact"/>
        <w:jc w:val="center"/>
        <w:rPr>
          <w:rFonts w:hint="eastAsia" w:ascii="仿宋_GB2312" w:hAnsi="仿宋" w:eastAsia="仿宋_GB2312" w:cs="Times New Roman"/>
          <w:kern w:val="2"/>
          <w:sz w:val="32"/>
          <w:szCs w:val="32"/>
        </w:rPr>
      </w:pPr>
      <w:r>
        <w:rPr>
          <w:rFonts w:hint="eastAsia" w:ascii="仿宋_GB2312" w:hAnsi="仿宋" w:eastAsia="仿宋_GB2312" w:cs="Times New Roman"/>
          <w:kern w:val="2"/>
          <w:sz w:val="32"/>
          <w:szCs w:val="32"/>
        </w:rPr>
        <w:t>见“附件1-2 2022年部门预算表”</w:t>
      </w:r>
    </w:p>
    <w:p>
      <w:pPr>
        <w:pStyle w:val="5"/>
        <w:numPr>
          <w:ilvl w:val="0"/>
          <w:numId w:val="0"/>
        </w:numPr>
        <w:adjustRightInd w:val="0"/>
        <w:snapToGrid w:val="0"/>
        <w:spacing w:before="0" w:beforeAutospacing="0" w:after="0" w:afterAutospacing="0" w:line="600" w:lineRule="exact"/>
        <w:jc w:val="both"/>
        <w:rPr>
          <w:rFonts w:hint="eastAsia" w:ascii="黑体" w:hAnsi="黑体" w:eastAsia="黑体"/>
          <w:b w:val="0"/>
          <w:bCs/>
          <w:sz w:val="28"/>
          <w:szCs w:val="28"/>
          <w:lang w:eastAsia="zh-CN"/>
        </w:rPr>
      </w:pPr>
    </w:p>
    <w:p>
      <w:pPr>
        <w:pStyle w:val="5"/>
        <w:numPr>
          <w:ilvl w:val="0"/>
          <w:numId w:val="0"/>
        </w:numPr>
        <w:adjustRightInd w:val="0"/>
        <w:snapToGrid w:val="0"/>
        <w:spacing w:before="0" w:beforeAutospacing="0" w:after="0" w:afterAutospacing="0" w:line="600" w:lineRule="exact"/>
        <w:jc w:val="both"/>
        <w:rPr>
          <w:rFonts w:hint="eastAsia" w:ascii="黑体" w:hAnsi="黑体" w:eastAsia="黑体"/>
          <w:b w:val="0"/>
          <w:bCs/>
          <w:sz w:val="28"/>
          <w:szCs w:val="28"/>
          <w:lang w:eastAsia="zh-CN"/>
        </w:rPr>
      </w:pPr>
    </w:p>
    <w:p>
      <w:pPr>
        <w:pStyle w:val="5"/>
        <w:adjustRightInd w:val="0"/>
        <w:snapToGrid w:val="0"/>
        <w:spacing w:before="0" w:beforeAutospacing="0" w:after="0" w:afterAutospacing="0" w:line="600" w:lineRule="exact"/>
        <w:jc w:val="center"/>
        <w:rPr>
          <w:rFonts w:ascii="黑体" w:hAnsi="黑体" w:eastAsia="黑体"/>
          <w:bCs/>
          <w:sz w:val="36"/>
          <w:szCs w:val="36"/>
        </w:rPr>
      </w:pPr>
      <w:r>
        <w:rPr>
          <w:rFonts w:hint="eastAsia" w:ascii="黑体" w:hAnsi="黑体" w:eastAsia="黑体"/>
          <w:bCs/>
          <w:sz w:val="36"/>
          <w:szCs w:val="36"/>
        </w:rPr>
        <w:t xml:space="preserve">第三部分 </w:t>
      </w:r>
      <w:r>
        <w:rPr>
          <w:rFonts w:hint="eastAsia" w:ascii="黑体" w:hAnsi="黑体" w:eastAsia="黑体"/>
          <w:bCs/>
          <w:sz w:val="36"/>
          <w:szCs w:val="36"/>
          <w:lang w:eastAsia="zh-CN"/>
        </w:rPr>
        <w:t>2022</w:t>
      </w:r>
      <w:r>
        <w:rPr>
          <w:rFonts w:hint="eastAsia" w:ascii="黑体" w:hAnsi="黑体" w:eastAsia="黑体"/>
          <w:bCs/>
          <w:sz w:val="36"/>
          <w:szCs w:val="36"/>
        </w:rPr>
        <w:t>年部门预算情况说明</w:t>
      </w:r>
    </w:p>
    <w:p>
      <w:pPr>
        <w:pStyle w:val="5"/>
        <w:adjustRightInd w:val="0"/>
        <w:snapToGrid w:val="0"/>
        <w:spacing w:before="0" w:beforeAutospacing="0" w:after="0" w:afterAutospacing="0" w:line="600" w:lineRule="exact"/>
        <w:rPr>
          <w:rFonts w:ascii="黑体" w:hAnsi="黑体" w:eastAsia="黑体"/>
          <w:bCs/>
          <w:sz w:val="32"/>
          <w:szCs w:val="32"/>
        </w:rPr>
      </w:pPr>
    </w:p>
    <w:p>
      <w:pPr>
        <w:pStyle w:val="5"/>
        <w:adjustRightInd w:val="0"/>
        <w:snapToGrid w:val="0"/>
        <w:spacing w:before="0" w:beforeAutospacing="0" w:after="0" w:afterAutospacing="0" w:line="600" w:lineRule="exact"/>
        <w:ind w:firstLine="640" w:firstLineChars="200"/>
        <w:rPr>
          <w:rFonts w:ascii="黑体" w:hAnsi="仿宋" w:eastAsia="黑体"/>
          <w:color w:val="000000" w:themeColor="text1"/>
          <w:sz w:val="32"/>
          <w:szCs w:val="32"/>
          <w14:textFill>
            <w14:solidFill>
              <w14:schemeClr w14:val="tx1"/>
            </w14:solidFill>
          </w14:textFill>
        </w:rPr>
      </w:pPr>
      <w:r>
        <w:rPr>
          <w:rFonts w:hint="eastAsia" w:ascii="黑体" w:hAnsi="仿宋" w:eastAsia="黑体"/>
          <w:color w:val="000000" w:themeColor="text1"/>
          <w:sz w:val="32"/>
          <w:szCs w:val="32"/>
          <w14:textFill>
            <w14:solidFill>
              <w14:schemeClr w14:val="tx1"/>
            </w14:solidFill>
          </w14:textFill>
        </w:rPr>
        <w:t>一、关于</w:t>
      </w:r>
      <w:r>
        <w:rPr>
          <w:rFonts w:hint="eastAsia" w:ascii="黑体" w:hAnsi="仿宋" w:eastAsia="黑体"/>
          <w:color w:val="000000" w:themeColor="text1"/>
          <w:sz w:val="32"/>
          <w:szCs w:val="32"/>
          <w:lang w:eastAsia="zh-CN"/>
          <w14:textFill>
            <w14:solidFill>
              <w14:schemeClr w14:val="tx1"/>
            </w14:solidFill>
          </w14:textFill>
        </w:rPr>
        <w:t>2022</w:t>
      </w:r>
      <w:r>
        <w:rPr>
          <w:rFonts w:hint="eastAsia" w:ascii="黑体" w:hAnsi="仿宋" w:eastAsia="黑体"/>
          <w:color w:val="000000" w:themeColor="text1"/>
          <w:sz w:val="32"/>
          <w:szCs w:val="32"/>
          <w14:textFill>
            <w14:solidFill>
              <w14:schemeClr w14:val="tx1"/>
            </w14:solidFill>
          </w14:textFill>
        </w:rPr>
        <w:t>年收支总表的说明</w:t>
      </w:r>
    </w:p>
    <w:p>
      <w:pPr>
        <w:pStyle w:val="5"/>
        <w:adjustRightInd w:val="0"/>
        <w:snapToGrid w:val="0"/>
        <w:spacing w:before="0" w:beforeAutospacing="0" w:after="0" w:afterAutospacing="0" w:line="600" w:lineRule="exact"/>
        <w:ind w:firstLine="627" w:firstLineChars="196"/>
        <w:jc w:val="both"/>
        <w:rPr>
          <w:rFonts w:ascii="仿宋_GB2312" w:hAnsi="仿宋" w:eastAsia="仿宋_GB2312"/>
          <w:sz w:val="32"/>
          <w:szCs w:val="32"/>
        </w:rPr>
      </w:pPr>
      <w:r>
        <w:rPr>
          <w:rFonts w:hint="eastAsia" w:ascii="仿宋_GB2312" w:hAnsi="仿宋" w:eastAsia="仿宋_GB2312"/>
          <w:sz w:val="32"/>
          <w:szCs w:val="32"/>
        </w:rPr>
        <w:t>按照综合预算的原则，</w:t>
      </w:r>
      <w:r>
        <w:rPr>
          <w:rFonts w:hint="eastAsia" w:ascii="仿宋_GB2312" w:hAnsi="仿宋" w:eastAsia="仿宋_GB2312"/>
          <w:sz w:val="32"/>
          <w:szCs w:val="32"/>
          <w:lang w:eastAsia="zh-CN"/>
        </w:rPr>
        <w:t>相山区民政局</w:t>
      </w:r>
      <w:r>
        <w:rPr>
          <w:rFonts w:hint="eastAsia" w:ascii="仿宋_GB2312" w:hAnsi="仿宋" w:eastAsia="仿宋_GB2312"/>
          <w:sz w:val="32"/>
          <w:szCs w:val="32"/>
        </w:rPr>
        <w:t>所有收入和支出均纳入部门预算管理。</w:t>
      </w:r>
      <w:r>
        <w:rPr>
          <w:rFonts w:hint="eastAsia" w:ascii="仿宋_GB2312" w:hAnsi="仿宋" w:eastAsia="仿宋_GB2312"/>
          <w:sz w:val="32"/>
          <w:szCs w:val="32"/>
          <w:lang w:eastAsia="zh-CN"/>
        </w:rPr>
        <w:t>相山区民政局2022</w:t>
      </w:r>
      <w:r>
        <w:rPr>
          <w:rFonts w:hint="eastAsia" w:ascii="仿宋_GB2312" w:hAnsi="仿宋" w:eastAsia="仿宋_GB2312"/>
          <w:sz w:val="32"/>
          <w:szCs w:val="32"/>
        </w:rPr>
        <w:t>年收支总预算</w:t>
      </w:r>
      <w:r>
        <w:rPr>
          <w:rFonts w:hint="eastAsia" w:ascii="仿宋_GB2312" w:hAnsi="仿宋" w:eastAsia="仿宋_GB2312"/>
          <w:sz w:val="32"/>
          <w:szCs w:val="32"/>
          <w:lang w:val="en-US" w:eastAsia="zh-CN"/>
        </w:rPr>
        <w:t>1525.26</w:t>
      </w:r>
      <w:r>
        <w:rPr>
          <w:rFonts w:hint="eastAsia" w:ascii="仿宋_GB2312" w:hAnsi="仿宋" w:eastAsia="仿宋_GB2312"/>
          <w:sz w:val="32"/>
          <w:szCs w:val="32"/>
        </w:rPr>
        <w:t>万元，收入</w:t>
      </w:r>
      <w:r>
        <w:rPr>
          <w:rFonts w:hint="eastAsia" w:ascii="仿宋_GB2312" w:hAnsi="仿宋" w:eastAsia="仿宋_GB2312"/>
          <w:sz w:val="32"/>
          <w:szCs w:val="32"/>
          <w:lang w:eastAsia="zh-CN"/>
        </w:rPr>
        <w:t>全部是</w:t>
      </w:r>
      <w:r>
        <w:rPr>
          <w:rFonts w:hint="eastAsia" w:ascii="仿宋_GB2312" w:hAnsi="仿宋" w:eastAsia="仿宋_GB2312"/>
          <w:sz w:val="32"/>
          <w:szCs w:val="32"/>
        </w:rPr>
        <w:t>一般公共预算拨款收入，支出包括：社会保障和就业支出、卫生健康支出、住房保障支出。</w:t>
      </w:r>
    </w:p>
    <w:p>
      <w:pPr>
        <w:pStyle w:val="5"/>
        <w:adjustRightInd w:val="0"/>
        <w:snapToGrid w:val="0"/>
        <w:spacing w:before="0" w:beforeAutospacing="0" w:after="0" w:afterAutospacing="0" w:line="600" w:lineRule="exact"/>
        <w:ind w:firstLine="627" w:firstLineChars="196"/>
        <w:rPr>
          <w:rFonts w:ascii="黑体" w:hAnsi="仿宋" w:eastAsia="黑体"/>
          <w:color w:val="000000" w:themeColor="text1"/>
          <w:sz w:val="32"/>
          <w:szCs w:val="32"/>
          <w14:textFill>
            <w14:solidFill>
              <w14:schemeClr w14:val="tx1"/>
            </w14:solidFill>
          </w14:textFill>
        </w:rPr>
      </w:pPr>
      <w:r>
        <w:rPr>
          <w:rFonts w:hint="eastAsia" w:ascii="黑体" w:hAnsi="仿宋" w:eastAsia="黑体"/>
          <w:color w:val="000000" w:themeColor="text1"/>
          <w:sz w:val="32"/>
          <w:szCs w:val="32"/>
          <w14:textFill>
            <w14:solidFill>
              <w14:schemeClr w14:val="tx1"/>
            </w14:solidFill>
          </w14:textFill>
        </w:rPr>
        <w:t>二、关于</w:t>
      </w:r>
      <w:r>
        <w:rPr>
          <w:rFonts w:hint="eastAsia" w:ascii="黑体" w:hAnsi="仿宋" w:eastAsia="黑体"/>
          <w:color w:val="000000" w:themeColor="text1"/>
          <w:sz w:val="32"/>
          <w:szCs w:val="32"/>
          <w:lang w:eastAsia="zh-CN"/>
          <w14:textFill>
            <w14:solidFill>
              <w14:schemeClr w14:val="tx1"/>
            </w14:solidFill>
          </w14:textFill>
        </w:rPr>
        <w:t>2022</w:t>
      </w:r>
      <w:r>
        <w:rPr>
          <w:rFonts w:hint="eastAsia" w:ascii="黑体" w:hAnsi="仿宋" w:eastAsia="黑体"/>
          <w:color w:val="000000" w:themeColor="text1"/>
          <w:sz w:val="32"/>
          <w:szCs w:val="32"/>
          <w14:textFill>
            <w14:solidFill>
              <w14:schemeClr w14:val="tx1"/>
            </w14:solidFill>
          </w14:textFill>
        </w:rPr>
        <w:t>年收入总表的说明</w:t>
      </w:r>
    </w:p>
    <w:p>
      <w:pPr>
        <w:adjustRightInd w:val="0"/>
        <w:snapToGrid w:val="0"/>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cs="宋体"/>
          <w:kern w:val="0"/>
          <w:sz w:val="32"/>
          <w:szCs w:val="32"/>
          <w:lang w:eastAsia="zh-CN"/>
        </w:rPr>
        <w:t>相山区民政局</w:t>
      </w:r>
      <w:r>
        <w:rPr>
          <w:rFonts w:hint="eastAsia" w:ascii="仿宋_GB2312" w:hAnsi="仿宋" w:eastAsia="仿宋_GB2312"/>
          <w:sz w:val="32"/>
          <w:szCs w:val="32"/>
          <w:lang w:eastAsia="zh-CN"/>
        </w:rPr>
        <w:t>2022</w:t>
      </w:r>
      <w:r>
        <w:rPr>
          <w:rFonts w:hint="eastAsia" w:ascii="仿宋_GB2312" w:hAnsi="仿宋" w:eastAsia="仿宋_GB2312"/>
          <w:sz w:val="32"/>
          <w:szCs w:val="32"/>
        </w:rPr>
        <w:t>年收入预算</w:t>
      </w:r>
      <w:r>
        <w:rPr>
          <w:rFonts w:hint="eastAsia" w:ascii="仿宋_GB2312" w:hAnsi="仿宋" w:eastAsia="仿宋_GB2312"/>
          <w:sz w:val="32"/>
          <w:szCs w:val="32"/>
          <w:lang w:val="en-US" w:eastAsia="zh-CN"/>
        </w:rPr>
        <w:t>1525.26</w:t>
      </w:r>
      <w:r>
        <w:rPr>
          <w:rFonts w:hint="eastAsia" w:ascii="仿宋_GB2312" w:hAnsi="仿宋" w:eastAsia="仿宋_GB2312"/>
          <w:sz w:val="32"/>
          <w:szCs w:val="32"/>
        </w:rPr>
        <w:t>万元，其中，本年收入</w:t>
      </w:r>
      <w:r>
        <w:rPr>
          <w:rFonts w:hint="eastAsia" w:ascii="仿宋_GB2312" w:hAnsi="仿宋" w:eastAsia="仿宋_GB2312"/>
          <w:sz w:val="32"/>
          <w:szCs w:val="32"/>
          <w:lang w:val="en-US" w:eastAsia="zh-CN"/>
        </w:rPr>
        <w:t>1525.26</w:t>
      </w:r>
      <w:r>
        <w:rPr>
          <w:rFonts w:hint="eastAsia" w:ascii="仿宋_GB2312" w:hAnsi="仿宋" w:eastAsia="仿宋_GB2312"/>
          <w:sz w:val="32"/>
          <w:szCs w:val="32"/>
        </w:rPr>
        <w:t>万元</w:t>
      </w:r>
      <w:r>
        <w:rPr>
          <w:rFonts w:hint="eastAsia" w:ascii="仿宋_GB2312" w:hAnsi="仿宋" w:eastAsia="仿宋_GB2312"/>
          <w:sz w:val="32"/>
          <w:szCs w:val="32"/>
          <w:lang w:eastAsia="zh-CN"/>
        </w:rPr>
        <w:t>，</w:t>
      </w:r>
      <w:r>
        <w:rPr>
          <w:rFonts w:hint="eastAsia" w:ascii="仿宋_GB2312" w:hAnsi="仿宋" w:eastAsia="仿宋_GB2312"/>
          <w:sz w:val="32"/>
          <w:szCs w:val="32"/>
        </w:rPr>
        <w:t>收入全部为一般公共预算拨款收入</w:t>
      </w:r>
      <w:r>
        <w:rPr>
          <w:rFonts w:hint="eastAsia" w:ascii="仿宋_GB2312" w:hAnsi="仿宋" w:eastAsia="仿宋_GB2312"/>
          <w:sz w:val="32"/>
          <w:szCs w:val="32"/>
          <w:lang w:eastAsia="zh-CN"/>
        </w:rPr>
        <w:t>。</w:t>
      </w:r>
    </w:p>
    <w:p>
      <w:pPr>
        <w:adjustRightInd w:val="0"/>
        <w:snapToGrid w:val="0"/>
        <w:spacing w:line="600" w:lineRule="exact"/>
        <w:rPr>
          <w:rFonts w:hint="eastAsia" w:ascii="仿宋_GB2312" w:hAnsi="仿宋" w:eastAsia="仿宋_GB2312"/>
          <w:sz w:val="32"/>
          <w:szCs w:val="32"/>
          <w:lang w:eastAsia="zh-CN"/>
        </w:rPr>
      </w:pPr>
      <w:r>
        <w:rPr>
          <w:rFonts w:hint="eastAsia" w:ascii="仿宋_GB2312" w:hAnsi="仿宋" w:eastAsia="仿宋_GB2312"/>
          <w:sz w:val="32"/>
          <w:szCs w:val="32"/>
        </w:rPr>
        <w:t>比202</w:t>
      </w:r>
      <w:r>
        <w:rPr>
          <w:rFonts w:hint="eastAsia" w:ascii="仿宋_GB2312" w:hAnsi="仿宋" w:eastAsia="仿宋_GB2312"/>
          <w:sz w:val="32"/>
          <w:szCs w:val="32"/>
          <w:lang w:val="en-US" w:eastAsia="zh-CN"/>
        </w:rPr>
        <w:t>1</w:t>
      </w:r>
      <w:r>
        <w:rPr>
          <w:rFonts w:hint="eastAsia" w:ascii="仿宋_GB2312" w:hAnsi="仿宋" w:eastAsia="仿宋_GB2312"/>
          <w:sz w:val="32"/>
          <w:szCs w:val="32"/>
        </w:rPr>
        <w:t>年预算</w:t>
      </w:r>
      <w:r>
        <w:rPr>
          <w:rFonts w:hint="eastAsia" w:ascii="仿宋_GB2312" w:hAnsi="仿宋" w:eastAsia="仿宋_GB2312"/>
          <w:sz w:val="32"/>
          <w:szCs w:val="32"/>
          <w:lang w:eastAsia="zh-CN"/>
        </w:rPr>
        <w:t>增加</w:t>
      </w:r>
      <w:r>
        <w:rPr>
          <w:rFonts w:hint="eastAsia" w:ascii="仿宋_GB2312" w:hAnsi="仿宋" w:eastAsia="仿宋_GB2312"/>
          <w:sz w:val="32"/>
          <w:szCs w:val="32"/>
          <w:lang w:val="en-US" w:eastAsia="zh-CN"/>
        </w:rPr>
        <w:t>107.65</w:t>
      </w:r>
      <w:r>
        <w:rPr>
          <w:rFonts w:hint="eastAsia" w:ascii="仿宋_GB2312" w:hAnsi="仿宋" w:eastAsia="仿宋_GB2312"/>
          <w:sz w:val="32"/>
          <w:szCs w:val="32"/>
        </w:rPr>
        <w:t>万元，</w:t>
      </w:r>
      <w:r>
        <w:rPr>
          <w:rFonts w:hint="eastAsia" w:ascii="仿宋_GB2312" w:hAnsi="仿宋" w:eastAsia="仿宋_GB2312"/>
          <w:sz w:val="32"/>
          <w:szCs w:val="32"/>
          <w:lang w:eastAsia="zh-CN"/>
        </w:rPr>
        <w:t>增长</w:t>
      </w:r>
      <w:r>
        <w:rPr>
          <w:rFonts w:hint="eastAsia" w:ascii="仿宋_GB2312" w:hAnsi="仿宋" w:eastAsia="仿宋_GB2312"/>
          <w:sz w:val="32"/>
          <w:szCs w:val="32"/>
          <w:lang w:val="en-US" w:eastAsia="zh-CN"/>
        </w:rPr>
        <w:t>7.59</w:t>
      </w:r>
      <w:r>
        <w:rPr>
          <w:rFonts w:hint="eastAsia" w:ascii="仿宋_GB2312" w:hAnsi="仿宋" w:eastAsia="仿宋_GB2312"/>
          <w:sz w:val="32"/>
          <w:szCs w:val="32"/>
        </w:rPr>
        <w:t>%，原因主要是</w:t>
      </w:r>
      <w:r>
        <w:rPr>
          <w:rFonts w:hint="eastAsia" w:ascii="仿宋_GB2312" w:hAnsi="仿宋" w:eastAsia="仿宋_GB2312"/>
          <w:sz w:val="32"/>
          <w:szCs w:val="32"/>
          <w:lang w:eastAsia="zh-CN"/>
        </w:rPr>
        <w:t>工作需要增加</w:t>
      </w:r>
      <w:r>
        <w:rPr>
          <w:rFonts w:hint="eastAsia" w:ascii="仿宋_GB2312" w:hAnsi="仿宋" w:eastAsia="仿宋_GB2312"/>
          <w:sz w:val="32"/>
          <w:szCs w:val="32"/>
        </w:rPr>
        <w:t>小微权利监督管理平台</w:t>
      </w:r>
      <w:r>
        <w:rPr>
          <w:rFonts w:hint="eastAsia" w:ascii="仿宋_GB2312" w:hAnsi="仿宋" w:eastAsia="仿宋_GB2312"/>
          <w:sz w:val="32"/>
          <w:szCs w:val="32"/>
          <w:lang w:eastAsia="zh-CN"/>
        </w:rPr>
        <w:t>、镇(街)、开发区社工站建设项目、城市低保金。</w:t>
      </w:r>
    </w:p>
    <w:p>
      <w:pPr>
        <w:adjustRightInd w:val="0"/>
        <w:snapToGrid w:val="0"/>
        <w:spacing w:line="600" w:lineRule="exact"/>
        <w:ind w:firstLine="640" w:firstLineChars="200"/>
        <w:rPr>
          <w:rFonts w:ascii="黑体" w:hAnsi="仿宋" w:eastAsia="黑体" w:cs="宋体"/>
          <w:color w:val="000000" w:themeColor="text1"/>
          <w:kern w:val="0"/>
          <w:sz w:val="32"/>
          <w:szCs w:val="32"/>
          <w14:textFill>
            <w14:solidFill>
              <w14:schemeClr w14:val="tx1"/>
            </w14:solidFill>
          </w14:textFill>
        </w:rPr>
      </w:pPr>
      <w:r>
        <w:rPr>
          <w:rFonts w:hint="eastAsia" w:ascii="黑体" w:hAnsi="仿宋" w:eastAsia="黑体" w:cs="宋体"/>
          <w:color w:val="000000" w:themeColor="text1"/>
          <w:kern w:val="0"/>
          <w:sz w:val="32"/>
          <w:szCs w:val="32"/>
          <w14:textFill>
            <w14:solidFill>
              <w14:schemeClr w14:val="tx1"/>
            </w14:solidFill>
          </w14:textFill>
        </w:rPr>
        <w:t>三、关于</w:t>
      </w:r>
      <w:r>
        <w:rPr>
          <w:rFonts w:hint="eastAsia" w:ascii="黑体" w:hAnsi="仿宋" w:eastAsia="黑体" w:cs="宋体"/>
          <w:color w:val="000000" w:themeColor="text1"/>
          <w:kern w:val="0"/>
          <w:sz w:val="32"/>
          <w:szCs w:val="32"/>
          <w:lang w:eastAsia="zh-CN"/>
          <w14:textFill>
            <w14:solidFill>
              <w14:schemeClr w14:val="tx1"/>
            </w14:solidFill>
          </w14:textFill>
        </w:rPr>
        <w:t>2022</w:t>
      </w:r>
      <w:r>
        <w:rPr>
          <w:rFonts w:hint="eastAsia" w:ascii="黑体" w:hAnsi="仿宋" w:eastAsia="黑体" w:cs="宋体"/>
          <w:color w:val="000000" w:themeColor="text1"/>
          <w:kern w:val="0"/>
          <w:sz w:val="32"/>
          <w:szCs w:val="32"/>
          <w14:textFill>
            <w14:solidFill>
              <w14:schemeClr w14:val="tx1"/>
            </w14:solidFill>
          </w14:textFill>
        </w:rPr>
        <w:t>年支出总表的说明</w:t>
      </w:r>
    </w:p>
    <w:p>
      <w:pPr>
        <w:adjustRightInd w:val="0"/>
        <w:snapToGrid w:val="0"/>
        <w:spacing w:line="600" w:lineRule="exact"/>
        <w:ind w:firstLine="640" w:firstLineChars="200"/>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eastAsia="zh-CN"/>
        </w:rPr>
        <w:t>相山区民政局2022</w:t>
      </w:r>
      <w:r>
        <w:rPr>
          <w:rFonts w:hint="eastAsia" w:ascii="仿宋_GB2312" w:hAnsi="仿宋" w:eastAsia="仿宋_GB2312" w:cs="Times New Roman"/>
          <w:sz w:val="32"/>
          <w:szCs w:val="32"/>
        </w:rPr>
        <w:t>年支出预算</w:t>
      </w:r>
      <w:r>
        <w:rPr>
          <w:rFonts w:hint="eastAsia" w:ascii="仿宋_GB2312" w:hAnsi="仿宋" w:eastAsia="仿宋_GB2312" w:cs="Times New Roman"/>
          <w:sz w:val="32"/>
          <w:szCs w:val="32"/>
          <w:lang w:val="en-US" w:eastAsia="zh-CN"/>
        </w:rPr>
        <w:t>1525.26</w:t>
      </w:r>
      <w:r>
        <w:rPr>
          <w:rFonts w:hint="eastAsia" w:ascii="仿宋_GB2312" w:hAnsi="仿宋" w:eastAsia="仿宋_GB2312" w:cs="Times New Roman"/>
          <w:sz w:val="32"/>
          <w:szCs w:val="32"/>
        </w:rPr>
        <w:t>万元，比</w:t>
      </w:r>
      <w:r>
        <w:rPr>
          <w:rFonts w:hint="eastAsia" w:ascii="仿宋_GB2312" w:hAnsi="仿宋" w:eastAsia="仿宋_GB2312" w:cs="Times New Roman"/>
          <w:sz w:val="32"/>
          <w:szCs w:val="32"/>
          <w:lang w:eastAsia="zh-CN"/>
        </w:rPr>
        <w:t>2021</w:t>
      </w:r>
      <w:r>
        <w:rPr>
          <w:rFonts w:hint="eastAsia" w:ascii="仿宋_GB2312" w:hAnsi="仿宋" w:eastAsia="仿宋_GB2312" w:cs="Times New Roman"/>
          <w:sz w:val="32"/>
          <w:szCs w:val="32"/>
        </w:rPr>
        <w:t>年预算增加</w:t>
      </w:r>
      <w:r>
        <w:rPr>
          <w:rFonts w:hint="eastAsia" w:ascii="仿宋_GB2312" w:hAnsi="仿宋" w:eastAsia="仿宋_GB2312" w:cs="Times New Roman"/>
          <w:sz w:val="32"/>
          <w:szCs w:val="32"/>
          <w:lang w:val="en-US" w:eastAsia="zh-CN"/>
        </w:rPr>
        <w:t>107.65</w:t>
      </w:r>
      <w:r>
        <w:rPr>
          <w:rFonts w:hint="eastAsia" w:ascii="仿宋_GB2312" w:hAnsi="仿宋" w:eastAsia="仿宋_GB2312" w:cs="Times New Roman"/>
          <w:sz w:val="32"/>
          <w:szCs w:val="32"/>
        </w:rPr>
        <w:t>万元，增长</w:t>
      </w:r>
      <w:r>
        <w:rPr>
          <w:rFonts w:hint="eastAsia" w:ascii="仿宋_GB2312" w:hAnsi="仿宋" w:eastAsia="仿宋_GB2312" w:cs="Times New Roman"/>
          <w:sz w:val="32"/>
          <w:szCs w:val="32"/>
          <w:lang w:val="en-US" w:eastAsia="zh-CN"/>
        </w:rPr>
        <w:t>7.59</w:t>
      </w:r>
      <w:r>
        <w:rPr>
          <w:rFonts w:hint="eastAsia" w:ascii="仿宋_GB2312" w:hAnsi="仿宋" w:eastAsia="仿宋_GB2312" w:cs="Times New Roman"/>
          <w:sz w:val="32"/>
          <w:szCs w:val="32"/>
        </w:rPr>
        <w:t>%，增长原因主要是</w:t>
      </w:r>
      <w:r>
        <w:rPr>
          <w:rFonts w:hint="eastAsia" w:ascii="仿宋_GB2312" w:hAnsi="仿宋" w:eastAsia="仿宋_GB2312"/>
          <w:sz w:val="32"/>
          <w:szCs w:val="32"/>
          <w:lang w:eastAsia="zh-CN"/>
        </w:rPr>
        <w:t>增加基层政权</w:t>
      </w:r>
      <w:r>
        <w:rPr>
          <w:rFonts w:hint="eastAsia" w:ascii="仿宋_GB2312" w:hAnsi="仿宋" w:eastAsia="仿宋_GB2312"/>
          <w:sz w:val="32"/>
          <w:szCs w:val="32"/>
        </w:rPr>
        <w:t>小微权利监督管理平台</w:t>
      </w:r>
      <w:r>
        <w:rPr>
          <w:rFonts w:hint="eastAsia" w:ascii="仿宋_GB2312" w:hAnsi="仿宋" w:eastAsia="仿宋_GB2312"/>
          <w:sz w:val="32"/>
          <w:szCs w:val="32"/>
          <w:lang w:eastAsia="zh-CN"/>
        </w:rPr>
        <w:t>、社工站建设项目及城市低保金</w:t>
      </w:r>
      <w:r>
        <w:rPr>
          <w:rFonts w:hint="eastAsia" w:ascii="仿宋_GB2312" w:hAnsi="仿宋" w:eastAsia="仿宋_GB2312" w:cs="Times New Roman"/>
          <w:sz w:val="32"/>
          <w:szCs w:val="32"/>
        </w:rPr>
        <w:t>。其中，基本支出</w:t>
      </w:r>
      <w:r>
        <w:rPr>
          <w:rFonts w:hint="eastAsia" w:ascii="仿宋_GB2312" w:hAnsi="仿宋" w:eastAsia="仿宋_GB2312" w:cs="Times New Roman"/>
          <w:sz w:val="32"/>
          <w:szCs w:val="32"/>
          <w:lang w:val="en-US" w:eastAsia="zh-CN"/>
        </w:rPr>
        <w:t>317.88</w:t>
      </w:r>
      <w:r>
        <w:rPr>
          <w:rFonts w:hint="eastAsia" w:ascii="仿宋_GB2312" w:hAnsi="仿宋" w:eastAsia="仿宋_GB2312" w:cs="Times New Roman"/>
          <w:sz w:val="32"/>
          <w:szCs w:val="32"/>
        </w:rPr>
        <w:t>万元，占</w:t>
      </w:r>
      <w:r>
        <w:rPr>
          <w:rFonts w:hint="eastAsia" w:ascii="仿宋_GB2312" w:hAnsi="仿宋" w:eastAsia="仿宋_GB2312" w:cs="Times New Roman"/>
          <w:sz w:val="32"/>
          <w:szCs w:val="32"/>
          <w:lang w:val="en-US" w:eastAsia="zh-CN"/>
        </w:rPr>
        <w:t>20.84</w:t>
      </w:r>
      <w:r>
        <w:rPr>
          <w:rFonts w:hint="eastAsia" w:ascii="仿宋_GB2312" w:hAnsi="仿宋" w:eastAsia="仿宋_GB2312" w:cs="Times New Roman"/>
          <w:sz w:val="32"/>
          <w:szCs w:val="32"/>
        </w:rPr>
        <w:t>%，主要用于保障机构日常运转、完成日常工作任务</w:t>
      </w:r>
      <w:r>
        <w:rPr>
          <w:rFonts w:hint="eastAsia" w:ascii="仿宋_GB2312" w:hAnsi="仿宋" w:eastAsia="仿宋_GB2312" w:cs="Times New Roman"/>
          <w:sz w:val="32"/>
          <w:szCs w:val="32"/>
          <w:lang w:eastAsia="zh-CN"/>
        </w:rPr>
        <w:t>等</w:t>
      </w:r>
      <w:r>
        <w:rPr>
          <w:rFonts w:hint="eastAsia" w:ascii="仿宋_GB2312" w:hAnsi="仿宋" w:eastAsia="仿宋_GB2312" w:cs="Times New Roman"/>
          <w:sz w:val="32"/>
          <w:szCs w:val="32"/>
        </w:rPr>
        <w:t>；项目支出</w:t>
      </w:r>
      <w:r>
        <w:rPr>
          <w:rFonts w:hint="eastAsia" w:ascii="仿宋_GB2312" w:hAnsi="仿宋" w:eastAsia="仿宋_GB2312" w:cs="Times New Roman"/>
          <w:sz w:val="32"/>
          <w:szCs w:val="32"/>
          <w:lang w:val="en-US" w:eastAsia="zh-CN"/>
        </w:rPr>
        <w:t>1207.38</w:t>
      </w:r>
      <w:r>
        <w:rPr>
          <w:rFonts w:hint="eastAsia" w:ascii="仿宋_GB2312" w:hAnsi="仿宋" w:eastAsia="仿宋_GB2312" w:cs="Times New Roman"/>
          <w:sz w:val="32"/>
          <w:szCs w:val="32"/>
        </w:rPr>
        <w:t>万元，占</w:t>
      </w:r>
      <w:r>
        <w:rPr>
          <w:rFonts w:hint="eastAsia" w:ascii="仿宋_GB2312" w:hAnsi="仿宋" w:eastAsia="仿宋_GB2312" w:cs="Times New Roman"/>
          <w:sz w:val="32"/>
          <w:szCs w:val="32"/>
          <w:lang w:val="en-US" w:eastAsia="zh-CN"/>
        </w:rPr>
        <w:t>79.16</w:t>
      </w:r>
      <w:r>
        <w:rPr>
          <w:rFonts w:hint="eastAsia" w:ascii="仿宋_GB2312" w:hAnsi="仿宋" w:eastAsia="仿宋_GB2312" w:cs="Times New Roman"/>
          <w:sz w:val="32"/>
          <w:szCs w:val="32"/>
        </w:rPr>
        <w:t>%，主要用于</w:t>
      </w:r>
      <w:r>
        <w:rPr>
          <w:rFonts w:hint="eastAsia" w:ascii="仿宋_GB2312" w:hAnsi="仿宋" w:eastAsia="仿宋_GB2312" w:cs="Times New Roman"/>
          <w:sz w:val="32"/>
          <w:szCs w:val="32"/>
          <w:lang w:eastAsia="zh-CN"/>
        </w:rPr>
        <w:t>工作经费、发放各种困难群众救助、基层政权社区建设、社工站建设等。</w:t>
      </w:r>
    </w:p>
    <w:p>
      <w:pPr>
        <w:adjustRightInd w:val="0"/>
        <w:snapToGrid w:val="0"/>
        <w:spacing w:line="600" w:lineRule="exact"/>
        <w:ind w:firstLine="640" w:firstLineChars="200"/>
        <w:rPr>
          <w:rFonts w:ascii="黑体" w:hAnsi="仿宋" w:eastAsia="黑体" w:cs="宋体"/>
          <w:color w:val="000000" w:themeColor="text1"/>
          <w:kern w:val="0"/>
          <w:sz w:val="32"/>
          <w:szCs w:val="32"/>
          <w14:textFill>
            <w14:solidFill>
              <w14:schemeClr w14:val="tx1"/>
            </w14:solidFill>
          </w14:textFill>
        </w:rPr>
      </w:pPr>
      <w:r>
        <w:rPr>
          <w:rFonts w:hint="eastAsia" w:ascii="黑体" w:hAnsi="仿宋" w:eastAsia="黑体" w:cs="宋体"/>
          <w:color w:val="000000" w:themeColor="text1"/>
          <w:kern w:val="0"/>
          <w:sz w:val="32"/>
          <w:szCs w:val="32"/>
          <w14:textFill>
            <w14:solidFill>
              <w14:schemeClr w14:val="tx1"/>
            </w14:solidFill>
          </w14:textFill>
        </w:rPr>
        <w:t>四、关于</w:t>
      </w:r>
      <w:r>
        <w:rPr>
          <w:rFonts w:hint="eastAsia" w:ascii="黑体" w:hAnsi="仿宋" w:eastAsia="黑体" w:cs="宋体"/>
          <w:color w:val="000000" w:themeColor="text1"/>
          <w:kern w:val="0"/>
          <w:sz w:val="32"/>
          <w:szCs w:val="32"/>
          <w:lang w:eastAsia="zh-CN"/>
          <w14:textFill>
            <w14:solidFill>
              <w14:schemeClr w14:val="tx1"/>
            </w14:solidFill>
          </w14:textFill>
        </w:rPr>
        <w:t>2022</w:t>
      </w:r>
      <w:r>
        <w:rPr>
          <w:rFonts w:hint="eastAsia" w:ascii="黑体" w:hAnsi="仿宋" w:eastAsia="黑体" w:cs="宋体"/>
          <w:color w:val="000000" w:themeColor="text1"/>
          <w:kern w:val="0"/>
          <w:sz w:val="32"/>
          <w:szCs w:val="32"/>
          <w14:textFill>
            <w14:solidFill>
              <w14:schemeClr w14:val="tx1"/>
            </w14:solidFill>
          </w14:textFill>
        </w:rPr>
        <w:t>年财政拨款收支总表的说明</w:t>
      </w:r>
    </w:p>
    <w:p>
      <w:pPr>
        <w:pStyle w:val="5"/>
        <w:adjustRightInd w:val="0"/>
        <w:snapToGrid w:val="0"/>
        <w:spacing w:before="0" w:beforeAutospacing="0" w:after="0" w:afterAutospacing="0" w:line="600" w:lineRule="exact"/>
        <w:ind w:firstLine="640" w:firstLineChars="200"/>
        <w:rPr>
          <w:rFonts w:ascii="仿宋_GB2312" w:hAnsi="仿宋" w:eastAsia="仿宋_GB2312" w:cs="Times New Roman"/>
          <w:kern w:val="2"/>
          <w:sz w:val="32"/>
          <w:szCs w:val="32"/>
        </w:rPr>
      </w:pPr>
      <w:r>
        <w:rPr>
          <w:rFonts w:hint="eastAsia" w:ascii="仿宋_GB2312" w:hAnsi="仿宋" w:eastAsia="仿宋_GB2312" w:cs="Times New Roman"/>
          <w:kern w:val="2"/>
          <w:sz w:val="32"/>
          <w:szCs w:val="32"/>
          <w:lang w:eastAsia="zh-CN"/>
        </w:rPr>
        <w:t>相山区民政局2022</w:t>
      </w:r>
      <w:r>
        <w:rPr>
          <w:rFonts w:hint="eastAsia" w:ascii="仿宋_GB2312" w:hAnsi="仿宋" w:eastAsia="仿宋_GB2312" w:cs="Times New Roman"/>
          <w:kern w:val="2"/>
          <w:sz w:val="32"/>
          <w:szCs w:val="32"/>
        </w:rPr>
        <w:t>年财政拨款收支预算</w:t>
      </w:r>
      <w:r>
        <w:rPr>
          <w:rFonts w:hint="eastAsia" w:ascii="仿宋_GB2312" w:hAnsi="仿宋" w:eastAsia="仿宋_GB2312" w:cs="Times New Roman"/>
          <w:sz w:val="32"/>
          <w:szCs w:val="32"/>
          <w:lang w:val="en-US" w:eastAsia="zh-CN"/>
        </w:rPr>
        <w:t>1525.26</w:t>
      </w:r>
      <w:r>
        <w:rPr>
          <w:rFonts w:hint="eastAsia" w:ascii="仿宋_GB2312" w:hAnsi="仿宋" w:eastAsia="仿宋_GB2312" w:cs="Times New Roman"/>
          <w:kern w:val="2"/>
          <w:sz w:val="32"/>
          <w:szCs w:val="32"/>
        </w:rPr>
        <w:t>万元。收入按资金来源分全部为一般公共预算拨款</w:t>
      </w:r>
      <w:r>
        <w:rPr>
          <w:rFonts w:hint="eastAsia" w:ascii="仿宋_GB2312" w:hAnsi="仿宋" w:eastAsia="仿宋_GB2312" w:cs="Times New Roman"/>
          <w:kern w:val="2"/>
          <w:sz w:val="32"/>
          <w:szCs w:val="32"/>
          <w:lang w:val="en-US" w:eastAsia="zh-CN"/>
        </w:rPr>
        <w:t>1525.26万元</w:t>
      </w:r>
      <w:r>
        <w:rPr>
          <w:rFonts w:hint="eastAsia" w:ascii="仿宋_GB2312" w:hAnsi="仿宋" w:eastAsia="仿宋_GB2312" w:cs="Times New Roman"/>
          <w:kern w:val="2"/>
          <w:sz w:val="32"/>
          <w:szCs w:val="32"/>
        </w:rPr>
        <w:t>；按资金年度分全部为当年财政拨款收入（</w:t>
      </w:r>
      <w:r>
        <w:rPr>
          <w:rFonts w:hint="eastAsia" w:ascii="仿宋_GB2312" w:hAnsi="仿宋" w:eastAsia="仿宋_GB2312" w:cs="Times New Roman"/>
          <w:kern w:val="2"/>
          <w:sz w:val="32"/>
          <w:szCs w:val="32"/>
          <w:lang w:eastAsia="zh-CN"/>
        </w:rPr>
        <w:t>含</w:t>
      </w:r>
      <w:r>
        <w:rPr>
          <w:rFonts w:hint="eastAsia" w:ascii="仿宋_GB2312" w:hAnsi="仿宋" w:eastAsia="仿宋_GB2312" w:cs="Times New Roman"/>
          <w:kern w:val="2"/>
          <w:sz w:val="32"/>
          <w:szCs w:val="32"/>
        </w:rPr>
        <w:t>上年结转）</w:t>
      </w:r>
      <w:r>
        <w:rPr>
          <w:rFonts w:hint="eastAsia" w:ascii="仿宋_GB2312" w:hAnsi="仿宋" w:eastAsia="仿宋_GB2312" w:cs="Times New Roman"/>
          <w:kern w:val="2"/>
          <w:sz w:val="32"/>
          <w:szCs w:val="32"/>
          <w:lang w:val="en-US" w:eastAsia="zh-CN"/>
        </w:rPr>
        <w:t>1525.26万元</w:t>
      </w:r>
      <w:r>
        <w:rPr>
          <w:rFonts w:hint="eastAsia" w:ascii="仿宋_GB2312" w:hAnsi="仿宋" w:eastAsia="仿宋_GB2312" w:cs="Times New Roman"/>
          <w:kern w:val="2"/>
          <w:sz w:val="32"/>
          <w:szCs w:val="32"/>
        </w:rPr>
        <w:t>。支出按功能分类分为：社会保障和就业支出</w:t>
      </w:r>
      <w:r>
        <w:rPr>
          <w:rFonts w:hint="eastAsia" w:ascii="仿宋_GB2312" w:hAnsi="仿宋" w:eastAsia="仿宋_GB2312" w:cs="Times New Roman"/>
          <w:kern w:val="2"/>
          <w:sz w:val="32"/>
          <w:szCs w:val="32"/>
          <w:lang w:val="en-US" w:eastAsia="zh-CN"/>
        </w:rPr>
        <w:t>1462.02</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95.85</w:t>
      </w:r>
      <w:r>
        <w:rPr>
          <w:rFonts w:hint="eastAsia" w:ascii="仿宋_GB2312" w:hAnsi="仿宋" w:eastAsia="仿宋_GB2312" w:cs="Times New Roman"/>
          <w:kern w:val="2"/>
          <w:sz w:val="32"/>
          <w:szCs w:val="32"/>
        </w:rPr>
        <w:t>%；卫生健康支出</w:t>
      </w:r>
      <w:r>
        <w:rPr>
          <w:rFonts w:hint="eastAsia" w:ascii="仿宋_GB2312" w:hAnsi="仿宋" w:eastAsia="仿宋_GB2312" w:cs="Times New Roman"/>
          <w:kern w:val="2"/>
          <w:sz w:val="32"/>
          <w:szCs w:val="32"/>
          <w:lang w:val="en-US" w:eastAsia="zh-CN"/>
        </w:rPr>
        <w:t>17.49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1.15</w:t>
      </w:r>
      <w:r>
        <w:rPr>
          <w:rFonts w:hint="eastAsia" w:ascii="仿宋_GB2312" w:hAnsi="仿宋" w:eastAsia="仿宋_GB2312" w:cs="Times New Roman"/>
          <w:kern w:val="2"/>
          <w:sz w:val="32"/>
          <w:szCs w:val="32"/>
        </w:rPr>
        <w:t>%；住房保障支出</w:t>
      </w:r>
      <w:r>
        <w:rPr>
          <w:rFonts w:hint="eastAsia" w:ascii="仿宋_GB2312" w:hAnsi="仿宋" w:eastAsia="仿宋_GB2312" w:cs="Times New Roman"/>
          <w:kern w:val="2"/>
          <w:sz w:val="32"/>
          <w:szCs w:val="32"/>
          <w:lang w:val="en-US" w:eastAsia="zh-CN"/>
        </w:rPr>
        <w:t>45.74</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w:t>
      </w:r>
      <w:r>
        <w:rPr>
          <w:rFonts w:hint="eastAsia" w:ascii="仿宋_GB2312" w:hAnsi="仿宋" w:eastAsia="仿宋_GB2312" w:cs="Times New Roman"/>
          <w:kern w:val="2"/>
          <w:sz w:val="32"/>
          <w:szCs w:val="32"/>
        </w:rPr>
        <w:t>%。</w:t>
      </w:r>
    </w:p>
    <w:p>
      <w:pPr>
        <w:pStyle w:val="5"/>
        <w:adjustRightInd w:val="0"/>
        <w:snapToGrid w:val="0"/>
        <w:spacing w:before="0" w:beforeAutospacing="0" w:after="0" w:afterAutospacing="0" w:line="600" w:lineRule="exact"/>
        <w:ind w:firstLine="640" w:firstLineChars="200"/>
        <w:rPr>
          <w:rFonts w:ascii="黑体" w:hAnsi="仿宋" w:eastAsia="黑体"/>
          <w:color w:val="000000" w:themeColor="text1"/>
          <w:sz w:val="32"/>
          <w:szCs w:val="32"/>
          <w14:textFill>
            <w14:solidFill>
              <w14:schemeClr w14:val="tx1"/>
            </w14:solidFill>
          </w14:textFill>
        </w:rPr>
      </w:pPr>
      <w:r>
        <w:rPr>
          <w:rFonts w:hint="eastAsia" w:ascii="黑体" w:hAnsi="仿宋" w:eastAsia="黑体"/>
          <w:color w:val="000000" w:themeColor="text1"/>
          <w:sz w:val="32"/>
          <w:szCs w:val="32"/>
          <w14:textFill>
            <w14:solidFill>
              <w14:schemeClr w14:val="tx1"/>
            </w14:solidFill>
          </w14:textFill>
        </w:rPr>
        <w:t>五、关于</w:t>
      </w:r>
      <w:r>
        <w:rPr>
          <w:rFonts w:hint="eastAsia" w:ascii="黑体" w:hAnsi="仿宋" w:eastAsia="黑体"/>
          <w:color w:val="000000" w:themeColor="text1"/>
          <w:sz w:val="32"/>
          <w:szCs w:val="32"/>
          <w:lang w:eastAsia="zh-CN"/>
          <w14:textFill>
            <w14:solidFill>
              <w14:schemeClr w14:val="tx1"/>
            </w14:solidFill>
          </w14:textFill>
        </w:rPr>
        <w:t>2022</w:t>
      </w:r>
      <w:r>
        <w:rPr>
          <w:rFonts w:hint="eastAsia" w:ascii="黑体" w:hAnsi="仿宋" w:eastAsia="黑体"/>
          <w:color w:val="000000" w:themeColor="text1"/>
          <w:sz w:val="32"/>
          <w:szCs w:val="32"/>
          <w14:textFill>
            <w14:solidFill>
              <w14:schemeClr w14:val="tx1"/>
            </w14:solidFill>
          </w14:textFill>
        </w:rPr>
        <w:t>年一般公共预算支出表的说明</w:t>
      </w:r>
    </w:p>
    <w:p>
      <w:pPr>
        <w:pStyle w:val="5"/>
        <w:adjustRightInd w:val="0"/>
        <w:snapToGrid w:val="0"/>
        <w:spacing w:before="0" w:beforeAutospacing="0" w:after="0" w:afterAutospacing="0" w:line="600" w:lineRule="exact"/>
        <w:ind w:firstLine="630" w:firstLineChars="196"/>
        <w:rPr>
          <w:rFonts w:ascii="楷体_GB2312" w:hAnsi="仿宋" w:eastAsia="楷体_GB2312" w:cs="Times New Roman"/>
          <w:b/>
          <w:kern w:val="2"/>
          <w:sz w:val="32"/>
          <w:szCs w:val="32"/>
        </w:rPr>
      </w:pPr>
      <w:r>
        <w:rPr>
          <w:rFonts w:hint="eastAsia" w:ascii="楷体_GB2312" w:hAnsi="仿宋" w:eastAsia="楷体_GB2312" w:cs="Times New Roman"/>
          <w:b/>
          <w:kern w:val="2"/>
          <w:sz w:val="32"/>
          <w:szCs w:val="32"/>
        </w:rPr>
        <w:t>（一）一般公共预算支出规模变化情况。</w:t>
      </w:r>
    </w:p>
    <w:p>
      <w:pPr>
        <w:pStyle w:val="5"/>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仿宋_GB2312" w:hAnsi="仿宋" w:eastAsia="仿宋_GB2312" w:cs="Times New Roman"/>
          <w:kern w:val="2"/>
          <w:sz w:val="32"/>
          <w:szCs w:val="32"/>
          <w:lang w:eastAsia="zh-CN"/>
        </w:rPr>
        <w:t>相山区民政局2022</w:t>
      </w:r>
      <w:r>
        <w:rPr>
          <w:rFonts w:hint="eastAsia" w:ascii="仿宋_GB2312" w:hAnsi="仿宋" w:eastAsia="仿宋_GB2312" w:cs="Times New Roman"/>
          <w:kern w:val="2"/>
          <w:sz w:val="32"/>
          <w:szCs w:val="32"/>
        </w:rPr>
        <w:t>年一般公共预算支出</w:t>
      </w:r>
      <w:r>
        <w:rPr>
          <w:rFonts w:hint="eastAsia" w:ascii="仿宋_GB2312" w:hAnsi="仿宋" w:eastAsia="仿宋_GB2312" w:cs="Times New Roman"/>
          <w:kern w:val="2"/>
          <w:sz w:val="32"/>
          <w:szCs w:val="32"/>
          <w:lang w:val="en-US" w:eastAsia="zh-CN"/>
        </w:rPr>
        <w:t>1525.26</w:t>
      </w:r>
      <w:r>
        <w:rPr>
          <w:rFonts w:hint="eastAsia" w:ascii="仿宋_GB2312" w:hAnsi="仿宋" w:eastAsia="仿宋_GB2312" w:cs="Times New Roman"/>
          <w:kern w:val="2"/>
          <w:sz w:val="32"/>
          <w:szCs w:val="32"/>
        </w:rPr>
        <w:t>万元，比</w:t>
      </w:r>
      <w:r>
        <w:rPr>
          <w:rFonts w:hint="eastAsia" w:ascii="仿宋_GB2312" w:hAnsi="仿宋" w:eastAsia="仿宋_GB2312" w:cs="Times New Roman"/>
          <w:kern w:val="2"/>
          <w:sz w:val="32"/>
          <w:szCs w:val="32"/>
          <w:lang w:eastAsia="zh-CN"/>
        </w:rPr>
        <w:t>2021</w:t>
      </w:r>
      <w:r>
        <w:rPr>
          <w:rFonts w:hint="eastAsia" w:ascii="仿宋_GB2312" w:hAnsi="仿宋" w:eastAsia="仿宋_GB2312" w:cs="Times New Roman"/>
          <w:kern w:val="2"/>
          <w:sz w:val="32"/>
          <w:szCs w:val="32"/>
        </w:rPr>
        <w:t>年预算增加</w:t>
      </w:r>
      <w:r>
        <w:rPr>
          <w:rFonts w:hint="eastAsia" w:ascii="仿宋_GB2312" w:hAnsi="仿宋" w:eastAsia="仿宋_GB2312" w:cs="Times New Roman"/>
          <w:kern w:val="2"/>
          <w:sz w:val="32"/>
          <w:szCs w:val="32"/>
          <w:lang w:val="en-US" w:eastAsia="zh-CN"/>
        </w:rPr>
        <w:t>107.65</w:t>
      </w:r>
      <w:r>
        <w:rPr>
          <w:rFonts w:hint="eastAsia" w:ascii="仿宋_GB2312" w:hAnsi="仿宋" w:eastAsia="仿宋_GB2312" w:cs="Times New Roman"/>
          <w:kern w:val="2"/>
          <w:sz w:val="32"/>
          <w:szCs w:val="32"/>
        </w:rPr>
        <w:t>万元，增长</w:t>
      </w:r>
      <w:r>
        <w:rPr>
          <w:rFonts w:hint="eastAsia" w:ascii="仿宋_GB2312" w:hAnsi="仿宋" w:eastAsia="仿宋_GB2312" w:cs="Times New Roman"/>
          <w:kern w:val="2"/>
          <w:sz w:val="32"/>
          <w:szCs w:val="32"/>
          <w:lang w:val="en-US" w:eastAsia="zh-CN"/>
        </w:rPr>
        <w:t>7.59</w:t>
      </w:r>
      <w:r>
        <w:rPr>
          <w:rFonts w:hint="eastAsia" w:ascii="仿宋_GB2312" w:hAnsi="仿宋" w:eastAsia="仿宋_GB2312" w:cs="Times New Roman"/>
          <w:kern w:val="2"/>
          <w:sz w:val="32"/>
          <w:szCs w:val="32"/>
        </w:rPr>
        <w:t>%，主要原因：一是</w:t>
      </w:r>
      <w:r>
        <w:rPr>
          <w:rFonts w:hint="eastAsia" w:ascii="仿宋_GB2312" w:hAnsi="仿宋" w:eastAsia="仿宋_GB2312" w:cs="Times New Roman"/>
          <w:kern w:val="2"/>
          <w:sz w:val="32"/>
          <w:szCs w:val="32"/>
          <w:lang w:eastAsia="zh-CN"/>
        </w:rPr>
        <w:t>因工作需要</w:t>
      </w:r>
      <w:r>
        <w:rPr>
          <w:rFonts w:hint="eastAsia" w:ascii="仿宋_GB2312" w:hAnsi="仿宋" w:eastAsia="仿宋_GB2312"/>
          <w:sz w:val="32"/>
          <w:szCs w:val="32"/>
          <w:lang w:eastAsia="zh-CN"/>
        </w:rPr>
        <w:t>增加基层政权</w:t>
      </w:r>
      <w:r>
        <w:rPr>
          <w:rFonts w:hint="eastAsia" w:ascii="仿宋_GB2312" w:hAnsi="仿宋" w:eastAsia="仿宋_GB2312"/>
          <w:sz w:val="32"/>
          <w:szCs w:val="32"/>
        </w:rPr>
        <w:t>小微权利监督管理平台</w:t>
      </w:r>
      <w:r>
        <w:rPr>
          <w:rFonts w:hint="eastAsia" w:ascii="仿宋_GB2312" w:hAnsi="仿宋" w:eastAsia="仿宋_GB2312"/>
          <w:sz w:val="32"/>
          <w:szCs w:val="32"/>
          <w:lang w:eastAsia="zh-CN"/>
        </w:rPr>
        <w:t>、社工站建设项目</w:t>
      </w:r>
      <w:r>
        <w:rPr>
          <w:rFonts w:hint="eastAsia" w:ascii="仿宋_GB2312" w:hAnsi="仿宋" w:eastAsia="仿宋_GB2312" w:cs="Times New Roman"/>
          <w:kern w:val="2"/>
          <w:sz w:val="32"/>
          <w:szCs w:val="32"/>
        </w:rPr>
        <w:t>；二是</w:t>
      </w:r>
      <w:r>
        <w:rPr>
          <w:rFonts w:hint="eastAsia" w:ascii="仿宋_GB2312" w:hAnsi="仿宋" w:eastAsia="仿宋_GB2312" w:cs="Times New Roman"/>
          <w:kern w:val="2"/>
          <w:sz w:val="32"/>
          <w:szCs w:val="32"/>
          <w:lang w:eastAsia="zh-CN"/>
        </w:rPr>
        <w:t>城市低保金增加</w:t>
      </w:r>
      <w:r>
        <w:rPr>
          <w:rFonts w:hint="eastAsia" w:ascii="仿宋_GB2312" w:hAnsi="仿宋" w:eastAsia="仿宋_GB2312" w:cs="Times New Roman"/>
          <w:kern w:val="2"/>
          <w:sz w:val="32"/>
          <w:szCs w:val="32"/>
        </w:rPr>
        <w:t>。</w:t>
      </w:r>
    </w:p>
    <w:p>
      <w:pPr>
        <w:pStyle w:val="5"/>
        <w:adjustRightInd w:val="0"/>
        <w:snapToGrid w:val="0"/>
        <w:spacing w:before="0" w:beforeAutospacing="0" w:after="0" w:afterAutospacing="0" w:line="600" w:lineRule="exact"/>
        <w:ind w:firstLine="630" w:firstLineChars="196"/>
        <w:rPr>
          <w:rFonts w:ascii="楷体_GB2312" w:hAnsi="仿宋" w:eastAsia="楷体_GB2312" w:cs="Times New Roman"/>
          <w:b/>
          <w:kern w:val="2"/>
          <w:sz w:val="32"/>
          <w:szCs w:val="32"/>
        </w:rPr>
      </w:pPr>
      <w:r>
        <w:rPr>
          <w:rFonts w:hint="eastAsia" w:ascii="楷体_GB2312" w:hAnsi="仿宋" w:eastAsia="楷体_GB2312" w:cs="Times New Roman"/>
          <w:b/>
          <w:kern w:val="2"/>
          <w:sz w:val="32"/>
          <w:szCs w:val="32"/>
        </w:rPr>
        <w:t>（二</w:t>
      </w:r>
      <w:r>
        <w:rPr>
          <w:rFonts w:ascii="楷体_GB2312" w:hAnsi="仿宋" w:eastAsia="楷体_GB2312" w:cs="Times New Roman"/>
          <w:b/>
          <w:kern w:val="2"/>
          <w:sz w:val="32"/>
          <w:szCs w:val="32"/>
        </w:rPr>
        <w:t>）</w:t>
      </w:r>
      <w:r>
        <w:rPr>
          <w:rFonts w:hint="eastAsia" w:ascii="楷体_GB2312" w:hAnsi="仿宋" w:eastAsia="楷体_GB2312" w:cs="Times New Roman"/>
          <w:b/>
          <w:kern w:val="2"/>
          <w:sz w:val="32"/>
          <w:szCs w:val="32"/>
        </w:rPr>
        <w:t>一般公共预算支出结构情况。</w:t>
      </w:r>
    </w:p>
    <w:p>
      <w:pPr>
        <w:adjustRightInd w:val="0"/>
        <w:snapToGrid w:val="0"/>
        <w:spacing w:line="600" w:lineRule="exact"/>
        <w:ind w:firstLine="640" w:firstLineChars="200"/>
        <w:rPr>
          <w:rFonts w:hint="eastAsia" w:ascii="楷体_GB2312" w:hAnsi="仿宋" w:eastAsia="楷体_GB2312"/>
          <w:b/>
          <w:sz w:val="32"/>
          <w:szCs w:val="32"/>
        </w:rPr>
      </w:pPr>
      <w:r>
        <w:rPr>
          <w:rFonts w:hint="eastAsia" w:ascii="仿宋_GB2312" w:hAnsi="仿宋" w:eastAsia="仿宋_GB2312" w:cs="Times New Roman"/>
          <w:kern w:val="2"/>
          <w:sz w:val="32"/>
          <w:szCs w:val="32"/>
          <w:lang w:val="en-US" w:eastAsia="zh-CN" w:bidi="ar-SA"/>
        </w:rPr>
        <w:t>社会保障和就业支出1462.02万元，占95.85%；卫生健康支出17.49万元，占1.15%；住房保障支出45.74万元，占3.00%。</w:t>
      </w:r>
    </w:p>
    <w:p>
      <w:pPr>
        <w:adjustRightInd w:val="0"/>
        <w:snapToGrid w:val="0"/>
        <w:spacing w:line="60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（三）一般公共预算支出具体使用情况。</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sz w:val="32"/>
          <w:szCs w:val="32"/>
        </w:rPr>
        <w:t>1.</w:t>
      </w:r>
      <w:r>
        <w:rPr>
          <w:rFonts w:hint="eastAsia" w:ascii="仿宋_GB2312" w:hAnsi="仿宋" w:eastAsia="仿宋_GB2312"/>
          <w:b/>
          <w:sz w:val="32"/>
          <w:szCs w:val="32"/>
          <w:lang w:eastAsia="zh-CN"/>
        </w:rPr>
        <w:t>社会保障和就业支出</w:t>
      </w:r>
      <w:r>
        <w:rPr>
          <w:rFonts w:hint="eastAsia" w:ascii="仿宋_GB2312" w:hAnsi="仿宋" w:eastAsia="仿宋_GB2312"/>
          <w:b/>
          <w:sz w:val="32"/>
          <w:szCs w:val="32"/>
        </w:rPr>
        <w:t>（类）</w:t>
      </w:r>
      <w:r>
        <w:rPr>
          <w:rFonts w:hint="eastAsia" w:ascii="仿宋_GB2312" w:hAnsi="仿宋" w:eastAsia="仿宋_GB2312"/>
          <w:b/>
          <w:sz w:val="32"/>
          <w:szCs w:val="32"/>
          <w:lang w:eastAsia="zh-CN"/>
        </w:rPr>
        <w:t>民政管理事务</w:t>
      </w:r>
      <w:r>
        <w:rPr>
          <w:rFonts w:hint="eastAsia" w:ascii="仿宋_GB2312" w:hAnsi="仿宋" w:eastAsia="仿宋_GB2312"/>
          <w:b/>
          <w:sz w:val="32"/>
          <w:szCs w:val="32"/>
        </w:rPr>
        <w:t>（款）行政运行（项）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288.56</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24.28</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9.19</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工资调整、机关运行费增加</w:t>
      </w:r>
      <w:r>
        <w:rPr>
          <w:rFonts w:hint="eastAsia" w:ascii="仿宋_GB2312" w:hAnsi="仿宋" w:eastAsia="仿宋_GB2312"/>
          <w:sz w:val="32"/>
          <w:szCs w:val="32"/>
        </w:rPr>
        <w:t>。</w:t>
      </w:r>
    </w:p>
    <w:p>
      <w:pPr>
        <w:adjustRightInd w:val="0"/>
        <w:snapToGrid w:val="0"/>
        <w:spacing w:line="600" w:lineRule="exact"/>
        <w:ind w:firstLine="643" w:firstLineChars="200"/>
        <w:rPr>
          <w:rFonts w:hint="eastAsia" w:ascii="仿宋_GB2312" w:hAnsi="仿宋" w:eastAsia="仿宋_GB2312"/>
          <w:sz w:val="32"/>
          <w:szCs w:val="32"/>
          <w:lang w:eastAsia="zh-CN"/>
        </w:rPr>
      </w:pPr>
      <w:r>
        <w:rPr>
          <w:rFonts w:hint="eastAsia" w:ascii="仿宋_GB2312" w:hAnsi="仿宋" w:eastAsia="仿宋_GB2312"/>
          <w:b/>
          <w:sz w:val="32"/>
          <w:szCs w:val="32"/>
        </w:rPr>
        <w:t>2.</w:t>
      </w:r>
      <w:r>
        <w:rPr>
          <w:rFonts w:hint="eastAsia" w:ascii="仿宋_GB2312" w:hAnsi="仿宋" w:eastAsia="仿宋_GB2312"/>
          <w:b/>
          <w:sz w:val="32"/>
          <w:szCs w:val="32"/>
          <w:lang w:eastAsia="zh-CN"/>
        </w:rPr>
        <w:t>社会保障和就业支出</w:t>
      </w:r>
      <w:r>
        <w:rPr>
          <w:rFonts w:hint="eastAsia" w:ascii="仿宋_GB2312" w:hAnsi="仿宋" w:eastAsia="仿宋_GB2312"/>
          <w:b/>
          <w:sz w:val="32"/>
          <w:szCs w:val="32"/>
        </w:rPr>
        <w:t>（类）</w:t>
      </w:r>
      <w:r>
        <w:rPr>
          <w:rFonts w:hint="eastAsia" w:ascii="仿宋_GB2312" w:hAnsi="仿宋" w:eastAsia="仿宋_GB2312"/>
          <w:b/>
          <w:sz w:val="32"/>
          <w:szCs w:val="32"/>
          <w:lang w:eastAsia="zh-CN"/>
        </w:rPr>
        <w:t>民政管理事务</w:t>
      </w:r>
      <w:r>
        <w:rPr>
          <w:rFonts w:hint="eastAsia" w:ascii="仿宋_GB2312" w:hAnsi="仿宋" w:eastAsia="仿宋_GB2312"/>
          <w:b/>
          <w:sz w:val="32"/>
          <w:szCs w:val="32"/>
        </w:rPr>
        <w:t>（款）一般行政管理事务（项）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773.30</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年预算减少</w:t>
      </w:r>
      <w:r>
        <w:rPr>
          <w:rFonts w:hint="eastAsia" w:ascii="仿宋_GB2312" w:hAnsi="仿宋" w:eastAsia="仿宋_GB2312"/>
          <w:sz w:val="32"/>
          <w:szCs w:val="32"/>
          <w:lang w:val="en-US" w:eastAsia="zh-CN"/>
        </w:rPr>
        <w:t>5.24</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0.67</w:t>
      </w:r>
      <w:r>
        <w:rPr>
          <w:rFonts w:hint="eastAsia" w:ascii="仿宋_GB2312" w:hAnsi="仿宋" w:eastAsia="仿宋_GB2312"/>
          <w:sz w:val="32"/>
          <w:szCs w:val="32"/>
        </w:rPr>
        <w:t>%，增长（下降）原因主要是</w:t>
      </w:r>
      <w:r>
        <w:rPr>
          <w:rFonts w:hint="eastAsia" w:ascii="仿宋_GB2312" w:hAnsi="仿宋" w:eastAsia="仿宋_GB2312"/>
          <w:sz w:val="32"/>
          <w:szCs w:val="32"/>
          <w:lang w:eastAsia="zh-CN"/>
        </w:rPr>
        <w:t>社会救助政府购买服务、社会组织评审等项目经费压缩。</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lang w:val="en-US" w:eastAsia="zh-CN"/>
        </w:rPr>
        <w:t>3</w:t>
      </w:r>
      <w:r>
        <w:rPr>
          <w:rFonts w:hint="eastAsia" w:ascii="仿宋_GB2312" w:hAnsi="仿宋" w:eastAsia="仿宋_GB2312"/>
          <w:b/>
          <w:sz w:val="32"/>
          <w:szCs w:val="32"/>
        </w:rPr>
        <w:t>.</w:t>
      </w:r>
      <w:r>
        <w:rPr>
          <w:rFonts w:hint="eastAsia" w:ascii="仿宋_GB2312" w:hAnsi="仿宋" w:eastAsia="仿宋_GB2312"/>
          <w:b/>
          <w:sz w:val="32"/>
          <w:szCs w:val="32"/>
          <w:lang w:eastAsia="zh-CN"/>
        </w:rPr>
        <w:t>社会保障和就业支出</w:t>
      </w:r>
      <w:r>
        <w:rPr>
          <w:rFonts w:hint="eastAsia" w:ascii="仿宋_GB2312" w:hAnsi="仿宋" w:eastAsia="仿宋_GB2312"/>
          <w:b/>
          <w:sz w:val="32"/>
          <w:szCs w:val="32"/>
        </w:rPr>
        <w:t>（类）</w:t>
      </w:r>
      <w:r>
        <w:rPr>
          <w:rFonts w:hint="eastAsia" w:ascii="仿宋_GB2312" w:hAnsi="仿宋" w:eastAsia="仿宋_GB2312"/>
          <w:b/>
          <w:sz w:val="32"/>
          <w:szCs w:val="32"/>
          <w:lang w:eastAsia="zh-CN"/>
        </w:rPr>
        <w:t>民政管理事务</w:t>
      </w:r>
      <w:r>
        <w:rPr>
          <w:rFonts w:hint="eastAsia" w:ascii="仿宋_GB2312" w:hAnsi="仿宋" w:eastAsia="仿宋_GB2312"/>
          <w:b/>
          <w:sz w:val="32"/>
          <w:szCs w:val="32"/>
        </w:rPr>
        <w:t>（款）基层政权建设和社区治理（项）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30.00</w:t>
      </w:r>
      <w:r>
        <w:rPr>
          <w:rFonts w:hint="eastAsia" w:ascii="仿宋_GB2312" w:hAnsi="仿宋" w:eastAsia="仿宋_GB2312"/>
          <w:sz w:val="32"/>
          <w:szCs w:val="32"/>
        </w:rPr>
        <w:t>万元，</w:t>
      </w:r>
      <w:r>
        <w:rPr>
          <w:rFonts w:hint="eastAsia" w:ascii="仿宋_GB2312" w:hAnsi="仿宋" w:eastAsia="仿宋_GB2312"/>
          <w:sz w:val="32"/>
          <w:szCs w:val="32"/>
          <w:lang w:eastAsia="zh-CN"/>
        </w:rPr>
        <w:t>与2021</w:t>
      </w:r>
      <w:r>
        <w:rPr>
          <w:rFonts w:hint="eastAsia" w:ascii="仿宋_GB2312" w:hAnsi="仿宋" w:eastAsia="仿宋_GB2312"/>
          <w:sz w:val="32"/>
          <w:szCs w:val="32"/>
        </w:rPr>
        <w:t>年预算</w:t>
      </w:r>
      <w:r>
        <w:rPr>
          <w:rFonts w:hint="eastAsia" w:ascii="仿宋_GB2312" w:hAnsi="仿宋" w:eastAsia="仿宋_GB2312"/>
          <w:sz w:val="32"/>
          <w:szCs w:val="32"/>
          <w:lang w:eastAsia="zh-CN"/>
        </w:rPr>
        <w:t>持平，原因主要是社区建设资金</w:t>
      </w:r>
      <w:r>
        <w:rPr>
          <w:rFonts w:hint="eastAsia" w:ascii="仿宋_GB2312" w:hAnsi="仿宋" w:eastAsia="仿宋_GB2312"/>
          <w:sz w:val="32"/>
          <w:szCs w:val="32"/>
        </w:rPr>
        <w:t>。</w:t>
      </w:r>
    </w:p>
    <w:p>
      <w:pPr>
        <w:adjustRightInd w:val="0"/>
        <w:snapToGrid w:val="0"/>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b/>
          <w:sz w:val="32"/>
          <w:szCs w:val="32"/>
          <w:lang w:eastAsia="zh-CN"/>
        </w:rPr>
        <w:t>社会保障和就业支出</w:t>
      </w:r>
      <w:r>
        <w:rPr>
          <w:rFonts w:hint="eastAsia" w:ascii="仿宋_GB2312" w:hAnsi="仿宋" w:eastAsia="仿宋_GB2312"/>
          <w:b/>
          <w:sz w:val="32"/>
          <w:szCs w:val="32"/>
        </w:rPr>
        <w:t>（类）</w:t>
      </w:r>
      <w:r>
        <w:rPr>
          <w:rFonts w:hint="eastAsia" w:ascii="仿宋_GB2312" w:hAnsi="仿宋" w:eastAsia="仿宋_GB2312"/>
          <w:b/>
          <w:sz w:val="32"/>
          <w:szCs w:val="32"/>
          <w:lang w:eastAsia="zh-CN"/>
        </w:rPr>
        <w:t>民政管理事务</w:t>
      </w:r>
      <w:r>
        <w:rPr>
          <w:rFonts w:hint="eastAsia" w:ascii="仿宋_GB2312" w:hAnsi="仿宋" w:eastAsia="仿宋_GB2312"/>
          <w:b/>
          <w:sz w:val="32"/>
          <w:szCs w:val="32"/>
        </w:rPr>
        <w:t>（款）基　　其他民政管理事务支出（项）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5.00</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年预算减少</w:t>
      </w:r>
      <w:r>
        <w:rPr>
          <w:rFonts w:hint="eastAsia" w:ascii="仿宋_GB2312" w:hAnsi="仿宋" w:eastAsia="仿宋_GB2312"/>
          <w:sz w:val="32"/>
          <w:szCs w:val="32"/>
          <w:lang w:val="en-US" w:eastAsia="zh-CN"/>
        </w:rPr>
        <w:t>7.00</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58.33</w:t>
      </w:r>
      <w:r>
        <w:rPr>
          <w:rFonts w:hint="eastAsia" w:ascii="仿宋_GB2312" w:hAnsi="仿宋" w:eastAsia="仿宋_GB2312"/>
          <w:sz w:val="32"/>
          <w:szCs w:val="32"/>
        </w:rPr>
        <w:t>%，下降原因主要是</w:t>
      </w:r>
      <w:r>
        <w:rPr>
          <w:rFonts w:hint="eastAsia" w:ascii="仿宋_GB2312" w:hAnsi="仿宋" w:eastAsia="仿宋_GB2312"/>
          <w:sz w:val="32"/>
          <w:szCs w:val="32"/>
          <w:lang w:eastAsia="zh-CN"/>
        </w:rPr>
        <w:t>特困人员春节慰问减少人数</w:t>
      </w:r>
      <w:r>
        <w:rPr>
          <w:rFonts w:hint="eastAsia" w:ascii="仿宋_GB2312" w:hAnsi="仿宋" w:eastAsia="仿宋_GB2312"/>
          <w:sz w:val="32"/>
          <w:szCs w:val="32"/>
        </w:rPr>
        <w:t>。</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lang w:val="en-US" w:eastAsia="zh-CN"/>
        </w:rPr>
        <w:t>5</w:t>
      </w:r>
      <w:r>
        <w:rPr>
          <w:rFonts w:hint="eastAsia" w:ascii="仿宋_GB2312" w:hAnsi="仿宋" w:eastAsia="仿宋_GB2312"/>
          <w:b/>
          <w:sz w:val="32"/>
          <w:szCs w:val="32"/>
        </w:rPr>
        <w:t>.社会保障和就业支出（类）行政事业单位养老支出（款）行政单位离退休（项）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1.62</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1.62</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100</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遗属补助原在</w:t>
      </w:r>
      <w:r>
        <w:rPr>
          <w:rFonts w:hint="eastAsia" w:ascii="仿宋_GB2312" w:hAnsi="仿宋" w:eastAsia="仿宋_GB2312"/>
          <w:sz w:val="32"/>
          <w:szCs w:val="32"/>
          <w:highlight w:val="none"/>
          <w:lang w:eastAsia="zh-CN"/>
        </w:rPr>
        <w:t>行政运行中体现。</w:t>
      </w:r>
    </w:p>
    <w:p>
      <w:pPr>
        <w:adjustRightInd w:val="0"/>
        <w:snapToGrid w:val="0"/>
        <w:spacing w:line="600" w:lineRule="exact"/>
        <w:ind w:firstLine="640" w:firstLineChars="200"/>
        <w:rPr>
          <w:rFonts w:hint="eastAsia" w:ascii="仿宋_GB2312" w:hAnsi="仿宋" w:eastAsia="仿宋_GB2312"/>
          <w:b w:val="0"/>
          <w:bCs w:val="0"/>
          <w:color w:val="auto"/>
          <w:sz w:val="32"/>
          <w:szCs w:val="32"/>
        </w:rPr>
      </w:pPr>
      <w:r>
        <w:rPr>
          <w:rFonts w:hint="eastAsia" w:ascii="仿宋_GB2312" w:hAnsi="仿宋" w:eastAsia="仿宋_GB2312"/>
          <w:sz w:val="32"/>
          <w:szCs w:val="32"/>
          <w:lang w:val="en-US" w:eastAsia="zh-CN"/>
        </w:rPr>
        <w:t>6.</w:t>
      </w:r>
      <w:r>
        <w:rPr>
          <w:rFonts w:hint="eastAsia" w:ascii="仿宋_GB2312" w:hAnsi="仿宋" w:eastAsia="仿宋_GB2312"/>
          <w:b/>
          <w:color w:val="auto"/>
          <w:sz w:val="32"/>
          <w:szCs w:val="32"/>
          <w:lang w:eastAsia="zh-CN"/>
        </w:rPr>
        <w:t>社会保障和就业支出</w:t>
      </w:r>
      <w:r>
        <w:rPr>
          <w:rFonts w:hint="eastAsia" w:ascii="仿宋_GB2312" w:hAnsi="仿宋" w:eastAsia="仿宋_GB2312"/>
          <w:b/>
          <w:color w:val="auto"/>
          <w:sz w:val="32"/>
          <w:szCs w:val="32"/>
        </w:rPr>
        <w:t>（类）</w:t>
      </w:r>
      <w:r>
        <w:rPr>
          <w:rFonts w:hint="eastAsia" w:ascii="仿宋_GB2312" w:hAnsi="仿宋" w:eastAsia="仿宋_GB2312"/>
          <w:b/>
          <w:color w:val="auto"/>
          <w:sz w:val="32"/>
          <w:szCs w:val="32"/>
          <w:lang w:eastAsia="zh-CN"/>
        </w:rPr>
        <w:t>行政事业单位养老支出</w:t>
      </w:r>
      <w:r>
        <w:rPr>
          <w:rFonts w:hint="eastAsia" w:ascii="仿宋_GB2312" w:hAnsi="仿宋" w:eastAsia="仿宋_GB2312"/>
          <w:b/>
          <w:color w:val="auto"/>
          <w:sz w:val="32"/>
          <w:szCs w:val="32"/>
        </w:rPr>
        <w:t>（款）</w:t>
      </w:r>
      <w:r>
        <w:rPr>
          <w:rFonts w:hint="eastAsia" w:ascii="仿宋_GB2312" w:hAnsi="仿宋" w:eastAsia="仿宋_GB2312"/>
          <w:b/>
          <w:color w:val="auto"/>
          <w:sz w:val="32"/>
          <w:szCs w:val="32"/>
          <w:lang w:eastAsia="zh-CN"/>
        </w:rPr>
        <w:t>机关事业单位基本养老保险缴费支出</w:t>
      </w:r>
      <w:r>
        <w:rPr>
          <w:rFonts w:hint="eastAsia" w:ascii="仿宋_GB2312" w:hAnsi="仿宋" w:eastAsia="仿宋_GB2312"/>
          <w:b/>
          <w:color w:val="auto"/>
          <w:sz w:val="32"/>
          <w:szCs w:val="32"/>
        </w:rPr>
        <w:t>（项）</w:t>
      </w:r>
      <w:r>
        <w:rPr>
          <w:rFonts w:hint="eastAsia" w:ascii="仿宋_GB2312" w:hAnsi="仿宋" w:eastAsia="仿宋_GB2312"/>
          <w:b w:val="0"/>
          <w:bCs w:val="0"/>
          <w:color w:val="auto"/>
          <w:sz w:val="32"/>
          <w:szCs w:val="32"/>
          <w:lang w:eastAsia="zh-CN"/>
        </w:rPr>
        <w:t>2022</w:t>
      </w:r>
      <w:r>
        <w:rPr>
          <w:rFonts w:hint="eastAsia" w:ascii="仿宋_GB2312" w:hAnsi="仿宋" w:eastAsia="仿宋_GB2312"/>
          <w:b w:val="0"/>
          <w:bCs w:val="0"/>
          <w:color w:val="auto"/>
          <w:sz w:val="32"/>
          <w:szCs w:val="32"/>
        </w:rPr>
        <w:t>年预算</w:t>
      </w:r>
      <w:r>
        <w:rPr>
          <w:rFonts w:hint="eastAsia" w:ascii="仿宋_GB2312" w:hAnsi="仿宋" w:eastAsia="仿宋_GB2312"/>
          <w:b w:val="0"/>
          <w:bCs w:val="0"/>
          <w:color w:val="auto"/>
          <w:sz w:val="32"/>
          <w:szCs w:val="32"/>
          <w:lang w:val="en-US" w:eastAsia="zh-CN"/>
        </w:rPr>
        <w:t>21.40</w:t>
      </w:r>
      <w:r>
        <w:rPr>
          <w:rFonts w:hint="eastAsia" w:ascii="仿宋_GB2312" w:hAnsi="仿宋" w:eastAsia="仿宋_GB2312"/>
          <w:b w:val="0"/>
          <w:bCs w:val="0"/>
          <w:color w:val="auto"/>
          <w:sz w:val="32"/>
          <w:szCs w:val="32"/>
        </w:rPr>
        <w:t>万元，比</w:t>
      </w:r>
      <w:r>
        <w:rPr>
          <w:rFonts w:hint="eastAsia" w:ascii="仿宋_GB2312" w:hAnsi="仿宋" w:eastAsia="仿宋_GB2312"/>
          <w:b w:val="0"/>
          <w:bCs w:val="0"/>
          <w:color w:val="auto"/>
          <w:sz w:val="32"/>
          <w:szCs w:val="32"/>
          <w:lang w:eastAsia="zh-CN"/>
        </w:rPr>
        <w:t>2021</w:t>
      </w:r>
      <w:r>
        <w:rPr>
          <w:rFonts w:hint="eastAsia" w:ascii="仿宋_GB2312" w:hAnsi="仿宋" w:eastAsia="仿宋_GB2312"/>
          <w:b w:val="0"/>
          <w:bCs w:val="0"/>
          <w:color w:val="auto"/>
          <w:sz w:val="32"/>
          <w:szCs w:val="32"/>
        </w:rPr>
        <w:t>年预算增加</w:t>
      </w:r>
      <w:r>
        <w:rPr>
          <w:rFonts w:hint="eastAsia" w:ascii="仿宋_GB2312" w:hAnsi="仿宋" w:eastAsia="仿宋_GB2312"/>
          <w:b w:val="0"/>
          <w:bCs w:val="0"/>
          <w:color w:val="auto"/>
          <w:sz w:val="32"/>
          <w:szCs w:val="32"/>
          <w:lang w:val="en-US" w:eastAsia="zh-CN"/>
        </w:rPr>
        <w:t>0.91</w:t>
      </w:r>
      <w:r>
        <w:rPr>
          <w:rFonts w:hint="eastAsia" w:ascii="仿宋_GB2312" w:hAnsi="仿宋" w:eastAsia="仿宋_GB2312"/>
          <w:b w:val="0"/>
          <w:bCs w:val="0"/>
          <w:color w:val="auto"/>
          <w:sz w:val="32"/>
          <w:szCs w:val="32"/>
        </w:rPr>
        <w:t>万元，增长</w:t>
      </w:r>
      <w:r>
        <w:rPr>
          <w:rFonts w:hint="eastAsia" w:ascii="仿宋_GB2312" w:hAnsi="仿宋" w:eastAsia="仿宋_GB2312"/>
          <w:b w:val="0"/>
          <w:bCs w:val="0"/>
          <w:color w:val="auto"/>
          <w:sz w:val="32"/>
          <w:szCs w:val="32"/>
          <w:lang w:val="en-US" w:eastAsia="zh-CN"/>
        </w:rPr>
        <w:t>4.44</w:t>
      </w:r>
      <w:r>
        <w:rPr>
          <w:rFonts w:hint="eastAsia" w:ascii="仿宋_GB2312" w:hAnsi="仿宋" w:eastAsia="仿宋_GB2312"/>
          <w:b w:val="0"/>
          <w:bCs w:val="0"/>
          <w:color w:val="auto"/>
          <w:sz w:val="32"/>
          <w:szCs w:val="32"/>
        </w:rPr>
        <w:t>%，增长原因主要是</w:t>
      </w:r>
      <w:r>
        <w:rPr>
          <w:rFonts w:hint="eastAsia" w:ascii="仿宋_GB2312" w:hAnsi="仿宋" w:eastAsia="仿宋_GB2312"/>
          <w:b w:val="0"/>
          <w:bCs w:val="0"/>
          <w:color w:val="auto"/>
          <w:sz w:val="32"/>
          <w:szCs w:val="32"/>
          <w:lang w:val="en-US" w:eastAsia="zh-CN"/>
        </w:rPr>
        <w:t>机关事业单位基本养老保险缴费支出基数调整</w:t>
      </w:r>
      <w:r>
        <w:rPr>
          <w:rFonts w:hint="eastAsia" w:ascii="仿宋_GB2312" w:hAnsi="仿宋" w:eastAsia="仿宋_GB2312"/>
          <w:b w:val="0"/>
          <w:bCs w:val="0"/>
          <w:color w:val="auto"/>
          <w:sz w:val="32"/>
          <w:szCs w:val="32"/>
        </w:rPr>
        <w:t>。</w:t>
      </w:r>
    </w:p>
    <w:p>
      <w:pPr>
        <w:adjustRightInd w:val="0"/>
        <w:snapToGrid w:val="0"/>
        <w:spacing w:line="600" w:lineRule="exact"/>
        <w:ind w:firstLine="643" w:firstLineChars="200"/>
        <w:rPr>
          <w:rFonts w:hint="eastAsia" w:ascii="仿宋_GB2312" w:hAnsi="仿宋" w:eastAsia="仿宋_GB2312"/>
          <w:color w:val="auto"/>
          <w:sz w:val="32"/>
          <w:szCs w:val="32"/>
        </w:rPr>
      </w:pPr>
      <w:r>
        <w:rPr>
          <w:rFonts w:hint="eastAsia" w:ascii="仿宋_GB2312" w:hAnsi="仿宋" w:eastAsia="仿宋_GB2312"/>
          <w:b/>
          <w:bCs/>
          <w:color w:val="auto"/>
          <w:sz w:val="32"/>
          <w:szCs w:val="32"/>
          <w:lang w:val="en-US" w:eastAsia="zh-CN"/>
        </w:rPr>
        <w:t>7.</w:t>
      </w:r>
      <w:r>
        <w:rPr>
          <w:rFonts w:hint="eastAsia" w:ascii="仿宋_GB2312" w:hAnsi="仿宋" w:eastAsia="仿宋_GB2312"/>
          <w:b/>
          <w:color w:val="auto"/>
          <w:sz w:val="32"/>
          <w:szCs w:val="32"/>
          <w:lang w:val="en-US" w:eastAsia="zh-CN"/>
        </w:rPr>
        <w:t>社会保障和就业支出（类）行政事业单位养老支出（款）机关事业单位</w:t>
      </w:r>
      <w:r>
        <w:rPr>
          <w:rFonts w:hint="eastAsia" w:ascii="仿宋_GB2312" w:hAnsi="仿宋" w:eastAsia="仿宋_GB2312"/>
          <w:b/>
          <w:color w:val="auto"/>
          <w:sz w:val="32"/>
          <w:szCs w:val="32"/>
          <w:lang w:eastAsia="zh-CN"/>
        </w:rPr>
        <w:t>职业年金缴费支出</w:t>
      </w:r>
      <w:r>
        <w:rPr>
          <w:rFonts w:hint="eastAsia" w:ascii="仿宋_GB2312" w:hAnsi="仿宋" w:eastAsia="仿宋_GB2312"/>
          <w:b/>
          <w:color w:val="auto"/>
          <w:sz w:val="32"/>
          <w:szCs w:val="32"/>
        </w:rPr>
        <w:t>（项）</w:t>
      </w:r>
      <w:r>
        <w:rPr>
          <w:rFonts w:hint="eastAsia" w:ascii="仿宋_GB2312" w:hAnsi="仿宋" w:eastAsia="仿宋_GB2312"/>
          <w:color w:val="auto"/>
          <w:sz w:val="32"/>
          <w:szCs w:val="32"/>
          <w:lang w:eastAsia="zh-CN"/>
        </w:rPr>
        <w:t>2022</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val="en-US" w:eastAsia="zh-CN"/>
        </w:rPr>
        <w:t>10.70</w:t>
      </w:r>
      <w:r>
        <w:rPr>
          <w:rFonts w:hint="eastAsia" w:ascii="仿宋_GB2312" w:hAnsi="仿宋" w:eastAsia="仿宋_GB2312"/>
          <w:color w:val="auto"/>
          <w:sz w:val="32"/>
          <w:szCs w:val="32"/>
        </w:rPr>
        <w:t>万元，比</w:t>
      </w:r>
      <w:r>
        <w:rPr>
          <w:rFonts w:hint="eastAsia" w:ascii="仿宋_GB2312" w:hAnsi="仿宋" w:eastAsia="仿宋_GB2312"/>
          <w:color w:val="auto"/>
          <w:sz w:val="32"/>
          <w:szCs w:val="32"/>
          <w:lang w:eastAsia="zh-CN"/>
        </w:rPr>
        <w:t>2021</w:t>
      </w:r>
      <w:r>
        <w:rPr>
          <w:rFonts w:hint="eastAsia" w:ascii="仿宋_GB2312" w:hAnsi="仿宋" w:eastAsia="仿宋_GB2312"/>
          <w:color w:val="auto"/>
          <w:sz w:val="32"/>
          <w:szCs w:val="32"/>
        </w:rPr>
        <w:t>年预算增加</w:t>
      </w:r>
      <w:r>
        <w:rPr>
          <w:rFonts w:hint="eastAsia" w:ascii="仿宋_GB2312" w:hAnsi="仿宋" w:eastAsia="仿宋_GB2312"/>
          <w:color w:val="auto"/>
          <w:sz w:val="32"/>
          <w:szCs w:val="32"/>
          <w:lang w:val="en-US" w:eastAsia="zh-CN"/>
        </w:rPr>
        <w:t>0.45</w:t>
      </w:r>
      <w:r>
        <w:rPr>
          <w:rFonts w:hint="eastAsia" w:ascii="仿宋_GB2312" w:hAnsi="仿宋" w:eastAsia="仿宋_GB2312"/>
          <w:color w:val="auto"/>
          <w:sz w:val="32"/>
          <w:szCs w:val="32"/>
        </w:rPr>
        <w:t>万元，增长</w:t>
      </w:r>
      <w:r>
        <w:rPr>
          <w:rFonts w:hint="eastAsia" w:ascii="仿宋_GB2312" w:hAnsi="仿宋" w:eastAsia="仿宋_GB2312"/>
          <w:color w:val="auto"/>
          <w:sz w:val="32"/>
          <w:szCs w:val="32"/>
          <w:lang w:val="en-US" w:eastAsia="zh-CN"/>
        </w:rPr>
        <w:t>4.39</w:t>
      </w:r>
      <w:r>
        <w:rPr>
          <w:rFonts w:hint="eastAsia" w:ascii="仿宋_GB2312" w:hAnsi="仿宋" w:eastAsia="仿宋_GB2312"/>
          <w:color w:val="auto"/>
          <w:sz w:val="32"/>
          <w:szCs w:val="32"/>
        </w:rPr>
        <w:t>%，增长原因主要是</w:t>
      </w:r>
      <w:r>
        <w:rPr>
          <w:rFonts w:hint="eastAsia" w:ascii="仿宋_GB2312" w:hAnsi="仿宋" w:eastAsia="仿宋_GB2312"/>
          <w:color w:val="auto"/>
          <w:sz w:val="32"/>
          <w:szCs w:val="32"/>
          <w:lang w:val="en-US" w:eastAsia="zh-CN"/>
        </w:rPr>
        <w:t>机关事业单位职业年金缴费支出</w:t>
      </w:r>
      <w:r>
        <w:rPr>
          <w:rFonts w:hint="eastAsia" w:ascii="仿宋_GB2312" w:hAnsi="仿宋" w:eastAsia="仿宋_GB2312"/>
          <w:color w:val="auto"/>
          <w:sz w:val="32"/>
          <w:szCs w:val="32"/>
          <w:lang w:eastAsia="zh-CN"/>
        </w:rPr>
        <w:t>基数调整</w:t>
      </w:r>
      <w:r>
        <w:rPr>
          <w:rFonts w:hint="eastAsia" w:ascii="仿宋_GB2312" w:hAnsi="仿宋" w:eastAsia="仿宋_GB2312"/>
          <w:color w:val="auto"/>
          <w:sz w:val="32"/>
          <w:szCs w:val="32"/>
        </w:rPr>
        <w:t>。</w:t>
      </w:r>
    </w:p>
    <w:p>
      <w:pPr>
        <w:adjustRightInd w:val="0"/>
        <w:snapToGrid w:val="0"/>
        <w:spacing w:line="600" w:lineRule="exact"/>
        <w:ind w:firstLine="643" w:firstLineChars="200"/>
        <w:rPr>
          <w:rFonts w:hint="eastAsia" w:ascii="仿宋_GB2312" w:hAnsi="仿宋" w:eastAsia="仿宋_GB2312"/>
          <w:b/>
          <w:bCs/>
          <w:color w:val="auto"/>
          <w:sz w:val="32"/>
          <w:szCs w:val="32"/>
          <w:lang w:val="en-US" w:eastAsia="zh-CN"/>
        </w:rPr>
      </w:pPr>
      <w:r>
        <w:rPr>
          <w:rFonts w:hint="eastAsia" w:ascii="仿宋_GB2312" w:hAnsi="仿宋" w:eastAsia="仿宋_GB2312"/>
          <w:b/>
          <w:bCs/>
          <w:color w:val="auto"/>
          <w:sz w:val="32"/>
          <w:szCs w:val="32"/>
          <w:lang w:val="en-US" w:eastAsia="zh-CN"/>
        </w:rPr>
        <w:t>8.社会保障和就业支出（类）社会福利（款）其他社会福利支出（项）</w:t>
      </w:r>
      <w:r>
        <w:rPr>
          <w:rFonts w:hint="eastAsia" w:ascii="仿宋_GB2312" w:hAnsi="仿宋" w:eastAsia="仿宋_GB2312"/>
          <w:b w:val="0"/>
          <w:bCs w:val="0"/>
          <w:color w:val="auto"/>
          <w:sz w:val="32"/>
          <w:szCs w:val="32"/>
          <w:lang w:val="en-US" w:eastAsia="zh-CN"/>
        </w:rPr>
        <w:t>2022年预算3万元，与2021年预算持平，原因主要是发放艾滋病人生活救助资金。</w:t>
      </w:r>
    </w:p>
    <w:p>
      <w:pPr>
        <w:adjustRightInd w:val="0"/>
        <w:snapToGrid w:val="0"/>
        <w:spacing w:line="600" w:lineRule="exact"/>
        <w:ind w:firstLine="643" w:firstLineChars="200"/>
        <w:rPr>
          <w:rFonts w:hint="eastAsia" w:ascii="仿宋_GB2312" w:hAnsi="仿宋" w:eastAsia="仿宋_GB2312"/>
          <w:b/>
          <w:bCs/>
          <w:color w:val="auto"/>
          <w:sz w:val="32"/>
          <w:szCs w:val="32"/>
          <w:lang w:val="en-US" w:eastAsia="zh-CN"/>
        </w:rPr>
      </w:pPr>
      <w:r>
        <w:rPr>
          <w:rFonts w:hint="eastAsia" w:ascii="仿宋_GB2312" w:hAnsi="仿宋" w:eastAsia="仿宋_GB2312"/>
          <w:b/>
          <w:bCs/>
          <w:color w:val="auto"/>
          <w:sz w:val="32"/>
          <w:szCs w:val="32"/>
          <w:lang w:val="en-US" w:eastAsia="zh-CN"/>
        </w:rPr>
        <w:t>9.社会保障和就业支出（类）残疾人事业（款）残疾人生活和护理补贴（项）</w:t>
      </w:r>
      <w:r>
        <w:rPr>
          <w:rFonts w:hint="eastAsia" w:ascii="仿宋_GB2312" w:hAnsi="仿宋" w:eastAsia="仿宋_GB2312"/>
          <w:b w:val="0"/>
          <w:bCs w:val="0"/>
          <w:color w:val="auto"/>
          <w:sz w:val="32"/>
          <w:szCs w:val="32"/>
          <w:lang w:val="en-US" w:eastAsia="zh-CN"/>
        </w:rPr>
        <w:t>2022年预算57.60万元，比2021年预算增加2.60万元，增长4.73%，增长原因主要是领取严重精神障碍患者监护补贴人员增加。</w:t>
      </w:r>
    </w:p>
    <w:p>
      <w:pPr>
        <w:adjustRightInd w:val="0"/>
        <w:snapToGrid w:val="0"/>
        <w:spacing w:line="600" w:lineRule="exact"/>
        <w:ind w:firstLine="643" w:firstLineChars="200"/>
        <w:rPr>
          <w:rFonts w:hint="eastAsia" w:ascii="仿宋_GB2312" w:hAnsi="仿宋" w:eastAsia="仿宋_GB2312"/>
          <w:b/>
          <w:bCs/>
          <w:color w:val="auto"/>
          <w:sz w:val="32"/>
          <w:szCs w:val="32"/>
          <w:lang w:val="en-US" w:eastAsia="zh-CN"/>
        </w:rPr>
      </w:pPr>
      <w:r>
        <w:rPr>
          <w:rFonts w:hint="eastAsia" w:ascii="仿宋_GB2312" w:hAnsi="仿宋" w:eastAsia="仿宋_GB2312"/>
          <w:b/>
          <w:bCs/>
          <w:color w:val="auto"/>
          <w:sz w:val="32"/>
          <w:szCs w:val="32"/>
          <w:lang w:val="en-US" w:eastAsia="zh-CN"/>
        </w:rPr>
        <w:t>10.社会保障和就业支出（类）最低生活保障（款）城市最低生活保障金支出（项）</w:t>
      </w:r>
      <w:r>
        <w:rPr>
          <w:rFonts w:hint="eastAsia" w:ascii="仿宋_GB2312" w:hAnsi="仿宋" w:eastAsia="仿宋_GB2312"/>
          <w:b w:val="0"/>
          <w:bCs w:val="0"/>
          <w:color w:val="auto"/>
          <w:sz w:val="32"/>
          <w:szCs w:val="32"/>
          <w:lang w:val="en-US" w:eastAsia="zh-CN"/>
        </w:rPr>
        <w:t>2022年预算253.30万元，比2021年预算增加83.30万元，增长49.00%，增长原因主要是城市低保金人数变动增加区级资金。</w:t>
      </w:r>
    </w:p>
    <w:p>
      <w:pPr>
        <w:adjustRightInd w:val="0"/>
        <w:snapToGrid w:val="0"/>
        <w:spacing w:line="600" w:lineRule="exact"/>
        <w:ind w:firstLine="643" w:firstLineChars="200"/>
        <w:rPr>
          <w:rFonts w:hint="eastAsia" w:ascii="仿宋_GB2312" w:hAnsi="仿宋" w:eastAsia="仿宋_GB2312"/>
          <w:b w:val="0"/>
          <w:bCs w:val="0"/>
          <w:color w:val="auto"/>
          <w:sz w:val="32"/>
          <w:szCs w:val="32"/>
          <w:lang w:val="en-US" w:eastAsia="zh-CN"/>
        </w:rPr>
      </w:pPr>
      <w:r>
        <w:rPr>
          <w:rFonts w:hint="eastAsia" w:ascii="仿宋_GB2312" w:hAnsi="仿宋" w:eastAsia="仿宋_GB2312"/>
          <w:b/>
          <w:bCs/>
          <w:color w:val="auto"/>
          <w:sz w:val="32"/>
          <w:szCs w:val="32"/>
          <w:lang w:val="en-US" w:eastAsia="zh-CN"/>
        </w:rPr>
        <w:t>11.社会保障和就业支出（类）临时救助（款）临时救助支出（项）</w:t>
      </w:r>
      <w:r>
        <w:rPr>
          <w:rFonts w:hint="eastAsia" w:ascii="仿宋_GB2312" w:hAnsi="仿宋" w:eastAsia="仿宋_GB2312"/>
          <w:b w:val="0"/>
          <w:bCs w:val="0"/>
          <w:color w:val="auto"/>
          <w:sz w:val="32"/>
          <w:szCs w:val="32"/>
          <w:lang w:val="en-US" w:eastAsia="zh-CN"/>
        </w:rPr>
        <w:t>2022年预算5.00万元，比2021年预算减少1.00万元，下降16.67%，下降原因主要是临时救助人数减少。</w:t>
      </w:r>
    </w:p>
    <w:p>
      <w:pPr>
        <w:adjustRightInd w:val="0"/>
        <w:snapToGrid w:val="0"/>
        <w:spacing w:line="600" w:lineRule="exact"/>
        <w:ind w:firstLine="643" w:firstLineChars="200"/>
        <w:rPr>
          <w:rFonts w:hint="eastAsia" w:ascii="仿宋_GB2312" w:hAnsi="仿宋" w:eastAsia="仿宋_GB2312"/>
          <w:sz w:val="32"/>
          <w:szCs w:val="32"/>
          <w:lang w:eastAsia="zh-CN"/>
        </w:rPr>
      </w:pPr>
      <w:r>
        <w:rPr>
          <w:rFonts w:hint="eastAsia" w:ascii="仿宋_GB2312" w:hAnsi="仿宋" w:eastAsia="仿宋_GB2312"/>
          <w:b/>
          <w:bCs/>
          <w:color w:val="auto"/>
          <w:sz w:val="32"/>
          <w:szCs w:val="32"/>
          <w:lang w:val="en-US" w:eastAsia="zh-CN"/>
        </w:rPr>
        <w:t>12</w:t>
      </w:r>
      <w:r>
        <w:rPr>
          <w:rFonts w:hint="eastAsia" w:ascii="仿宋_GB2312" w:hAnsi="仿宋" w:eastAsia="仿宋_GB2312"/>
          <w:color w:val="auto"/>
          <w:sz w:val="32"/>
          <w:szCs w:val="32"/>
          <w:lang w:val="en-US" w:eastAsia="zh-CN"/>
        </w:rPr>
        <w:t>.</w:t>
      </w:r>
      <w:r>
        <w:rPr>
          <w:rFonts w:hint="eastAsia" w:ascii="仿宋_GB2312" w:hAnsi="仿宋" w:eastAsia="仿宋_GB2312"/>
          <w:b/>
          <w:color w:val="auto"/>
          <w:sz w:val="32"/>
          <w:szCs w:val="32"/>
          <w:lang w:val="en-US" w:eastAsia="zh-CN"/>
        </w:rPr>
        <w:t>社会保障和就业支出（类）其他生活救助（款）其他城市生活救助</w:t>
      </w:r>
      <w:r>
        <w:rPr>
          <w:rFonts w:hint="eastAsia" w:ascii="仿宋_GB2312" w:hAnsi="仿宋" w:eastAsia="仿宋_GB2312"/>
          <w:b/>
          <w:color w:val="auto"/>
          <w:sz w:val="32"/>
          <w:szCs w:val="32"/>
        </w:rPr>
        <w:t>（项）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0.18</w:t>
      </w:r>
      <w:r>
        <w:rPr>
          <w:rFonts w:hint="eastAsia" w:ascii="仿宋_GB2312" w:hAnsi="仿宋" w:eastAsia="仿宋_GB2312"/>
          <w:sz w:val="32"/>
          <w:szCs w:val="32"/>
        </w:rPr>
        <w:t>万元，</w:t>
      </w:r>
      <w:r>
        <w:rPr>
          <w:rFonts w:hint="eastAsia" w:ascii="仿宋_GB2312" w:hAnsi="仿宋" w:eastAsia="仿宋_GB2312"/>
          <w:sz w:val="32"/>
          <w:szCs w:val="32"/>
          <w:lang w:eastAsia="zh-CN"/>
        </w:rPr>
        <w:t>与2021</w:t>
      </w:r>
      <w:r>
        <w:rPr>
          <w:rFonts w:hint="eastAsia" w:ascii="仿宋_GB2312" w:hAnsi="仿宋" w:eastAsia="仿宋_GB2312"/>
          <w:sz w:val="32"/>
          <w:szCs w:val="32"/>
        </w:rPr>
        <w:t>年预算</w:t>
      </w:r>
      <w:r>
        <w:rPr>
          <w:rFonts w:hint="eastAsia" w:ascii="仿宋_GB2312" w:hAnsi="仿宋" w:eastAsia="仿宋_GB2312"/>
          <w:sz w:val="32"/>
          <w:szCs w:val="32"/>
          <w:lang w:eastAsia="zh-CN"/>
        </w:rPr>
        <w:t>持平，原因主要是发放</w:t>
      </w:r>
      <w:r>
        <w:rPr>
          <w:rFonts w:hint="eastAsia" w:ascii="仿宋_GB2312" w:hAnsi="仿宋" w:eastAsia="仿宋_GB2312"/>
          <w:sz w:val="32"/>
          <w:szCs w:val="32"/>
          <w:lang w:val="en-US" w:eastAsia="zh-CN"/>
        </w:rPr>
        <w:t>1</w:t>
      </w:r>
      <w:r>
        <w:rPr>
          <w:rFonts w:hint="eastAsia" w:ascii="仿宋_GB2312" w:hAnsi="仿宋" w:eastAsia="仿宋_GB2312"/>
          <w:sz w:val="32"/>
          <w:szCs w:val="32"/>
          <w:lang w:eastAsia="zh-CN"/>
        </w:rPr>
        <w:t>958年前省农业劳模困难补助。</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bCs/>
          <w:color w:val="auto"/>
          <w:sz w:val="32"/>
          <w:szCs w:val="32"/>
          <w:lang w:val="en-US" w:eastAsia="zh-CN"/>
        </w:rPr>
        <w:t>13</w:t>
      </w:r>
      <w:r>
        <w:rPr>
          <w:rFonts w:hint="eastAsia" w:ascii="仿宋_GB2312" w:hAnsi="仿宋" w:eastAsia="仿宋_GB2312"/>
          <w:color w:val="auto"/>
          <w:sz w:val="32"/>
          <w:szCs w:val="32"/>
          <w:lang w:val="en-US" w:eastAsia="zh-CN"/>
        </w:rPr>
        <w:t>.</w:t>
      </w:r>
      <w:r>
        <w:rPr>
          <w:rFonts w:hint="eastAsia" w:ascii="仿宋_GB2312" w:hAnsi="仿宋" w:eastAsia="仿宋_GB2312"/>
          <w:b/>
          <w:color w:val="auto"/>
          <w:sz w:val="32"/>
          <w:szCs w:val="32"/>
          <w:lang w:val="en-US" w:eastAsia="zh-CN"/>
        </w:rPr>
        <w:t>社会保障和就业支出（类）其他社会保障和就业支出（款）其他社会保障和就业支出</w:t>
      </w:r>
      <w:r>
        <w:rPr>
          <w:rFonts w:hint="eastAsia" w:ascii="仿宋_GB2312" w:hAnsi="仿宋" w:eastAsia="仿宋_GB2312"/>
          <w:b/>
          <w:color w:val="auto"/>
          <w:sz w:val="32"/>
          <w:szCs w:val="32"/>
        </w:rPr>
        <w:t>（项）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12.37</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10.97</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783.57</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新增聘用人员社保</w:t>
      </w:r>
      <w:r>
        <w:rPr>
          <w:rFonts w:hint="eastAsia" w:ascii="仿宋_GB2312" w:hAnsi="仿宋" w:eastAsia="仿宋_GB2312"/>
          <w:sz w:val="32"/>
          <w:szCs w:val="32"/>
        </w:rPr>
        <w:t>。</w:t>
      </w:r>
    </w:p>
    <w:p>
      <w:pPr>
        <w:adjustRightInd w:val="0"/>
        <w:snapToGrid w:val="0"/>
        <w:spacing w:line="600" w:lineRule="exact"/>
        <w:ind w:firstLine="643" w:firstLineChars="200"/>
        <w:rPr>
          <w:rFonts w:hint="eastAsia" w:ascii="仿宋_GB2312" w:hAnsi="仿宋" w:eastAsia="仿宋_GB2312"/>
          <w:sz w:val="32"/>
          <w:szCs w:val="32"/>
          <w:lang w:val="en-US" w:eastAsia="zh-CN"/>
        </w:rPr>
      </w:pPr>
      <w:r>
        <w:rPr>
          <w:rFonts w:hint="eastAsia" w:ascii="仿宋_GB2312" w:hAnsi="仿宋" w:eastAsia="仿宋_GB2312"/>
          <w:b/>
          <w:bCs/>
          <w:color w:val="auto"/>
          <w:sz w:val="32"/>
          <w:szCs w:val="32"/>
          <w:lang w:val="en-US" w:eastAsia="zh-CN"/>
        </w:rPr>
        <w:t>14</w:t>
      </w:r>
      <w:r>
        <w:rPr>
          <w:rFonts w:hint="eastAsia" w:ascii="仿宋_GB2312" w:hAnsi="仿宋" w:eastAsia="仿宋_GB2312"/>
          <w:color w:val="auto"/>
          <w:sz w:val="32"/>
          <w:szCs w:val="32"/>
          <w:lang w:val="en-US" w:eastAsia="zh-CN"/>
        </w:rPr>
        <w:t>.</w:t>
      </w:r>
      <w:r>
        <w:rPr>
          <w:rFonts w:hint="eastAsia" w:ascii="仿宋_GB2312" w:hAnsi="仿宋" w:eastAsia="仿宋_GB2312"/>
          <w:b/>
          <w:color w:val="auto"/>
          <w:sz w:val="32"/>
          <w:szCs w:val="32"/>
          <w:lang w:val="en-US" w:eastAsia="zh-CN"/>
        </w:rPr>
        <w:t>卫生健康支出（类）行政事业单位医疗（款）行政单位医疗</w:t>
      </w:r>
      <w:r>
        <w:rPr>
          <w:rFonts w:hint="eastAsia" w:ascii="仿宋_GB2312" w:hAnsi="仿宋" w:eastAsia="仿宋_GB2312"/>
          <w:b/>
          <w:color w:val="auto"/>
          <w:sz w:val="32"/>
          <w:szCs w:val="32"/>
        </w:rPr>
        <w:t>（项）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13.48</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2.21</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19.61</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医疗保险基数调整</w:t>
      </w:r>
      <w:r>
        <w:rPr>
          <w:rFonts w:hint="eastAsia" w:ascii="仿宋_GB2312" w:hAnsi="仿宋" w:eastAsia="仿宋_GB2312"/>
          <w:sz w:val="32"/>
          <w:szCs w:val="32"/>
        </w:rPr>
        <w:t>。</w:t>
      </w:r>
      <w:r>
        <w:rPr>
          <w:rFonts w:hint="eastAsia" w:ascii="仿宋_GB2312" w:hAnsi="仿宋" w:eastAsia="仿宋_GB2312"/>
          <w:sz w:val="32"/>
          <w:szCs w:val="32"/>
          <w:lang w:val="en-US" w:eastAsia="zh-CN"/>
        </w:rPr>
        <w:t xml:space="preserve"> </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bCs/>
          <w:color w:val="auto"/>
          <w:sz w:val="32"/>
          <w:szCs w:val="32"/>
          <w:lang w:val="en-US" w:eastAsia="zh-CN"/>
        </w:rPr>
        <w:t>15</w:t>
      </w:r>
      <w:r>
        <w:rPr>
          <w:rFonts w:hint="eastAsia" w:ascii="仿宋_GB2312" w:hAnsi="仿宋" w:eastAsia="仿宋_GB2312"/>
          <w:color w:val="auto"/>
          <w:sz w:val="32"/>
          <w:szCs w:val="32"/>
          <w:lang w:val="en-US" w:eastAsia="zh-CN"/>
        </w:rPr>
        <w:t>.</w:t>
      </w:r>
      <w:r>
        <w:rPr>
          <w:rFonts w:hint="eastAsia" w:ascii="仿宋_GB2312" w:hAnsi="仿宋" w:eastAsia="仿宋_GB2312"/>
          <w:b/>
          <w:color w:val="auto"/>
          <w:sz w:val="32"/>
          <w:szCs w:val="32"/>
          <w:lang w:val="en-US" w:eastAsia="zh-CN"/>
        </w:rPr>
        <w:t>卫生健康支出（类）行政事业单位医疗（款）公务员医疗补助</w:t>
      </w:r>
      <w:r>
        <w:rPr>
          <w:rFonts w:hint="eastAsia" w:ascii="仿宋_GB2312" w:hAnsi="仿宋" w:eastAsia="仿宋_GB2312"/>
          <w:b/>
          <w:color w:val="auto"/>
          <w:sz w:val="32"/>
          <w:szCs w:val="32"/>
        </w:rPr>
        <w:t>（项）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4.01</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0.16</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4.16</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增加公务员医疗补助</w:t>
      </w:r>
      <w:r>
        <w:rPr>
          <w:rFonts w:hint="eastAsia" w:ascii="仿宋_GB2312" w:hAnsi="仿宋" w:eastAsia="仿宋_GB2312"/>
          <w:sz w:val="32"/>
          <w:szCs w:val="32"/>
        </w:rPr>
        <w:t>。</w:t>
      </w:r>
    </w:p>
    <w:p>
      <w:pPr>
        <w:adjustRightInd w:val="0"/>
        <w:snapToGrid w:val="0"/>
        <w:spacing w:line="600" w:lineRule="exact"/>
        <w:ind w:firstLine="643" w:firstLineChars="200"/>
        <w:rPr>
          <w:rFonts w:ascii="仿宋_GB2312" w:hAnsi="仿宋" w:eastAsia="仿宋_GB2312"/>
          <w:color w:val="auto"/>
          <w:sz w:val="32"/>
          <w:szCs w:val="32"/>
        </w:rPr>
      </w:pPr>
      <w:r>
        <w:rPr>
          <w:rFonts w:hint="eastAsia" w:ascii="仿宋_GB2312" w:hAnsi="仿宋" w:eastAsia="仿宋_GB2312"/>
          <w:b/>
          <w:color w:val="auto"/>
          <w:sz w:val="32"/>
          <w:szCs w:val="32"/>
          <w:lang w:val="en-US" w:eastAsia="zh-CN"/>
        </w:rPr>
        <w:t>16.住房保障支出（类）住房改革支出（款）住房公积金</w:t>
      </w:r>
      <w:r>
        <w:rPr>
          <w:rFonts w:hint="eastAsia" w:ascii="仿宋_GB2312" w:hAnsi="仿宋" w:eastAsia="仿宋_GB2312"/>
          <w:b/>
          <w:color w:val="auto"/>
          <w:sz w:val="32"/>
          <w:szCs w:val="32"/>
        </w:rPr>
        <w:t>（项）</w:t>
      </w:r>
      <w:r>
        <w:rPr>
          <w:rFonts w:hint="eastAsia" w:ascii="仿宋_GB2312" w:hAnsi="仿宋" w:eastAsia="仿宋_GB2312"/>
          <w:color w:val="auto"/>
          <w:sz w:val="32"/>
          <w:szCs w:val="32"/>
          <w:lang w:eastAsia="zh-CN"/>
        </w:rPr>
        <w:t>2022</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val="en-US" w:eastAsia="zh-CN"/>
        </w:rPr>
        <w:t>24.95</w:t>
      </w:r>
      <w:r>
        <w:rPr>
          <w:rFonts w:hint="eastAsia" w:ascii="仿宋_GB2312" w:hAnsi="仿宋" w:eastAsia="仿宋_GB2312"/>
          <w:color w:val="auto"/>
          <w:sz w:val="32"/>
          <w:szCs w:val="32"/>
        </w:rPr>
        <w:t>万元，比</w:t>
      </w:r>
      <w:r>
        <w:rPr>
          <w:rFonts w:hint="eastAsia" w:ascii="仿宋_GB2312" w:hAnsi="仿宋" w:eastAsia="仿宋_GB2312"/>
          <w:color w:val="auto"/>
          <w:sz w:val="32"/>
          <w:szCs w:val="32"/>
          <w:lang w:eastAsia="zh-CN"/>
        </w:rPr>
        <w:t>2021</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eastAsia="zh-CN"/>
        </w:rPr>
        <w:t>减少</w:t>
      </w:r>
      <w:r>
        <w:rPr>
          <w:rFonts w:hint="eastAsia" w:ascii="仿宋_GB2312" w:hAnsi="仿宋" w:eastAsia="仿宋_GB2312"/>
          <w:color w:val="auto"/>
          <w:sz w:val="32"/>
          <w:szCs w:val="32"/>
          <w:lang w:val="en-US" w:eastAsia="zh-CN"/>
        </w:rPr>
        <w:t>9.09</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下降</w:t>
      </w:r>
      <w:r>
        <w:rPr>
          <w:rFonts w:hint="eastAsia" w:ascii="仿宋_GB2312" w:hAnsi="仿宋" w:eastAsia="仿宋_GB2312"/>
          <w:color w:val="auto"/>
          <w:sz w:val="32"/>
          <w:szCs w:val="32"/>
          <w:lang w:val="en-US" w:eastAsia="zh-CN"/>
        </w:rPr>
        <w:t>26.70</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下降</w:t>
      </w:r>
      <w:r>
        <w:rPr>
          <w:rFonts w:hint="eastAsia" w:ascii="仿宋_GB2312" w:hAnsi="仿宋" w:eastAsia="仿宋_GB2312"/>
          <w:color w:val="auto"/>
          <w:sz w:val="32"/>
          <w:szCs w:val="32"/>
        </w:rPr>
        <w:t>原因主要是</w:t>
      </w:r>
      <w:r>
        <w:rPr>
          <w:rFonts w:hint="eastAsia" w:ascii="仿宋_GB2312" w:hAnsi="仿宋" w:eastAsia="仿宋_GB2312"/>
          <w:color w:val="auto"/>
          <w:sz w:val="32"/>
          <w:szCs w:val="32"/>
          <w:lang w:eastAsia="zh-CN"/>
        </w:rPr>
        <w:t>住房公积金与提租补贴、购房补贴分开列支</w:t>
      </w:r>
      <w:r>
        <w:rPr>
          <w:rFonts w:hint="eastAsia" w:ascii="仿宋_GB2312" w:hAnsi="仿宋" w:eastAsia="仿宋_GB2312"/>
          <w:color w:val="auto"/>
          <w:sz w:val="32"/>
          <w:szCs w:val="32"/>
        </w:rPr>
        <w:t>。</w:t>
      </w:r>
    </w:p>
    <w:p>
      <w:pPr>
        <w:adjustRightInd w:val="0"/>
        <w:snapToGrid w:val="0"/>
        <w:spacing w:line="600" w:lineRule="exact"/>
        <w:ind w:firstLine="643" w:firstLineChars="200"/>
        <w:rPr>
          <w:rFonts w:hint="eastAsia" w:ascii="仿宋_GB2312" w:hAnsi="仿宋" w:eastAsia="仿宋_GB2312"/>
          <w:color w:val="auto"/>
          <w:sz w:val="32"/>
          <w:szCs w:val="32"/>
        </w:rPr>
      </w:pPr>
      <w:r>
        <w:rPr>
          <w:rFonts w:hint="eastAsia" w:ascii="仿宋_GB2312" w:hAnsi="仿宋" w:eastAsia="仿宋_GB2312"/>
          <w:b/>
          <w:color w:val="auto"/>
          <w:sz w:val="32"/>
          <w:szCs w:val="32"/>
          <w:lang w:val="en-US" w:eastAsia="zh-CN"/>
        </w:rPr>
        <w:t>17.住房保障支出（类）住房改革支出（款）提租补贴</w:t>
      </w:r>
      <w:r>
        <w:rPr>
          <w:rFonts w:hint="eastAsia" w:ascii="仿宋_GB2312" w:hAnsi="仿宋" w:eastAsia="仿宋_GB2312"/>
          <w:b/>
          <w:color w:val="auto"/>
          <w:sz w:val="32"/>
          <w:szCs w:val="32"/>
        </w:rPr>
        <w:t>（项）</w:t>
      </w:r>
      <w:r>
        <w:rPr>
          <w:rFonts w:hint="eastAsia" w:ascii="仿宋_GB2312" w:hAnsi="仿宋" w:eastAsia="仿宋_GB2312"/>
          <w:color w:val="auto"/>
          <w:sz w:val="32"/>
          <w:szCs w:val="32"/>
          <w:lang w:eastAsia="zh-CN"/>
        </w:rPr>
        <w:t>2022</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val="en-US" w:eastAsia="zh-CN"/>
        </w:rPr>
        <w:t>10.40</w:t>
      </w:r>
      <w:r>
        <w:rPr>
          <w:rFonts w:hint="eastAsia" w:ascii="仿宋_GB2312" w:hAnsi="仿宋" w:eastAsia="仿宋_GB2312"/>
          <w:color w:val="auto"/>
          <w:sz w:val="32"/>
          <w:szCs w:val="32"/>
        </w:rPr>
        <w:t>万元，比</w:t>
      </w:r>
      <w:r>
        <w:rPr>
          <w:rFonts w:hint="eastAsia" w:ascii="仿宋_GB2312" w:hAnsi="仿宋" w:eastAsia="仿宋_GB2312"/>
          <w:color w:val="auto"/>
          <w:sz w:val="32"/>
          <w:szCs w:val="32"/>
          <w:lang w:eastAsia="zh-CN"/>
        </w:rPr>
        <w:t>2021</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eastAsia="zh-CN"/>
        </w:rPr>
        <w:t>增加</w:t>
      </w:r>
      <w:r>
        <w:rPr>
          <w:rFonts w:hint="eastAsia" w:ascii="仿宋_GB2312" w:hAnsi="仿宋" w:eastAsia="仿宋_GB2312"/>
          <w:color w:val="auto"/>
          <w:sz w:val="32"/>
          <w:szCs w:val="32"/>
          <w:lang w:val="en-US" w:eastAsia="zh-CN"/>
        </w:rPr>
        <w:t>10.40</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上年预算未列支</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增长</w:t>
      </w:r>
      <w:r>
        <w:rPr>
          <w:rFonts w:hint="eastAsia" w:ascii="仿宋_GB2312" w:hAnsi="仿宋" w:eastAsia="仿宋_GB2312"/>
          <w:color w:val="auto"/>
          <w:sz w:val="32"/>
          <w:szCs w:val="32"/>
        </w:rPr>
        <w:t>原因主要是</w:t>
      </w:r>
      <w:r>
        <w:rPr>
          <w:rFonts w:hint="eastAsia" w:ascii="仿宋_GB2312" w:hAnsi="仿宋" w:eastAsia="仿宋_GB2312"/>
          <w:color w:val="auto"/>
          <w:sz w:val="32"/>
          <w:szCs w:val="32"/>
          <w:lang w:eastAsia="zh-CN"/>
        </w:rPr>
        <w:t>提租补贴支出增加</w:t>
      </w:r>
      <w:r>
        <w:rPr>
          <w:rFonts w:hint="eastAsia" w:ascii="仿宋_GB2312" w:hAnsi="仿宋" w:eastAsia="仿宋_GB2312"/>
          <w:color w:val="auto"/>
          <w:sz w:val="32"/>
          <w:szCs w:val="32"/>
        </w:rPr>
        <w:t>。</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color w:val="auto"/>
          <w:sz w:val="32"/>
          <w:szCs w:val="32"/>
          <w:lang w:val="en-US" w:eastAsia="zh-CN"/>
        </w:rPr>
        <w:t>18.住房保障支出（类）住房改革支出（款）购房补贴</w:t>
      </w:r>
      <w:r>
        <w:rPr>
          <w:rFonts w:hint="eastAsia" w:ascii="仿宋_GB2312" w:hAnsi="仿宋" w:eastAsia="仿宋_GB2312"/>
          <w:b/>
          <w:color w:val="auto"/>
          <w:sz w:val="32"/>
          <w:szCs w:val="32"/>
        </w:rPr>
        <w:t>（项）</w:t>
      </w:r>
      <w:r>
        <w:rPr>
          <w:rFonts w:hint="eastAsia" w:ascii="仿宋_GB2312" w:hAnsi="仿宋" w:eastAsia="仿宋_GB2312"/>
          <w:color w:val="auto"/>
          <w:sz w:val="32"/>
          <w:szCs w:val="32"/>
          <w:lang w:eastAsia="zh-CN"/>
        </w:rPr>
        <w:t>2022</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val="en-US" w:eastAsia="zh-CN"/>
        </w:rPr>
        <w:t>10.40</w:t>
      </w:r>
      <w:r>
        <w:rPr>
          <w:rFonts w:hint="eastAsia" w:ascii="仿宋_GB2312" w:hAnsi="仿宋" w:eastAsia="仿宋_GB2312"/>
          <w:color w:val="auto"/>
          <w:sz w:val="32"/>
          <w:szCs w:val="32"/>
        </w:rPr>
        <w:t>万元，比</w:t>
      </w:r>
      <w:r>
        <w:rPr>
          <w:rFonts w:hint="eastAsia" w:ascii="仿宋_GB2312" w:hAnsi="仿宋" w:eastAsia="仿宋_GB2312"/>
          <w:color w:val="auto"/>
          <w:sz w:val="32"/>
          <w:szCs w:val="32"/>
          <w:lang w:eastAsia="zh-CN"/>
        </w:rPr>
        <w:t>2021</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eastAsia="zh-CN"/>
        </w:rPr>
        <w:t>增加</w:t>
      </w:r>
      <w:r>
        <w:rPr>
          <w:rFonts w:hint="eastAsia" w:ascii="仿宋_GB2312" w:hAnsi="仿宋" w:eastAsia="仿宋_GB2312"/>
          <w:color w:val="auto"/>
          <w:sz w:val="32"/>
          <w:szCs w:val="32"/>
          <w:lang w:val="en-US" w:eastAsia="zh-CN"/>
        </w:rPr>
        <w:t>10.40</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上年预算未列支</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增长</w:t>
      </w:r>
      <w:r>
        <w:rPr>
          <w:rFonts w:hint="eastAsia" w:ascii="仿宋_GB2312" w:hAnsi="仿宋" w:eastAsia="仿宋_GB2312"/>
          <w:color w:val="auto"/>
          <w:sz w:val="32"/>
          <w:szCs w:val="32"/>
        </w:rPr>
        <w:t>原因主要是</w:t>
      </w:r>
      <w:r>
        <w:rPr>
          <w:rFonts w:hint="eastAsia" w:ascii="仿宋_GB2312" w:hAnsi="仿宋" w:eastAsia="仿宋_GB2312"/>
          <w:color w:val="auto"/>
          <w:sz w:val="32"/>
          <w:szCs w:val="32"/>
          <w:lang w:eastAsia="zh-CN"/>
        </w:rPr>
        <w:t>购房补贴支出增加</w:t>
      </w:r>
      <w:r>
        <w:rPr>
          <w:rFonts w:hint="eastAsia" w:ascii="仿宋_GB2312" w:hAnsi="仿宋" w:eastAsia="仿宋_GB2312"/>
          <w:color w:val="auto"/>
          <w:sz w:val="32"/>
          <w:szCs w:val="32"/>
        </w:rPr>
        <w:t>。</w:t>
      </w:r>
    </w:p>
    <w:p>
      <w:pPr>
        <w:adjustRightInd w:val="0"/>
        <w:snapToGrid w:val="0"/>
        <w:spacing w:line="600" w:lineRule="exact"/>
        <w:ind w:firstLine="640" w:firstLineChars="200"/>
        <w:rPr>
          <w:rFonts w:ascii="黑体" w:eastAsia="黑体"/>
          <w:color w:val="000000" w:themeColor="text1"/>
          <w14:textFill>
            <w14:solidFill>
              <w14:schemeClr w14:val="tx1"/>
            </w14:solidFill>
          </w14:textFill>
        </w:rPr>
      </w:pPr>
      <w:r>
        <w:rPr>
          <w:rFonts w:hint="eastAsia" w:ascii="黑体" w:hAnsi="仿宋" w:eastAsia="黑体" w:cs="Times New Roman"/>
          <w:color w:val="000000" w:themeColor="text1"/>
          <w:kern w:val="2"/>
          <w:sz w:val="32"/>
          <w:szCs w:val="32"/>
          <w14:textFill>
            <w14:solidFill>
              <w14:schemeClr w14:val="tx1"/>
            </w14:solidFill>
          </w14:textFill>
        </w:rPr>
        <w:t>六、关于</w:t>
      </w:r>
      <w:r>
        <w:rPr>
          <w:rFonts w:hint="eastAsia" w:ascii="黑体" w:hAnsi="仿宋" w:eastAsia="黑体" w:cs="Times New Roman"/>
          <w:color w:val="000000" w:themeColor="text1"/>
          <w:kern w:val="2"/>
          <w:sz w:val="32"/>
          <w:szCs w:val="32"/>
          <w:lang w:eastAsia="zh-CN"/>
          <w14:textFill>
            <w14:solidFill>
              <w14:schemeClr w14:val="tx1"/>
            </w14:solidFill>
          </w14:textFill>
        </w:rPr>
        <w:t>2022</w:t>
      </w:r>
      <w:r>
        <w:rPr>
          <w:rFonts w:hint="eastAsia" w:ascii="黑体" w:hAnsi="仿宋" w:eastAsia="黑体" w:cs="Times New Roman"/>
          <w:color w:val="000000" w:themeColor="text1"/>
          <w:kern w:val="2"/>
          <w:sz w:val="32"/>
          <w:szCs w:val="32"/>
          <w14:textFill>
            <w14:solidFill>
              <w14:schemeClr w14:val="tx1"/>
            </w14:solidFill>
          </w14:textFill>
        </w:rPr>
        <w:t>年一般公共预算基本支出表的说明</w:t>
      </w:r>
    </w:p>
    <w:p>
      <w:pPr>
        <w:ind w:firstLine="640" w:firstLineChars="200"/>
        <w:rPr>
          <w:rFonts w:ascii="仿宋_GB2312" w:hAnsi="仿宋" w:eastAsia="仿宋_GB2312"/>
          <w:sz w:val="32"/>
          <w:szCs w:val="32"/>
        </w:rPr>
      </w:pPr>
      <w:r>
        <w:rPr>
          <w:rFonts w:hint="eastAsia" w:ascii="仿宋_GB2312" w:hAnsi="仿宋" w:eastAsia="仿宋_GB2312"/>
          <w:sz w:val="32"/>
          <w:szCs w:val="32"/>
          <w:lang w:eastAsia="zh-CN"/>
        </w:rPr>
        <w:t>相山区民政局2022</w:t>
      </w:r>
      <w:r>
        <w:rPr>
          <w:rFonts w:hint="eastAsia" w:ascii="仿宋_GB2312" w:hAnsi="仿宋" w:eastAsia="仿宋_GB2312"/>
          <w:sz w:val="32"/>
          <w:szCs w:val="32"/>
        </w:rPr>
        <w:t>年一般公共预算基本支出</w:t>
      </w:r>
      <w:r>
        <w:rPr>
          <w:rFonts w:hint="eastAsia" w:ascii="仿宋_GB2312" w:hAnsi="仿宋" w:eastAsia="仿宋_GB2312"/>
          <w:sz w:val="32"/>
          <w:szCs w:val="32"/>
          <w:lang w:val="en-US" w:eastAsia="zh-CN"/>
        </w:rPr>
        <w:t>317.88</w:t>
      </w:r>
      <w:r>
        <w:rPr>
          <w:rFonts w:hint="eastAsia" w:ascii="仿宋_GB2312" w:hAnsi="仿宋" w:eastAsia="仿宋_GB2312"/>
          <w:sz w:val="32"/>
          <w:szCs w:val="32"/>
        </w:rPr>
        <w:t>万元，其中，人员经费</w:t>
      </w:r>
      <w:r>
        <w:rPr>
          <w:rFonts w:hint="eastAsia" w:ascii="仿宋_GB2312" w:hAnsi="仿宋" w:eastAsia="仿宋_GB2312"/>
          <w:sz w:val="32"/>
          <w:szCs w:val="32"/>
          <w:lang w:val="en-US" w:eastAsia="zh-CN"/>
        </w:rPr>
        <w:t>286.9</w:t>
      </w:r>
      <w:r>
        <w:rPr>
          <w:rFonts w:hint="eastAsia" w:ascii="仿宋_GB2312" w:hAnsi="仿宋" w:eastAsia="仿宋_GB2312"/>
          <w:sz w:val="32"/>
          <w:szCs w:val="32"/>
        </w:rPr>
        <w:t>元，公用经费</w:t>
      </w:r>
      <w:r>
        <w:rPr>
          <w:rFonts w:hint="eastAsia" w:ascii="仿宋_GB2312" w:hAnsi="仿宋" w:eastAsia="仿宋_GB2312"/>
          <w:sz w:val="32"/>
          <w:szCs w:val="32"/>
          <w:lang w:val="en-US" w:eastAsia="zh-CN"/>
        </w:rPr>
        <w:t>30.97</w:t>
      </w:r>
      <w:r>
        <w:rPr>
          <w:rFonts w:hint="eastAsia" w:ascii="仿宋_GB2312" w:hAnsi="仿宋" w:eastAsia="仿宋_GB2312"/>
          <w:sz w:val="32"/>
          <w:szCs w:val="32"/>
        </w:rPr>
        <w:t>万元。</w:t>
      </w:r>
    </w:p>
    <w:p>
      <w:pPr>
        <w:ind w:firstLine="640" w:firstLineChars="200"/>
        <w:rPr>
          <w:rFonts w:ascii="仿宋_GB2312" w:hAnsi="仿宋" w:eastAsia="仿宋_GB2312"/>
          <w:sz w:val="32"/>
          <w:szCs w:val="32"/>
          <w:u w:val="none"/>
        </w:rPr>
      </w:pPr>
      <w:r>
        <w:rPr>
          <w:rFonts w:hint="eastAsia" w:ascii="仿宋_GB2312" w:hAnsi="仿宋" w:eastAsia="仿宋_GB2312"/>
          <w:sz w:val="32"/>
          <w:szCs w:val="32"/>
        </w:rPr>
        <w:t>（一）人员经费</w:t>
      </w:r>
      <w:r>
        <w:rPr>
          <w:rFonts w:hint="eastAsia" w:ascii="仿宋_GB2312" w:hAnsi="仿宋" w:eastAsia="仿宋_GB2312"/>
          <w:sz w:val="32"/>
          <w:szCs w:val="32"/>
          <w:lang w:val="en-US" w:eastAsia="zh-CN"/>
        </w:rPr>
        <w:t>286.9</w:t>
      </w:r>
      <w:r>
        <w:rPr>
          <w:rFonts w:hint="eastAsia" w:ascii="仿宋_GB2312" w:hAnsi="仿宋" w:eastAsia="仿宋_GB2312"/>
          <w:sz w:val="32"/>
          <w:szCs w:val="32"/>
        </w:rPr>
        <w:t>万元，主要包括:</w:t>
      </w:r>
      <w:r>
        <w:rPr>
          <w:rFonts w:hint="eastAsia" w:ascii="仿宋_GB2312" w:hAnsi="仿宋" w:eastAsia="仿宋_GB2312"/>
          <w:sz w:val="32"/>
          <w:szCs w:val="32"/>
          <w:u w:val="none"/>
        </w:rPr>
        <w:t>基本工资、津贴补贴、奖金、绩效工资、机关事业单位基本养老保险费、职业年金缴费、职工基本医疗保险缴费、公务员医疗补助缴费、其他社会保障缴费、住房公积金、其他工资福利支出。</w:t>
      </w:r>
    </w:p>
    <w:p>
      <w:pPr>
        <w:ind w:firstLine="640" w:firstLineChars="200"/>
        <w:rPr>
          <w:rFonts w:ascii="仿宋_GB2312" w:hAnsi="仿宋" w:eastAsia="仿宋_GB2312"/>
          <w:sz w:val="32"/>
          <w:szCs w:val="32"/>
          <w:u w:val="none"/>
        </w:rPr>
      </w:pPr>
      <w:r>
        <w:rPr>
          <w:rFonts w:hint="eastAsia" w:ascii="仿宋_GB2312" w:hAnsi="仿宋" w:eastAsia="仿宋_GB2312"/>
          <w:sz w:val="32"/>
          <w:szCs w:val="32"/>
          <w:u w:val="none"/>
        </w:rPr>
        <w:t>（二）公用经费</w:t>
      </w:r>
      <w:r>
        <w:rPr>
          <w:rFonts w:hint="eastAsia" w:ascii="仿宋_GB2312" w:hAnsi="仿宋" w:eastAsia="仿宋_GB2312"/>
          <w:sz w:val="32"/>
          <w:szCs w:val="32"/>
          <w:u w:val="none"/>
          <w:lang w:val="en-US" w:eastAsia="zh-CN"/>
        </w:rPr>
        <w:t>30.97</w:t>
      </w:r>
      <w:r>
        <w:rPr>
          <w:rFonts w:hint="eastAsia" w:ascii="仿宋_GB2312" w:hAnsi="仿宋" w:eastAsia="仿宋_GB2312"/>
          <w:sz w:val="32"/>
          <w:szCs w:val="32"/>
          <w:u w:val="none"/>
        </w:rPr>
        <w:t>万元，主要包括：</w:t>
      </w:r>
      <w:r>
        <w:rPr>
          <w:rFonts w:hint="eastAsia" w:ascii="仿宋_GB2312" w:hAnsi="仿宋" w:eastAsia="仿宋_GB2312"/>
          <w:sz w:val="32"/>
          <w:szCs w:val="32"/>
          <w:u w:val="none"/>
        </w:rPr>
        <w:t>办公费、培训费、工会经费、福利费、其他交通费用。</w:t>
      </w:r>
    </w:p>
    <w:p>
      <w:pPr>
        <w:pStyle w:val="5"/>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七、关于</w:t>
      </w:r>
      <w:r>
        <w:rPr>
          <w:rFonts w:hint="eastAsia" w:ascii="黑体" w:hAnsi="仿宋" w:eastAsia="黑体"/>
          <w:sz w:val="32"/>
          <w:szCs w:val="32"/>
          <w:lang w:eastAsia="zh-CN"/>
        </w:rPr>
        <w:t>2022</w:t>
      </w:r>
      <w:r>
        <w:rPr>
          <w:rFonts w:hint="eastAsia" w:ascii="黑体" w:hAnsi="仿宋" w:eastAsia="黑体"/>
          <w:sz w:val="32"/>
          <w:szCs w:val="32"/>
        </w:rPr>
        <w:t>年政府性基金预算支出表的说明</w:t>
      </w:r>
    </w:p>
    <w:p>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580" w:lineRule="exact"/>
        <w:ind w:left="0" w:leftChars="0" w:right="0" w:rightChars="0" w:firstLine="0" w:firstLineChars="0"/>
        <w:jc w:val="both"/>
        <w:textAlignment w:val="auto"/>
        <w:outlineLvl w:val="9"/>
        <w:rPr>
          <w:rFonts w:ascii="仿宋_GB2312" w:hAnsi="仿宋" w:eastAsia="仿宋_GB2312"/>
          <w:sz w:val="32"/>
          <w:szCs w:val="32"/>
        </w:rPr>
      </w:pP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lang w:eastAsia="zh-CN"/>
        </w:rPr>
        <w:t>相山区民政局2022</w:t>
      </w:r>
      <w:r>
        <w:rPr>
          <w:rFonts w:hint="eastAsia" w:ascii="仿宋_GB2312" w:hAnsi="仿宋" w:eastAsia="仿宋_GB2312"/>
          <w:sz w:val="32"/>
          <w:szCs w:val="32"/>
        </w:rPr>
        <w:t>年没有政府性基金预算拨款收入，也没有使用政府性基金预算拨款安排的支出。</w:t>
      </w:r>
    </w:p>
    <w:p>
      <w:pPr>
        <w:pStyle w:val="5"/>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八、关于</w:t>
      </w:r>
      <w:r>
        <w:rPr>
          <w:rFonts w:hint="eastAsia" w:ascii="黑体" w:hAnsi="仿宋" w:eastAsia="黑体"/>
          <w:sz w:val="32"/>
          <w:szCs w:val="32"/>
          <w:lang w:eastAsia="zh-CN"/>
        </w:rPr>
        <w:t>2022</w:t>
      </w:r>
      <w:r>
        <w:rPr>
          <w:rFonts w:hint="eastAsia" w:ascii="黑体" w:hAnsi="仿宋" w:eastAsia="黑体"/>
          <w:sz w:val="32"/>
          <w:szCs w:val="32"/>
        </w:rPr>
        <w:t>年国有资本经营预算支出表的说明</w:t>
      </w:r>
    </w:p>
    <w:p>
      <w:pPr>
        <w:pStyle w:val="5"/>
        <w:adjustRightInd w:val="0"/>
        <w:snapToGrid w:val="0"/>
        <w:spacing w:before="0" w:beforeAutospacing="0" w:after="0" w:afterAutospacing="0" w:line="600" w:lineRule="exact"/>
        <w:rPr>
          <w:rFonts w:ascii="仿宋_GB2312" w:hAnsi="仿宋" w:eastAsia="仿宋_GB2312"/>
          <w:sz w:val="32"/>
          <w:szCs w:val="32"/>
        </w:rPr>
      </w:pP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lang w:eastAsia="zh-CN"/>
        </w:rPr>
        <w:t>相山区民政局2022</w:t>
      </w:r>
      <w:r>
        <w:rPr>
          <w:rFonts w:hint="eastAsia" w:ascii="仿宋_GB2312" w:hAnsi="仿宋" w:eastAsia="仿宋_GB2312"/>
          <w:sz w:val="32"/>
          <w:szCs w:val="32"/>
        </w:rPr>
        <w:t>年没有国有资本经营预算拨款收入，也没有使用国有资本经营预算拨款安排的支出。</w:t>
      </w:r>
    </w:p>
    <w:p>
      <w:pPr>
        <w:pStyle w:val="5"/>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九、关于</w:t>
      </w:r>
      <w:r>
        <w:rPr>
          <w:rFonts w:hint="eastAsia" w:ascii="黑体" w:hAnsi="仿宋" w:eastAsia="黑体"/>
          <w:sz w:val="32"/>
          <w:szCs w:val="32"/>
          <w:lang w:eastAsia="zh-CN"/>
        </w:rPr>
        <w:t>2022</w:t>
      </w:r>
      <w:r>
        <w:rPr>
          <w:rFonts w:hint="eastAsia" w:ascii="黑体" w:hAnsi="仿宋" w:eastAsia="黑体"/>
          <w:sz w:val="32"/>
          <w:szCs w:val="32"/>
        </w:rPr>
        <w:t>年项目支出表的说明</w:t>
      </w:r>
    </w:p>
    <w:p>
      <w:pPr>
        <w:pStyle w:val="5"/>
        <w:adjustRightInd w:val="0"/>
        <w:snapToGrid w:val="0"/>
        <w:spacing w:before="0" w:beforeAutospacing="0" w:after="0" w:afterAutospacing="0"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相山区民政局2022</w:t>
      </w:r>
      <w:r>
        <w:rPr>
          <w:rFonts w:hint="eastAsia" w:ascii="仿宋_GB2312" w:hAnsi="仿宋" w:eastAsia="仿宋_GB2312"/>
          <w:sz w:val="32"/>
          <w:szCs w:val="32"/>
        </w:rPr>
        <w:t>年预算共安排项目支出</w:t>
      </w:r>
      <w:r>
        <w:rPr>
          <w:rFonts w:hint="eastAsia" w:ascii="仿宋_GB2312" w:hAnsi="仿宋" w:eastAsia="仿宋_GB2312"/>
          <w:sz w:val="32"/>
          <w:szCs w:val="32"/>
          <w:lang w:val="en-US" w:eastAsia="zh-CN"/>
        </w:rPr>
        <w:t>1207.38</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236.43</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24.35</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新增相山区“小微权利”监督管理平台、镇街开发区社工站建设项目，城市低保金增加</w:t>
      </w:r>
      <w:r>
        <w:rPr>
          <w:rFonts w:hint="eastAsia" w:ascii="仿宋_GB2312" w:hAnsi="仿宋" w:eastAsia="仿宋_GB2312"/>
          <w:sz w:val="32"/>
          <w:szCs w:val="32"/>
        </w:rPr>
        <w:t>。主要包括：本年财政拨款安</w:t>
      </w:r>
      <w:r>
        <w:rPr>
          <w:rFonts w:hint="eastAsia" w:ascii="仿宋_GB2312" w:hAnsi="仿宋" w:eastAsia="仿宋_GB2312"/>
          <w:sz w:val="32"/>
          <w:szCs w:val="32"/>
          <w:lang w:eastAsia="zh-CN"/>
        </w:rPr>
        <w:t>排</w:t>
      </w:r>
      <w:r>
        <w:rPr>
          <w:rFonts w:hint="eastAsia" w:ascii="仿宋_GB2312" w:hAnsi="仿宋" w:eastAsia="仿宋_GB2312"/>
          <w:sz w:val="32"/>
          <w:szCs w:val="32"/>
          <w:lang w:val="en-US" w:eastAsia="zh-CN"/>
        </w:rPr>
        <w:t>1207.38</w:t>
      </w:r>
      <w:r>
        <w:rPr>
          <w:rFonts w:hint="eastAsia" w:ascii="仿宋_GB2312" w:hAnsi="仿宋" w:eastAsia="仿宋_GB2312"/>
          <w:sz w:val="32"/>
          <w:szCs w:val="32"/>
        </w:rPr>
        <w:t>万元（其中，一般公共预算拨款安</w:t>
      </w:r>
      <w:r>
        <w:rPr>
          <w:rFonts w:hint="eastAsia" w:ascii="仿宋_GB2312" w:hAnsi="仿宋" w:eastAsia="仿宋_GB2312"/>
          <w:sz w:val="32"/>
          <w:szCs w:val="32"/>
          <w:lang w:eastAsia="zh-CN"/>
        </w:rPr>
        <w:t>排</w:t>
      </w:r>
      <w:r>
        <w:rPr>
          <w:rFonts w:hint="eastAsia" w:ascii="仿宋_GB2312" w:hAnsi="仿宋" w:eastAsia="仿宋_GB2312"/>
          <w:sz w:val="32"/>
          <w:szCs w:val="32"/>
          <w:lang w:val="en-US" w:eastAsia="zh-CN"/>
        </w:rPr>
        <w:t>1207.38</w:t>
      </w:r>
      <w:r>
        <w:rPr>
          <w:rFonts w:hint="eastAsia" w:ascii="仿宋_GB2312" w:hAnsi="仿宋" w:eastAsia="仿宋_GB2312"/>
          <w:sz w:val="32"/>
          <w:szCs w:val="32"/>
        </w:rPr>
        <w:t>万元，政府性基金预算拨款安排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万元，国有资本经营预算拨款安排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 xml:space="preserve">万元），财政拨款结转结余安排 </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万元（其中，一般公共预算拨款安排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万元，政府性基金预算拨款安排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万元，国有资本经营预算拨款安排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万元）、财政专户管理资金安排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万元和单位资金安排</w:t>
      </w:r>
      <w:r>
        <w:rPr>
          <w:rFonts w:hint="eastAsia" w:ascii="仿宋_GB2312" w:hAnsi="仿宋" w:eastAsia="仿宋_GB2312"/>
          <w:sz w:val="32"/>
          <w:szCs w:val="32"/>
          <w:lang w:val="en-US" w:eastAsia="zh-CN"/>
        </w:rPr>
        <w:t>0</w:t>
      </w:r>
      <w:r>
        <w:rPr>
          <w:rFonts w:hint="eastAsia" w:ascii="仿宋_GB2312" w:hAnsi="仿宋" w:eastAsia="仿宋_GB2312"/>
          <w:sz w:val="32"/>
          <w:szCs w:val="32"/>
        </w:rPr>
        <w:t xml:space="preserve">万元。 </w:t>
      </w:r>
    </w:p>
    <w:p>
      <w:pPr>
        <w:pStyle w:val="5"/>
        <w:adjustRightInd w:val="0"/>
        <w:snapToGrid w:val="0"/>
        <w:spacing w:before="0" w:beforeAutospacing="0" w:after="0" w:afterAutospacing="0" w:line="600" w:lineRule="exact"/>
        <w:ind w:firstLine="640" w:firstLineChars="200"/>
        <w:rPr>
          <w:rFonts w:hint="eastAsia" w:ascii="黑体" w:hAnsi="仿宋" w:eastAsia="黑体"/>
          <w:sz w:val="32"/>
          <w:szCs w:val="32"/>
        </w:rPr>
      </w:pPr>
      <w:r>
        <w:rPr>
          <w:rFonts w:hint="eastAsia" w:ascii="黑体" w:hAnsi="仿宋" w:eastAsia="黑体"/>
          <w:sz w:val="32"/>
          <w:szCs w:val="32"/>
        </w:rPr>
        <w:t>十、关于</w:t>
      </w:r>
      <w:r>
        <w:rPr>
          <w:rFonts w:hint="eastAsia" w:ascii="黑体" w:hAnsi="仿宋" w:eastAsia="黑体"/>
          <w:sz w:val="32"/>
          <w:szCs w:val="32"/>
          <w:lang w:eastAsia="zh-CN"/>
        </w:rPr>
        <w:t>2022</w:t>
      </w:r>
      <w:r>
        <w:rPr>
          <w:rFonts w:hint="eastAsia" w:ascii="黑体" w:hAnsi="仿宋" w:eastAsia="黑体"/>
          <w:sz w:val="32"/>
          <w:szCs w:val="32"/>
        </w:rPr>
        <w:t>年政府采购支出表的说明</w:t>
      </w:r>
    </w:p>
    <w:p>
      <w:pPr>
        <w:pStyle w:val="5"/>
        <w:adjustRightInd w:val="0"/>
        <w:snapToGrid w:val="0"/>
        <w:spacing w:before="0" w:beforeAutospacing="0" w:after="0" w:afterAutospacing="0" w:line="600" w:lineRule="exact"/>
        <w:ind w:firstLine="640" w:firstLineChars="200"/>
        <w:rPr>
          <w:rFonts w:ascii="仿宋_GB2312" w:hAnsi="仿宋" w:eastAsia="仿宋_GB2312"/>
          <w:sz w:val="32"/>
          <w:szCs w:val="32"/>
        </w:rPr>
      </w:pPr>
      <w:r>
        <w:rPr>
          <w:rFonts w:hint="eastAsia" w:ascii="仿宋_GB2312" w:hAnsi="仿宋" w:eastAsia="仿宋_GB2312"/>
          <w:sz w:val="32"/>
          <w:szCs w:val="32"/>
          <w:lang w:eastAsia="zh-CN"/>
        </w:rPr>
        <w:t>相山区民政局2022</w:t>
      </w:r>
      <w:r>
        <w:rPr>
          <w:rFonts w:hint="eastAsia" w:ascii="仿宋_GB2312" w:hAnsi="仿宋" w:eastAsia="仿宋_GB2312"/>
          <w:sz w:val="32"/>
          <w:szCs w:val="32"/>
        </w:rPr>
        <w:t>年预算安排政府采购支出</w:t>
      </w:r>
      <w:r>
        <w:rPr>
          <w:rFonts w:hint="eastAsia" w:ascii="仿宋_GB2312" w:hAnsi="仿宋" w:eastAsia="仿宋_GB2312"/>
          <w:sz w:val="32"/>
          <w:szCs w:val="32"/>
          <w:lang w:val="en-US" w:eastAsia="zh-CN"/>
        </w:rPr>
        <w:t>25.00</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19.40</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346.43</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新增社会救助政府购买服务</w:t>
      </w:r>
      <w:r>
        <w:rPr>
          <w:rFonts w:hint="eastAsia" w:ascii="仿宋_GB2312" w:hAnsi="仿宋" w:eastAsia="仿宋_GB2312"/>
          <w:sz w:val="32"/>
          <w:szCs w:val="32"/>
        </w:rPr>
        <w:t>。其中，一般公共预算安排</w:t>
      </w:r>
      <w:r>
        <w:rPr>
          <w:rFonts w:hint="eastAsia" w:ascii="仿宋_GB2312" w:hAnsi="仿宋" w:eastAsia="仿宋_GB2312"/>
          <w:sz w:val="32"/>
          <w:szCs w:val="32"/>
          <w:lang w:val="en-US" w:eastAsia="zh-CN"/>
        </w:rPr>
        <w:t>25.22</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100.00</w:t>
      </w:r>
      <w:r>
        <w:rPr>
          <w:rFonts w:hint="eastAsia" w:ascii="仿宋_GB2312" w:hAnsi="仿宋" w:eastAsia="仿宋_GB2312"/>
          <w:sz w:val="32"/>
          <w:szCs w:val="32"/>
        </w:rPr>
        <w:t>%；政府性基金预算安排</w:t>
      </w:r>
      <w:r>
        <w:rPr>
          <w:rFonts w:hint="eastAsia" w:ascii="仿宋_GB2312" w:hAnsi="仿宋" w:eastAsia="仿宋_GB2312"/>
          <w:sz w:val="32"/>
          <w:szCs w:val="32"/>
          <w:lang w:val="en-US" w:eastAsia="zh-CN"/>
        </w:rPr>
        <w:t>0.00</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0.00</w:t>
      </w:r>
      <w:r>
        <w:rPr>
          <w:rFonts w:hint="eastAsia" w:ascii="仿宋_GB2312" w:hAnsi="仿宋" w:eastAsia="仿宋_GB2312"/>
          <w:sz w:val="32"/>
          <w:szCs w:val="32"/>
        </w:rPr>
        <w:t>%；国有资本经营预算安排</w:t>
      </w:r>
      <w:r>
        <w:rPr>
          <w:rFonts w:hint="eastAsia" w:ascii="仿宋_GB2312" w:hAnsi="仿宋" w:eastAsia="仿宋_GB2312"/>
          <w:sz w:val="32"/>
          <w:szCs w:val="32"/>
          <w:lang w:val="en-US" w:eastAsia="zh-CN"/>
        </w:rPr>
        <w:t>0.00</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0.00</w:t>
      </w:r>
      <w:r>
        <w:rPr>
          <w:rFonts w:hint="eastAsia" w:ascii="仿宋_GB2312" w:hAnsi="仿宋" w:eastAsia="仿宋_GB2312"/>
          <w:sz w:val="32"/>
          <w:szCs w:val="32"/>
        </w:rPr>
        <w:t>%；财政专户管理资金安排</w:t>
      </w:r>
      <w:r>
        <w:rPr>
          <w:rFonts w:hint="eastAsia" w:ascii="仿宋_GB2312" w:hAnsi="仿宋" w:eastAsia="仿宋_GB2312"/>
          <w:sz w:val="32"/>
          <w:szCs w:val="32"/>
          <w:lang w:val="en-US" w:eastAsia="zh-CN"/>
        </w:rPr>
        <w:t>0.00</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0.00</w:t>
      </w:r>
      <w:r>
        <w:rPr>
          <w:rFonts w:hint="eastAsia" w:ascii="仿宋_GB2312" w:hAnsi="仿宋" w:eastAsia="仿宋_GB2312"/>
          <w:sz w:val="32"/>
          <w:szCs w:val="32"/>
        </w:rPr>
        <w:t>%；单位资金安排</w:t>
      </w:r>
      <w:r>
        <w:rPr>
          <w:rFonts w:hint="eastAsia" w:ascii="仿宋_GB2312" w:hAnsi="仿宋" w:eastAsia="仿宋_GB2312"/>
          <w:sz w:val="32"/>
          <w:szCs w:val="32"/>
          <w:lang w:val="en-US" w:eastAsia="zh-CN"/>
        </w:rPr>
        <w:t>0.00</w:t>
      </w:r>
      <w:r>
        <w:rPr>
          <w:rFonts w:hint="eastAsia" w:ascii="仿宋_GB2312" w:hAnsi="仿宋" w:eastAsia="仿宋_GB2312"/>
          <w:sz w:val="32"/>
          <w:szCs w:val="32"/>
        </w:rPr>
        <w:t>万元，占</w:t>
      </w:r>
      <w:r>
        <w:rPr>
          <w:rFonts w:hint="eastAsia" w:ascii="仿宋_GB2312" w:hAnsi="仿宋" w:eastAsia="仿宋_GB2312"/>
          <w:sz w:val="32"/>
          <w:szCs w:val="32"/>
          <w:lang w:val="en-US" w:eastAsia="zh-CN"/>
        </w:rPr>
        <w:t>0.00</w:t>
      </w:r>
      <w:r>
        <w:rPr>
          <w:rFonts w:hint="eastAsia" w:ascii="仿宋_GB2312" w:hAnsi="仿宋" w:eastAsia="仿宋_GB2312"/>
          <w:sz w:val="32"/>
          <w:szCs w:val="32"/>
        </w:rPr>
        <w:t>%。</w:t>
      </w:r>
    </w:p>
    <w:p>
      <w:pPr>
        <w:pStyle w:val="5"/>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十一、关于</w:t>
      </w:r>
      <w:r>
        <w:rPr>
          <w:rFonts w:hint="eastAsia" w:ascii="黑体" w:hAnsi="仿宋" w:eastAsia="黑体"/>
          <w:sz w:val="32"/>
          <w:szCs w:val="32"/>
          <w:lang w:eastAsia="zh-CN"/>
        </w:rPr>
        <w:t>2022</w:t>
      </w:r>
      <w:r>
        <w:rPr>
          <w:rFonts w:hint="eastAsia" w:ascii="黑体" w:hAnsi="仿宋" w:eastAsia="黑体"/>
          <w:sz w:val="32"/>
          <w:szCs w:val="32"/>
        </w:rPr>
        <w:t>年政府购买服务支出表的说明</w:t>
      </w:r>
    </w:p>
    <w:p>
      <w:pPr>
        <w:pStyle w:val="5"/>
        <w:adjustRightInd w:val="0"/>
        <w:snapToGrid w:val="0"/>
        <w:spacing w:before="0" w:beforeAutospacing="0" w:after="0" w:afterAutospacing="0"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lang w:eastAsia="zh-CN"/>
        </w:rPr>
        <w:t>相山区民政局2022</w:t>
      </w:r>
      <w:r>
        <w:rPr>
          <w:rFonts w:hint="eastAsia" w:ascii="仿宋_GB2312" w:hAnsi="仿宋" w:eastAsia="仿宋_GB2312"/>
          <w:sz w:val="32"/>
          <w:szCs w:val="32"/>
        </w:rPr>
        <w:t>年预算安排政府购买服务支出</w:t>
      </w:r>
      <w:r>
        <w:rPr>
          <w:rFonts w:hint="eastAsia" w:ascii="仿宋_GB2312" w:hAnsi="仿宋" w:eastAsia="仿宋_GB2312"/>
          <w:sz w:val="32"/>
          <w:szCs w:val="32"/>
          <w:lang w:val="en-US" w:eastAsia="zh-CN"/>
        </w:rPr>
        <w:t>220.30</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220.3</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100.00</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增加社会救助购买服务、鹰山公墓物业管理、社工站建设</w:t>
      </w:r>
      <w:r>
        <w:rPr>
          <w:rFonts w:hint="eastAsia" w:ascii="仿宋_GB2312" w:hAnsi="仿宋" w:eastAsia="仿宋_GB2312"/>
          <w:sz w:val="32"/>
          <w:szCs w:val="32"/>
        </w:rPr>
        <w:t>。</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十二、其他重要事项情况说明</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（一）项目及绩效目标情况。</w:t>
      </w:r>
    </w:p>
    <w:p>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rPr>
        <w:t>1.“城市低保</w:t>
      </w:r>
      <w:r>
        <w:rPr>
          <w:rFonts w:hint="eastAsia" w:ascii="仿宋_GB2312" w:hAnsi="楷体" w:eastAsia="仿宋_GB2312"/>
          <w:b/>
          <w:sz w:val="32"/>
          <w:szCs w:val="32"/>
          <w:lang w:eastAsia="zh-CN"/>
        </w:rPr>
        <w:t>金</w:t>
      </w:r>
      <w:r>
        <w:rPr>
          <w:rFonts w:hint="eastAsia" w:ascii="仿宋_GB2312" w:hAnsi="楷体" w:eastAsia="仿宋_GB2312"/>
          <w:b/>
          <w:sz w:val="32"/>
          <w:szCs w:val="32"/>
        </w:rPr>
        <w:t>”项目。</w:t>
      </w:r>
    </w:p>
    <w:p>
      <w:pPr>
        <w:spacing w:line="600" w:lineRule="exact"/>
        <w:ind w:firstLine="642"/>
        <w:rPr>
          <w:rFonts w:hint="eastAsia" w:ascii="仿宋_GB2312" w:hAnsi="仿宋_GB2312" w:eastAsia="仿宋_GB2312" w:cs="仿宋_GB2312"/>
          <w:sz w:val="32"/>
          <w:szCs w:val="32"/>
        </w:rPr>
      </w:pPr>
      <w:r>
        <w:rPr>
          <w:rFonts w:hint="eastAsia" w:ascii="仿宋_GB2312" w:hAnsi="楷体" w:eastAsia="仿宋_GB2312"/>
          <w:sz w:val="32"/>
          <w:szCs w:val="32"/>
        </w:rPr>
        <w:t>（1）项目概述。</w:t>
      </w:r>
      <w:r>
        <w:rPr>
          <w:rFonts w:hint="eastAsia" w:ascii="仿宋_GB2312" w:hAnsi="仿宋_GB2312" w:eastAsia="仿宋_GB2312" w:cs="仿宋_GB2312"/>
          <w:sz w:val="32"/>
          <w:szCs w:val="32"/>
        </w:rPr>
        <w:t>近年来，我区社会经济发展步伐明显加快，但仍有部份城市居民未脱离最低生活保障线。</w:t>
      </w:r>
      <w:r>
        <w:rPr>
          <w:rFonts w:hint="eastAsia" w:ascii="仿宋_GB2312" w:hAnsi="仿宋_GB2312" w:eastAsia="仿宋_GB2312" w:cs="仿宋_GB2312"/>
          <w:color w:val="000000"/>
          <w:sz w:val="32"/>
          <w:szCs w:val="32"/>
        </w:rPr>
        <w:t>通过城市最低生活保障项目的实施，将有效解决城市困难群众的生活问题。</w:t>
      </w:r>
      <w:r>
        <w:rPr>
          <w:rFonts w:hint="eastAsia" w:ascii="仿宋_GB2312" w:hAnsi="仿宋_GB2312" w:eastAsia="仿宋_GB2312" w:cs="仿宋_GB2312"/>
          <w:sz w:val="32"/>
          <w:szCs w:val="32"/>
        </w:rPr>
        <w:t>城市最低生活保障资金以中央、省级、市级资金为主，区级作相应的配套，用以保障相山区城市低保对象家庭生活。</w:t>
      </w:r>
    </w:p>
    <w:p>
      <w:pPr>
        <w:spacing w:line="600" w:lineRule="exact"/>
        <w:ind w:firstLine="585" w:firstLineChars="183"/>
        <w:rPr>
          <w:rFonts w:hint="eastAsia" w:ascii="仿宋_GB2312" w:hAnsi="仿宋_GB2312" w:eastAsia="仿宋_GB2312" w:cs="仿宋_GB2312"/>
          <w:sz w:val="32"/>
          <w:szCs w:val="32"/>
          <w:u w:val="single"/>
        </w:rPr>
      </w:pPr>
      <w:r>
        <w:rPr>
          <w:rFonts w:hint="eastAsia" w:ascii="仿宋_GB2312" w:hAnsi="楷体" w:eastAsia="仿宋_GB2312"/>
          <w:sz w:val="32"/>
          <w:szCs w:val="32"/>
        </w:rPr>
        <w:t>（2）立项依据。</w:t>
      </w:r>
      <w:r>
        <w:rPr>
          <w:rFonts w:hint="eastAsia" w:ascii="仿宋_GB2312" w:hAnsi="仿宋_GB2312" w:eastAsia="仿宋_GB2312" w:cs="仿宋_GB2312"/>
          <w:sz w:val="32"/>
          <w:szCs w:val="32"/>
        </w:rPr>
        <w:t>《社会救助暂行办法》（国务院令第649号）、《安徽省最低生活保障办法》（省政府令268号）、《安徽省最低生活保障操作规程》和其他有关政策规定。</w:t>
      </w:r>
    </w:p>
    <w:p>
      <w:pPr>
        <w:adjustRightInd w:val="0"/>
        <w:snapToGrid w:val="0"/>
        <w:spacing w:line="600" w:lineRule="exact"/>
        <w:ind w:firstLine="640" w:firstLineChars="200"/>
        <w:rPr>
          <w:rFonts w:hint="eastAsia" w:ascii="仿宋_GB2312" w:hAnsi="楷体" w:eastAsia="仿宋_GB2312"/>
          <w:sz w:val="32"/>
          <w:szCs w:val="32"/>
          <w:lang w:eastAsia="zh-CN"/>
        </w:rPr>
      </w:pPr>
      <w:r>
        <w:rPr>
          <w:rFonts w:hint="eastAsia" w:ascii="仿宋_GB2312" w:hAnsi="楷体" w:eastAsia="仿宋_GB2312"/>
          <w:sz w:val="32"/>
          <w:szCs w:val="32"/>
        </w:rPr>
        <w:t>（3）实施主体</w:t>
      </w:r>
      <w:r>
        <w:rPr>
          <w:rFonts w:hint="eastAsia" w:ascii="仿宋_GB2312" w:hAnsi="楷体" w:eastAsia="仿宋_GB2312"/>
          <w:sz w:val="32"/>
          <w:szCs w:val="32"/>
          <w:lang w:eastAsia="zh-CN"/>
        </w:rPr>
        <w:t>：相山区民政局</w:t>
      </w:r>
    </w:p>
    <w:p>
      <w:pPr>
        <w:adjustRightInd w:val="0"/>
        <w:snapToGrid w:val="0"/>
        <w:spacing w:line="600" w:lineRule="exact"/>
        <w:ind w:firstLine="640" w:firstLineChars="200"/>
        <w:rPr>
          <w:rFonts w:hint="default" w:ascii="仿宋_GB2312" w:hAnsi="楷体" w:eastAsia="仿宋_GB2312"/>
          <w:sz w:val="32"/>
          <w:szCs w:val="32"/>
          <w:lang w:val="en-US" w:eastAsia="zh-CN"/>
        </w:rPr>
      </w:pPr>
      <w:r>
        <w:rPr>
          <w:rFonts w:hint="eastAsia" w:ascii="仿宋_GB2312" w:hAnsi="楷体" w:eastAsia="仿宋_GB2312"/>
          <w:sz w:val="32"/>
          <w:szCs w:val="32"/>
        </w:rPr>
        <w:t>（4）起止时间</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2022年1月-12月</w:t>
      </w:r>
    </w:p>
    <w:p>
      <w:pPr>
        <w:adjustRightInd w:val="0"/>
        <w:snapToGrid w:val="0"/>
        <w:spacing w:line="600" w:lineRule="exact"/>
        <w:ind w:firstLine="640" w:firstLineChars="200"/>
        <w:rPr>
          <w:rFonts w:hint="eastAsia" w:ascii="仿宋_GB2312" w:hAnsi="仿宋" w:eastAsia="仿宋_GB2312"/>
          <w:sz w:val="32"/>
          <w:szCs w:val="32"/>
          <w:lang w:val="en-US" w:eastAsia="zh-CN"/>
        </w:rPr>
      </w:pPr>
      <w:r>
        <w:rPr>
          <w:rFonts w:hint="eastAsia" w:ascii="仿宋_GB2312" w:hAnsi="楷体" w:eastAsia="仿宋_GB2312"/>
          <w:sz w:val="32"/>
          <w:szCs w:val="32"/>
        </w:rPr>
        <w:t>（5）项目内容</w:t>
      </w:r>
      <w:r>
        <w:rPr>
          <w:rFonts w:hint="eastAsia" w:ascii="仿宋_GB2312" w:hAnsi="楷体" w:eastAsia="仿宋_GB2312"/>
          <w:sz w:val="32"/>
          <w:szCs w:val="32"/>
          <w:lang w:eastAsia="zh-CN"/>
        </w:rPr>
        <w:t>：</w:t>
      </w:r>
      <w:r>
        <w:rPr>
          <w:rFonts w:hint="eastAsia" w:ascii="仿宋_GB2312" w:hAnsi="仿宋_GB2312" w:eastAsia="仿宋_GB2312" w:cs="仿宋_GB2312"/>
          <w:color w:val="000000"/>
          <w:sz w:val="32"/>
          <w:szCs w:val="32"/>
        </w:rPr>
        <w:t>有效解决城市困难群众的生活问题</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保障相山区城市低保对象家庭生活。</w:t>
      </w:r>
    </w:p>
    <w:p>
      <w:pPr>
        <w:adjustRightInd w:val="0"/>
        <w:snapToGrid w:val="0"/>
        <w:spacing w:line="600" w:lineRule="exact"/>
        <w:ind w:firstLine="640" w:firstLineChars="200"/>
        <w:rPr>
          <w:rFonts w:hint="default" w:ascii="仿宋_GB2312" w:hAnsi="仿宋" w:eastAsia="仿宋_GB2312"/>
          <w:sz w:val="32"/>
          <w:szCs w:val="32"/>
          <w:lang w:val="en-US" w:eastAsia="zh-CN"/>
        </w:rPr>
      </w:pPr>
      <w:r>
        <w:rPr>
          <w:rFonts w:hint="eastAsia" w:ascii="仿宋_GB2312" w:hAnsi="楷体" w:eastAsia="仿宋_GB2312"/>
          <w:sz w:val="32"/>
          <w:szCs w:val="32"/>
        </w:rPr>
        <w:t>（6）年度预算安排</w:t>
      </w:r>
      <w:r>
        <w:rPr>
          <w:rFonts w:hint="eastAsia" w:ascii="仿宋_GB2312" w:hAnsi="楷体" w:eastAsia="仿宋_GB2312"/>
          <w:sz w:val="32"/>
          <w:szCs w:val="32"/>
          <w:lang w:eastAsia="zh-CN"/>
        </w:rPr>
        <w:t>：</w:t>
      </w:r>
      <w:r>
        <w:rPr>
          <w:rFonts w:hint="eastAsia" w:ascii="仿宋_GB2312" w:hAnsi="仿宋" w:eastAsia="仿宋_GB2312"/>
          <w:sz w:val="32"/>
          <w:szCs w:val="32"/>
          <w:lang w:val="en-US" w:eastAsia="zh-CN"/>
        </w:rPr>
        <w:t>253.3万元</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（7）绩效目标。</w:t>
      </w:r>
    </w:p>
    <w:p>
      <w:pPr>
        <w:adjustRightInd w:val="0"/>
        <w:snapToGrid w:val="0"/>
        <w:spacing w:line="600" w:lineRule="exact"/>
        <w:rPr>
          <w:rFonts w:ascii="仿宋_GB2312" w:hAnsi="楷体" w:eastAsia="仿宋_GB2312"/>
          <w:sz w:val="32"/>
          <w:szCs w:val="32"/>
        </w:rPr>
      </w:pPr>
    </w:p>
    <w:tbl>
      <w:tblPr>
        <w:tblStyle w:val="6"/>
        <w:tblW w:w="9020" w:type="dxa"/>
        <w:tblInd w:w="93" w:type="dxa"/>
        <w:tblLayout w:type="fixed"/>
        <w:tblCellMar>
          <w:top w:w="0" w:type="dxa"/>
          <w:left w:w="108" w:type="dxa"/>
          <w:bottom w:w="0" w:type="dxa"/>
          <w:right w:w="108" w:type="dxa"/>
        </w:tblCellMar>
      </w:tblPr>
      <w:tblGrid>
        <w:gridCol w:w="416"/>
        <w:gridCol w:w="733"/>
        <w:gridCol w:w="1027"/>
        <w:gridCol w:w="1973"/>
        <w:gridCol w:w="887"/>
        <w:gridCol w:w="673"/>
        <w:gridCol w:w="840"/>
        <w:gridCol w:w="1207"/>
        <w:gridCol w:w="623"/>
        <w:gridCol w:w="641"/>
      </w:tblGrid>
      <w:tr>
        <w:tblPrEx>
          <w:tblCellMar>
            <w:top w:w="0" w:type="dxa"/>
            <w:left w:w="108" w:type="dxa"/>
            <w:bottom w:w="0" w:type="dxa"/>
            <w:right w:w="108" w:type="dxa"/>
          </w:tblCellMar>
        </w:tblPrEx>
        <w:trPr>
          <w:trHeight w:val="360" w:hRule="atLeast"/>
        </w:trPr>
        <w:tc>
          <w:tcPr>
            <w:tcW w:w="9020" w:type="dxa"/>
            <w:gridSpan w:val="10"/>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default"/>
                <w:b/>
                <w:bCs/>
                <w:sz w:val="32"/>
                <w:szCs w:val="32"/>
              </w:rPr>
            </w:pPr>
          </w:p>
          <w:p>
            <w:pPr>
              <w:keepNext w:val="0"/>
              <w:keepLines w:val="0"/>
              <w:suppressLineNumbers w:val="0"/>
              <w:spacing w:before="0" w:beforeAutospacing="0" w:after="0" w:afterAutospacing="0"/>
              <w:ind w:left="0" w:right="0"/>
              <w:jc w:val="center"/>
              <w:rPr>
                <w:rFonts w:hint="default" w:ascii="宋体" w:hAnsi="宋体" w:eastAsia="宋体" w:cs="宋体"/>
                <w:b/>
                <w:bCs/>
                <w:sz w:val="32"/>
                <w:szCs w:val="32"/>
              </w:rPr>
            </w:pPr>
            <w:r>
              <w:rPr>
                <w:rFonts w:hint="eastAsia"/>
                <w:b/>
                <w:bCs/>
                <w:sz w:val="32"/>
                <w:szCs w:val="32"/>
              </w:rPr>
              <w:t>项目支出绩效目标表</w:t>
            </w:r>
          </w:p>
        </w:tc>
      </w:tr>
      <w:tr>
        <w:tblPrEx>
          <w:tblCellMar>
            <w:top w:w="0" w:type="dxa"/>
            <w:left w:w="108" w:type="dxa"/>
            <w:bottom w:w="0" w:type="dxa"/>
            <w:right w:w="108" w:type="dxa"/>
          </w:tblCellMar>
        </w:tblPrEx>
        <w:trPr>
          <w:trHeight w:val="270" w:hRule="atLeast"/>
        </w:trPr>
        <w:tc>
          <w:tcPr>
            <w:tcW w:w="9020" w:type="dxa"/>
            <w:gridSpan w:val="10"/>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（2022 年度）</w:t>
            </w:r>
          </w:p>
        </w:tc>
      </w:tr>
      <w:tr>
        <w:tblPrEx>
          <w:tblCellMar>
            <w:top w:w="0" w:type="dxa"/>
            <w:left w:w="108" w:type="dxa"/>
            <w:bottom w:w="0" w:type="dxa"/>
            <w:right w:w="108" w:type="dxa"/>
          </w:tblCellMar>
        </w:tblPrEx>
        <w:trPr>
          <w:trHeight w:val="330" w:hRule="atLeast"/>
        </w:trPr>
        <w:tc>
          <w:tcPr>
            <w:tcW w:w="1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0"/>
                <w:szCs w:val="20"/>
              </w:rPr>
            </w:pPr>
            <w:r>
              <w:rPr>
                <w:rFonts w:hint="eastAsia"/>
                <w:color w:val="000000"/>
                <w:sz w:val="20"/>
                <w:szCs w:val="20"/>
              </w:rPr>
              <w:t>项目名称</w:t>
            </w:r>
          </w:p>
        </w:tc>
        <w:tc>
          <w:tcPr>
            <w:tcW w:w="7871" w:type="dxa"/>
            <w:gridSpan w:val="8"/>
            <w:tcBorders>
              <w:top w:val="single" w:color="auto" w:sz="4" w:space="0"/>
              <w:left w:val="nil"/>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cs="宋体" w:eastAsiaTheme="minorEastAsia"/>
                <w:color w:val="000000"/>
                <w:sz w:val="20"/>
                <w:szCs w:val="20"/>
                <w:lang w:eastAsia="zh-CN"/>
              </w:rPr>
            </w:pPr>
            <w:r>
              <w:rPr>
                <w:rFonts w:hint="eastAsia"/>
                <w:color w:val="000000"/>
                <w:sz w:val="20"/>
                <w:szCs w:val="20"/>
              </w:rPr>
              <w:t>　</w:t>
            </w:r>
            <w:r>
              <w:rPr>
                <w:rFonts w:hint="eastAsia" w:ascii="Times New Roman" w:hAnsi="Times New Roman"/>
                <w:kern w:val="0"/>
                <w:szCs w:val="21"/>
              </w:rPr>
              <w:t>城市低保</w:t>
            </w:r>
            <w:r>
              <w:rPr>
                <w:rFonts w:hint="eastAsia" w:ascii="Times New Roman" w:hAnsi="Times New Roman"/>
                <w:kern w:val="0"/>
                <w:szCs w:val="21"/>
                <w:lang w:eastAsia="zh-CN"/>
              </w:rPr>
              <w:t>金</w:t>
            </w:r>
          </w:p>
        </w:tc>
      </w:tr>
      <w:tr>
        <w:tblPrEx>
          <w:tblCellMar>
            <w:top w:w="0" w:type="dxa"/>
            <w:left w:w="108" w:type="dxa"/>
            <w:bottom w:w="0" w:type="dxa"/>
            <w:right w:w="108" w:type="dxa"/>
          </w:tblCellMar>
        </w:tblPrEx>
        <w:trPr>
          <w:trHeight w:val="330" w:hRule="atLeast"/>
        </w:trPr>
        <w:tc>
          <w:tcPr>
            <w:tcW w:w="1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0"/>
                <w:szCs w:val="20"/>
              </w:rPr>
            </w:pPr>
            <w:r>
              <w:rPr>
                <w:rFonts w:hint="eastAsia"/>
                <w:color w:val="000000"/>
                <w:sz w:val="20"/>
                <w:szCs w:val="20"/>
              </w:rPr>
              <w:t>实施单位</w:t>
            </w:r>
          </w:p>
        </w:tc>
        <w:tc>
          <w:tcPr>
            <w:tcW w:w="7871" w:type="dxa"/>
            <w:gridSpan w:val="8"/>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0"/>
                <w:szCs w:val="20"/>
              </w:rPr>
            </w:pPr>
            <w:r>
              <w:rPr>
                <w:rFonts w:hint="eastAsia" w:ascii="Times New Roman" w:hAnsi="Times New Roman"/>
                <w:kern w:val="0"/>
                <w:szCs w:val="21"/>
              </w:rPr>
              <w:t>相山</w:t>
            </w:r>
            <w:r>
              <w:rPr>
                <w:rFonts w:hint="eastAsia" w:ascii="Times New Roman" w:hAnsi="Times New Roman"/>
                <w:kern w:val="0"/>
                <w:szCs w:val="21"/>
                <w:lang w:eastAsia="zh-CN"/>
              </w:rPr>
              <w:t>区</w:t>
            </w:r>
            <w:bookmarkStart w:id="0" w:name="_GoBack"/>
            <w:bookmarkEnd w:id="0"/>
            <w:r>
              <w:rPr>
                <w:rFonts w:hint="eastAsia" w:ascii="Times New Roman" w:hAnsi="Times New Roman"/>
                <w:kern w:val="0"/>
                <w:szCs w:val="21"/>
              </w:rPr>
              <w:t>民政局</w:t>
            </w:r>
            <w:r>
              <w:rPr>
                <w:rFonts w:hint="eastAsia"/>
                <w:color w:val="000000"/>
                <w:sz w:val="20"/>
                <w:szCs w:val="20"/>
              </w:rPr>
              <w:t>　</w:t>
            </w:r>
          </w:p>
        </w:tc>
      </w:tr>
      <w:tr>
        <w:tblPrEx>
          <w:tblCellMar>
            <w:top w:w="0" w:type="dxa"/>
            <w:left w:w="108" w:type="dxa"/>
            <w:bottom w:w="0" w:type="dxa"/>
            <w:right w:w="108" w:type="dxa"/>
          </w:tblCellMar>
        </w:tblPrEx>
        <w:trPr>
          <w:trHeight w:val="330" w:hRule="atLeast"/>
        </w:trPr>
        <w:tc>
          <w:tcPr>
            <w:tcW w:w="11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0"/>
                <w:szCs w:val="20"/>
              </w:rPr>
            </w:pPr>
            <w:r>
              <w:rPr>
                <w:rFonts w:hint="eastAsia"/>
                <w:color w:val="000000"/>
                <w:sz w:val="20"/>
                <w:szCs w:val="20"/>
              </w:rPr>
              <w:t>项目属性</w:t>
            </w:r>
          </w:p>
        </w:tc>
        <w:tc>
          <w:tcPr>
            <w:tcW w:w="7871" w:type="dxa"/>
            <w:gridSpan w:val="8"/>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0"/>
                <w:szCs w:val="20"/>
              </w:rPr>
            </w:pPr>
            <w:r>
              <w:rPr>
                <w:rFonts w:hint="default" w:ascii="Times New Roman" w:hAnsi="Times New Roman"/>
                <w:kern w:val="0"/>
                <w:szCs w:val="21"/>
              </w:rPr>
              <w:t>延续项目</w:t>
            </w:r>
            <w:r>
              <w:rPr>
                <w:rFonts w:hint="eastAsia"/>
                <w:color w:val="000000"/>
                <w:sz w:val="20"/>
                <w:szCs w:val="20"/>
              </w:rPr>
              <w:t>　</w:t>
            </w:r>
          </w:p>
        </w:tc>
      </w:tr>
      <w:tr>
        <w:tblPrEx>
          <w:tblCellMar>
            <w:top w:w="0" w:type="dxa"/>
            <w:left w:w="108" w:type="dxa"/>
            <w:bottom w:w="0" w:type="dxa"/>
            <w:right w:w="108" w:type="dxa"/>
          </w:tblCellMar>
        </w:tblPrEx>
        <w:trPr>
          <w:trHeight w:val="330" w:hRule="atLeast"/>
        </w:trPr>
        <w:tc>
          <w:tcPr>
            <w:tcW w:w="2176"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项目资金</w:t>
            </w:r>
            <w:r>
              <w:rPr>
                <w:rFonts w:hint="eastAsia"/>
                <w:sz w:val="20"/>
                <w:szCs w:val="20"/>
              </w:rPr>
              <w:br w:type="textWrapping"/>
            </w:r>
            <w:r>
              <w:rPr>
                <w:rFonts w:hint="eastAsia"/>
                <w:sz w:val="20"/>
                <w:szCs w:val="20"/>
              </w:rPr>
              <w:t>（万元）</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xml:space="preserve"> 中期资金总额：</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　</w:t>
            </w:r>
          </w:p>
        </w:tc>
        <w:tc>
          <w:tcPr>
            <w:tcW w:w="204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xml:space="preserve"> 年度资金总额：</w:t>
            </w:r>
          </w:p>
        </w:tc>
        <w:tc>
          <w:tcPr>
            <w:tcW w:w="1264" w:type="dxa"/>
            <w:gridSpan w:val="2"/>
            <w:tcBorders>
              <w:top w:val="single" w:color="auto" w:sz="4" w:space="0"/>
              <w:left w:val="nil"/>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lang w:val="en-US" w:eastAsia="zh-CN"/>
              </w:rPr>
              <w:t>253.3</w:t>
            </w:r>
            <w:r>
              <w:rPr>
                <w:rFonts w:hint="eastAsia"/>
                <w:sz w:val="20"/>
                <w:szCs w:val="20"/>
              </w:rPr>
              <w:t>　</w:t>
            </w:r>
          </w:p>
        </w:tc>
      </w:tr>
      <w:tr>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1973"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xml:space="preserve">   其中：财政拨款</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　</w:t>
            </w:r>
          </w:p>
        </w:tc>
        <w:tc>
          <w:tcPr>
            <w:tcW w:w="204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xml:space="preserve">   其中：财政拨款</w:t>
            </w:r>
          </w:p>
        </w:tc>
        <w:tc>
          <w:tcPr>
            <w:tcW w:w="1264" w:type="dxa"/>
            <w:gridSpan w:val="2"/>
            <w:tcBorders>
              <w:top w:val="single" w:color="auto" w:sz="4" w:space="0"/>
              <w:left w:val="nil"/>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lang w:val="en-US" w:eastAsia="zh-CN"/>
              </w:rPr>
              <w:t>253.3</w:t>
            </w:r>
            <w:r>
              <w:rPr>
                <w:rFonts w:hint="eastAsia"/>
                <w:sz w:val="20"/>
                <w:szCs w:val="20"/>
              </w:rPr>
              <w:t>　</w:t>
            </w:r>
          </w:p>
        </w:tc>
      </w:tr>
      <w:tr>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1973"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xml:space="preserve">        其他资金</w:t>
            </w:r>
          </w:p>
        </w:tc>
        <w:tc>
          <w:tcPr>
            <w:tcW w:w="1560" w:type="dxa"/>
            <w:gridSpan w:val="2"/>
            <w:tcBorders>
              <w:top w:val="single" w:color="auto" w:sz="4" w:space="0"/>
              <w:left w:val="nil"/>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　</w:t>
            </w:r>
          </w:p>
        </w:tc>
        <w:tc>
          <w:tcPr>
            <w:tcW w:w="2047"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xml:space="preserve">         其他资金</w:t>
            </w:r>
          </w:p>
        </w:tc>
        <w:tc>
          <w:tcPr>
            <w:tcW w:w="1264" w:type="dxa"/>
            <w:gridSpan w:val="2"/>
            <w:tcBorders>
              <w:top w:val="single" w:color="auto" w:sz="4" w:space="0"/>
              <w:left w:val="nil"/>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　</w:t>
            </w:r>
          </w:p>
        </w:tc>
      </w:tr>
      <w:tr>
        <w:tblPrEx>
          <w:tblCellMar>
            <w:top w:w="0" w:type="dxa"/>
            <w:left w:w="108" w:type="dxa"/>
            <w:bottom w:w="0" w:type="dxa"/>
            <w:right w:w="108" w:type="dxa"/>
          </w:tblCellMar>
        </w:tblPrEx>
        <w:trPr>
          <w:trHeight w:val="330" w:hRule="atLeast"/>
        </w:trPr>
        <w:tc>
          <w:tcPr>
            <w:tcW w:w="41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总</w:t>
            </w:r>
            <w:r>
              <w:rPr>
                <w:rFonts w:hint="eastAsia"/>
                <w:sz w:val="20"/>
                <w:szCs w:val="20"/>
              </w:rPr>
              <w:br w:type="textWrapping"/>
            </w:r>
            <w:r>
              <w:rPr>
                <w:rFonts w:hint="eastAsia"/>
                <w:sz w:val="20"/>
                <w:szCs w:val="20"/>
              </w:rPr>
              <w:t>体</w:t>
            </w:r>
            <w:r>
              <w:rPr>
                <w:rFonts w:hint="eastAsia"/>
                <w:sz w:val="20"/>
                <w:szCs w:val="20"/>
              </w:rPr>
              <w:br w:type="textWrapping"/>
            </w:r>
            <w:r>
              <w:rPr>
                <w:rFonts w:hint="eastAsia"/>
                <w:sz w:val="20"/>
                <w:szCs w:val="20"/>
              </w:rPr>
              <w:t>目</w:t>
            </w:r>
            <w:r>
              <w:rPr>
                <w:rFonts w:hint="eastAsia"/>
                <w:sz w:val="20"/>
                <w:szCs w:val="20"/>
              </w:rPr>
              <w:br w:type="textWrapping"/>
            </w:r>
            <w:r>
              <w:rPr>
                <w:rFonts w:hint="eastAsia"/>
                <w:sz w:val="20"/>
                <w:szCs w:val="20"/>
              </w:rPr>
              <w:t>标</w:t>
            </w:r>
          </w:p>
        </w:tc>
        <w:tc>
          <w:tcPr>
            <w:tcW w:w="5293" w:type="dxa"/>
            <w:gridSpan w:val="5"/>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中期目标（20</w:t>
            </w:r>
            <w:r>
              <w:rPr>
                <w:rFonts w:hint="eastAsia" w:ascii="Times New Roman" w:hAnsi="Times New Roman"/>
                <w:kern w:val="0"/>
                <w:sz w:val="20"/>
                <w:szCs w:val="20"/>
              </w:rPr>
              <w:t>22</w:t>
            </w:r>
            <w:r>
              <w:rPr>
                <w:rFonts w:hint="default" w:ascii="Times New Roman" w:hAnsi="Times New Roman"/>
                <w:kern w:val="0"/>
                <w:sz w:val="20"/>
                <w:szCs w:val="20"/>
              </w:rPr>
              <w:t>年—20</w:t>
            </w:r>
            <w:r>
              <w:rPr>
                <w:rFonts w:hint="eastAsia" w:ascii="Times New Roman" w:hAnsi="Times New Roman"/>
                <w:kern w:val="0"/>
                <w:sz w:val="20"/>
                <w:szCs w:val="20"/>
              </w:rPr>
              <w:t>2</w:t>
            </w:r>
            <w:r>
              <w:rPr>
                <w:rFonts w:hint="eastAsia" w:ascii="Times New Roman" w:hAnsi="Times New Roman"/>
                <w:kern w:val="0"/>
                <w:sz w:val="20"/>
                <w:szCs w:val="20"/>
                <w:lang w:val="en-US" w:eastAsia="zh-CN"/>
              </w:rPr>
              <w:t>2</w:t>
            </w:r>
            <w:r>
              <w:rPr>
                <w:rFonts w:hint="default" w:ascii="Times New Roman" w:hAnsi="Times New Roman"/>
                <w:kern w:val="0"/>
                <w:sz w:val="20"/>
                <w:szCs w:val="20"/>
              </w:rPr>
              <w:t>+n年）</w:t>
            </w:r>
          </w:p>
        </w:tc>
        <w:tc>
          <w:tcPr>
            <w:tcW w:w="3311"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年度目标</w:t>
            </w:r>
          </w:p>
        </w:tc>
      </w:tr>
      <w:tr>
        <w:tblPrEx>
          <w:tblCellMar>
            <w:top w:w="0" w:type="dxa"/>
            <w:left w:w="108" w:type="dxa"/>
            <w:bottom w:w="0" w:type="dxa"/>
            <w:right w:w="108" w:type="dxa"/>
          </w:tblCellMar>
        </w:tblPrEx>
        <w:trPr>
          <w:trHeight w:val="660" w:hRule="atLeast"/>
        </w:trPr>
        <w:tc>
          <w:tcPr>
            <w:tcW w:w="416"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5293" w:type="dxa"/>
            <w:gridSpan w:val="5"/>
            <w:tcBorders>
              <w:top w:val="single" w:color="auto" w:sz="4" w:space="0"/>
              <w:left w:val="nil"/>
              <w:bottom w:val="single" w:color="auto" w:sz="4" w:space="0"/>
              <w:right w:val="nil"/>
            </w:tcBorders>
            <w:shd w:val="clear" w:color="auto" w:fill="auto"/>
            <w:vAlign w:val="top"/>
          </w:tcPr>
          <w:p>
            <w:pPr>
              <w:keepNext w:val="0"/>
              <w:keepLines w:val="0"/>
              <w:widowControl/>
              <w:suppressLineNumbers w:val="0"/>
              <w:spacing w:before="0" w:beforeAutospacing="0" w:after="0" w:afterAutospacing="0" w:line="240" w:lineRule="exact"/>
              <w:ind w:left="0" w:right="0" w:firstLine="200" w:firstLineChars="100"/>
              <w:jc w:val="left"/>
              <w:rPr>
                <w:rFonts w:hint="default" w:ascii="Times New Roman" w:hAnsi="Times New Roman"/>
                <w:kern w:val="0"/>
                <w:sz w:val="20"/>
                <w:szCs w:val="20"/>
              </w:rPr>
            </w:pPr>
          </w:p>
          <w:p>
            <w:pPr>
              <w:keepNext w:val="0"/>
              <w:keepLines w:val="0"/>
              <w:widowControl/>
              <w:suppressLineNumbers w:val="0"/>
              <w:spacing w:before="0" w:beforeAutospacing="0" w:after="0" w:afterAutospacing="0" w:line="240" w:lineRule="exact"/>
              <w:ind w:left="0" w:right="0" w:firstLine="200" w:firstLineChars="100"/>
              <w:jc w:val="left"/>
              <w:rPr>
                <w:rFonts w:hint="eastAsia" w:ascii="Times New Roman" w:hAnsi="Times New Roman"/>
                <w:kern w:val="0"/>
                <w:sz w:val="20"/>
                <w:szCs w:val="20"/>
              </w:rPr>
            </w:pPr>
            <w:r>
              <w:rPr>
                <w:rFonts w:hint="default" w:ascii="Times New Roman" w:hAnsi="Times New Roman"/>
                <w:kern w:val="0"/>
                <w:sz w:val="20"/>
                <w:szCs w:val="20"/>
              </w:rPr>
              <w:t>目标1：</w:t>
            </w:r>
            <w:r>
              <w:rPr>
                <w:rFonts w:hint="eastAsia" w:ascii="Times New Roman" w:hAnsi="Times New Roman"/>
                <w:kern w:val="0"/>
                <w:sz w:val="20"/>
                <w:szCs w:val="20"/>
              </w:rPr>
              <w:t>规范城市低保政策实施。</w:t>
            </w:r>
          </w:p>
          <w:p>
            <w:pPr>
              <w:keepNext w:val="0"/>
              <w:keepLines w:val="0"/>
              <w:widowControl/>
              <w:suppressLineNumbers w:val="0"/>
              <w:spacing w:before="0" w:beforeAutospacing="0" w:after="0" w:afterAutospacing="0" w:line="240" w:lineRule="exact"/>
              <w:ind w:left="0" w:right="0"/>
              <w:jc w:val="left"/>
              <w:rPr>
                <w:rFonts w:hint="eastAsia" w:ascii="Times New Roman" w:hAnsi="Times New Roman"/>
                <w:kern w:val="0"/>
                <w:sz w:val="20"/>
                <w:szCs w:val="20"/>
              </w:rPr>
            </w:pPr>
            <w:r>
              <w:rPr>
                <w:rFonts w:hint="default" w:ascii="Times New Roman" w:hAnsi="Times New Roman"/>
                <w:kern w:val="0"/>
                <w:sz w:val="20"/>
                <w:szCs w:val="20"/>
              </w:rPr>
              <w:t xml:space="preserve"> </w:t>
            </w:r>
            <w:r>
              <w:rPr>
                <w:rFonts w:hint="eastAsia" w:ascii="Times New Roman" w:hAnsi="Times New Roman"/>
                <w:kern w:val="0"/>
                <w:sz w:val="20"/>
                <w:szCs w:val="20"/>
              </w:rPr>
              <w:t xml:space="preserve"> </w:t>
            </w:r>
            <w:r>
              <w:rPr>
                <w:rFonts w:hint="default" w:ascii="Times New Roman" w:hAnsi="Times New Roman"/>
                <w:kern w:val="0"/>
                <w:sz w:val="20"/>
                <w:szCs w:val="20"/>
              </w:rPr>
              <w:t>目标2：</w:t>
            </w:r>
            <w:r>
              <w:rPr>
                <w:rFonts w:hint="eastAsia" w:ascii="Times New Roman" w:hAnsi="Times New Roman"/>
                <w:kern w:val="0"/>
                <w:sz w:val="20"/>
                <w:szCs w:val="20"/>
              </w:rPr>
              <w:t>合理确定保障标准，使低保对象基本生活得到有效保障。</w:t>
            </w:r>
          </w:p>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xml:space="preserve"> </w:t>
            </w:r>
            <w:r>
              <w:rPr>
                <w:rFonts w:hint="eastAsia" w:ascii="Times New Roman" w:hAnsi="Times New Roman"/>
                <w:kern w:val="0"/>
                <w:sz w:val="20"/>
                <w:szCs w:val="20"/>
              </w:rPr>
              <w:t xml:space="preserve"> </w:t>
            </w:r>
            <w:r>
              <w:rPr>
                <w:rFonts w:hint="default" w:ascii="Times New Roman" w:hAnsi="Times New Roman"/>
                <w:kern w:val="0"/>
                <w:sz w:val="20"/>
                <w:szCs w:val="20"/>
              </w:rPr>
              <w:t>目标3：</w:t>
            </w:r>
            <w:r>
              <w:rPr>
                <w:rFonts w:hint="eastAsia" w:ascii="Times New Roman" w:hAnsi="Times New Roman"/>
                <w:color w:val="000000"/>
                <w:kern w:val="0"/>
                <w:sz w:val="20"/>
                <w:szCs w:val="20"/>
              </w:rPr>
              <w:t>资金准确、足额下达并及时发放到位。</w:t>
            </w:r>
            <w:r>
              <w:rPr>
                <w:rFonts w:hint="default" w:ascii="Times New Roman" w:hAnsi="Times New Roman"/>
                <w:kern w:val="0"/>
                <w:sz w:val="20"/>
                <w:szCs w:val="20"/>
              </w:rPr>
              <w:br w:type="textWrapping"/>
            </w:r>
          </w:p>
        </w:tc>
        <w:tc>
          <w:tcPr>
            <w:tcW w:w="3311" w:type="dxa"/>
            <w:gridSpan w:val="4"/>
            <w:tcBorders>
              <w:top w:val="single" w:color="auto" w:sz="4" w:space="0"/>
              <w:left w:val="single" w:color="auto" w:sz="4" w:space="0"/>
              <w:bottom w:val="single" w:color="auto" w:sz="4" w:space="0"/>
              <w:right w:val="single" w:color="000000" w:sz="4" w:space="0"/>
            </w:tcBorders>
            <w:shd w:val="clear" w:color="auto" w:fill="auto"/>
            <w:vAlign w:val="top"/>
          </w:tcPr>
          <w:p>
            <w:pPr>
              <w:keepNext w:val="0"/>
              <w:keepLines w:val="0"/>
              <w:widowControl/>
              <w:suppressLineNumbers w:val="0"/>
              <w:spacing w:before="0" w:beforeAutospacing="0" w:after="0" w:afterAutospacing="0" w:line="240" w:lineRule="exact"/>
              <w:ind w:left="0" w:right="0"/>
              <w:jc w:val="left"/>
              <w:rPr>
                <w:rFonts w:hint="default" w:ascii="Times New Roman" w:hAnsi="Times New Roman"/>
                <w:kern w:val="0"/>
                <w:sz w:val="20"/>
                <w:szCs w:val="20"/>
              </w:rPr>
            </w:pPr>
            <w:r>
              <w:rPr>
                <w:rFonts w:hint="default" w:ascii="Times New Roman" w:hAnsi="Times New Roman"/>
                <w:kern w:val="0"/>
                <w:sz w:val="20"/>
                <w:szCs w:val="20"/>
              </w:rPr>
              <w:t xml:space="preserve"> </w:t>
            </w:r>
          </w:p>
          <w:p>
            <w:pPr>
              <w:keepNext w:val="0"/>
              <w:keepLines w:val="0"/>
              <w:widowControl/>
              <w:suppressLineNumbers w:val="0"/>
              <w:spacing w:before="0" w:beforeAutospacing="0" w:after="0" w:afterAutospacing="0" w:line="240" w:lineRule="exact"/>
              <w:ind w:left="0" w:right="0" w:firstLine="200" w:firstLineChars="100"/>
              <w:jc w:val="left"/>
              <w:rPr>
                <w:rFonts w:hint="eastAsia" w:ascii="Times New Roman" w:hAnsi="Times New Roman"/>
                <w:kern w:val="0"/>
                <w:sz w:val="20"/>
                <w:szCs w:val="20"/>
              </w:rPr>
            </w:pPr>
            <w:r>
              <w:rPr>
                <w:rFonts w:hint="default" w:ascii="Times New Roman" w:hAnsi="Times New Roman"/>
                <w:kern w:val="0"/>
                <w:sz w:val="20"/>
                <w:szCs w:val="20"/>
              </w:rPr>
              <w:t>目标1：</w:t>
            </w:r>
            <w:r>
              <w:rPr>
                <w:rFonts w:hint="eastAsia" w:ascii="Times New Roman" w:hAnsi="Times New Roman"/>
                <w:kern w:val="0"/>
                <w:sz w:val="20"/>
                <w:szCs w:val="20"/>
              </w:rPr>
              <w:t>规范城市低保政策实施。</w:t>
            </w:r>
          </w:p>
          <w:p>
            <w:pPr>
              <w:keepNext w:val="0"/>
              <w:keepLines w:val="0"/>
              <w:widowControl/>
              <w:suppressLineNumbers w:val="0"/>
              <w:spacing w:before="0" w:beforeAutospacing="0" w:after="0" w:afterAutospacing="0" w:line="240" w:lineRule="exact"/>
              <w:ind w:left="0" w:right="0"/>
              <w:jc w:val="left"/>
              <w:rPr>
                <w:rFonts w:hint="eastAsia" w:ascii="Times New Roman" w:hAnsi="Times New Roman"/>
                <w:kern w:val="0"/>
                <w:sz w:val="20"/>
                <w:szCs w:val="20"/>
              </w:rPr>
            </w:pPr>
            <w:r>
              <w:rPr>
                <w:rFonts w:hint="default" w:ascii="Times New Roman" w:hAnsi="Times New Roman"/>
                <w:kern w:val="0"/>
                <w:sz w:val="20"/>
                <w:szCs w:val="20"/>
              </w:rPr>
              <w:t xml:space="preserve"> </w:t>
            </w:r>
            <w:r>
              <w:rPr>
                <w:rFonts w:hint="eastAsia" w:ascii="Times New Roman" w:hAnsi="Times New Roman"/>
                <w:kern w:val="0"/>
                <w:sz w:val="20"/>
                <w:szCs w:val="20"/>
              </w:rPr>
              <w:t xml:space="preserve"> </w:t>
            </w:r>
            <w:r>
              <w:rPr>
                <w:rFonts w:hint="default" w:ascii="Times New Roman" w:hAnsi="Times New Roman"/>
                <w:kern w:val="0"/>
                <w:sz w:val="20"/>
                <w:szCs w:val="20"/>
              </w:rPr>
              <w:t>目标2：</w:t>
            </w:r>
            <w:r>
              <w:rPr>
                <w:rFonts w:hint="eastAsia" w:ascii="Times New Roman" w:hAnsi="Times New Roman"/>
                <w:kern w:val="0"/>
                <w:sz w:val="20"/>
                <w:szCs w:val="20"/>
              </w:rPr>
              <w:t>合理确定保障标准，使低保对象基本生活得到有效保障。</w:t>
            </w:r>
          </w:p>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xml:space="preserve"> </w:t>
            </w:r>
            <w:r>
              <w:rPr>
                <w:rFonts w:hint="eastAsia" w:ascii="Times New Roman" w:hAnsi="Times New Roman"/>
                <w:kern w:val="0"/>
                <w:sz w:val="20"/>
                <w:szCs w:val="20"/>
              </w:rPr>
              <w:t xml:space="preserve"> </w:t>
            </w:r>
            <w:r>
              <w:rPr>
                <w:rFonts w:hint="default" w:ascii="Times New Roman" w:hAnsi="Times New Roman"/>
                <w:kern w:val="0"/>
                <w:sz w:val="20"/>
                <w:szCs w:val="20"/>
              </w:rPr>
              <w:t>目标3：</w:t>
            </w:r>
            <w:r>
              <w:rPr>
                <w:rFonts w:hint="eastAsia" w:ascii="Times New Roman" w:hAnsi="Times New Roman"/>
                <w:color w:val="000000"/>
                <w:kern w:val="0"/>
                <w:sz w:val="20"/>
                <w:szCs w:val="20"/>
              </w:rPr>
              <w:t>资金准确、足额下达并及时发放到位。</w:t>
            </w:r>
            <w:r>
              <w:rPr>
                <w:rFonts w:hint="default" w:ascii="Times New Roman" w:hAnsi="Times New Roman"/>
                <w:kern w:val="0"/>
                <w:sz w:val="20"/>
                <w:szCs w:val="20"/>
              </w:rPr>
              <w:br w:type="textWrapping"/>
            </w:r>
          </w:p>
        </w:tc>
      </w:tr>
      <w:tr>
        <w:tblPrEx>
          <w:tblCellMar>
            <w:top w:w="0" w:type="dxa"/>
            <w:left w:w="108" w:type="dxa"/>
            <w:bottom w:w="0" w:type="dxa"/>
            <w:right w:w="108" w:type="dxa"/>
          </w:tblCellMar>
        </w:tblPrEx>
        <w:trPr>
          <w:trHeight w:val="830" w:hRule="atLeast"/>
        </w:trPr>
        <w:tc>
          <w:tcPr>
            <w:tcW w:w="416"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绩</w:t>
            </w:r>
            <w:r>
              <w:rPr>
                <w:rFonts w:hint="eastAsia"/>
                <w:sz w:val="20"/>
                <w:szCs w:val="20"/>
              </w:rPr>
              <w:br w:type="textWrapping"/>
            </w:r>
            <w:r>
              <w:rPr>
                <w:rFonts w:hint="eastAsia"/>
                <w:sz w:val="20"/>
                <w:szCs w:val="20"/>
              </w:rPr>
              <w:t>效</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733" w:type="dxa"/>
            <w:tcBorders>
              <w:top w:val="nil"/>
              <w:left w:val="nil"/>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一级</w:t>
            </w:r>
            <w:r>
              <w:rPr>
                <w:rFonts w:hint="eastAsia"/>
                <w:sz w:val="20"/>
                <w:szCs w:val="20"/>
              </w:rPr>
              <w:br w:type="textWrapping"/>
            </w:r>
            <w:r>
              <w:rPr>
                <w:rFonts w:hint="eastAsia"/>
                <w:sz w:val="20"/>
                <w:szCs w:val="20"/>
              </w:rPr>
              <w:t>指标</w:t>
            </w:r>
          </w:p>
        </w:tc>
        <w:tc>
          <w:tcPr>
            <w:tcW w:w="102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0"/>
                <w:szCs w:val="20"/>
              </w:rPr>
            </w:pPr>
            <w:r>
              <w:rPr>
                <w:rFonts w:hint="eastAsia"/>
                <w:sz w:val="20"/>
                <w:szCs w:val="20"/>
              </w:rPr>
              <w:t>二级</w:t>
            </w:r>
          </w:p>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指标</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三级指标</w:t>
            </w:r>
          </w:p>
        </w:tc>
        <w:tc>
          <w:tcPr>
            <w:tcW w:w="88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指标值</w:t>
            </w:r>
          </w:p>
        </w:tc>
        <w:tc>
          <w:tcPr>
            <w:tcW w:w="673"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绩效标准</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0"/>
                <w:szCs w:val="20"/>
              </w:rPr>
            </w:pPr>
            <w:r>
              <w:rPr>
                <w:rFonts w:hint="eastAsia"/>
                <w:sz w:val="20"/>
                <w:szCs w:val="20"/>
              </w:rPr>
              <w:t>二级</w:t>
            </w:r>
          </w:p>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指标</w:t>
            </w:r>
          </w:p>
        </w:tc>
        <w:tc>
          <w:tcPr>
            <w:tcW w:w="1207" w:type="dxa"/>
            <w:tcBorders>
              <w:top w:val="nil"/>
              <w:left w:val="nil"/>
              <w:bottom w:val="single" w:color="auto"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三级指标</w:t>
            </w:r>
          </w:p>
        </w:tc>
        <w:tc>
          <w:tcPr>
            <w:tcW w:w="623"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指标值</w:t>
            </w:r>
          </w:p>
        </w:tc>
        <w:tc>
          <w:tcPr>
            <w:tcW w:w="641"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绩效标准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7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产</w:t>
            </w:r>
            <w:r>
              <w:rPr>
                <w:rFonts w:hint="eastAsia"/>
                <w:sz w:val="20"/>
                <w:szCs w:val="20"/>
              </w:rPr>
              <w:br w:type="textWrapping"/>
            </w:r>
            <w:r>
              <w:rPr>
                <w:rFonts w:hint="eastAsia"/>
                <w:sz w:val="20"/>
                <w:szCs w:val="20"/>
              </w:rPr>
              <w:t>出</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1027"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数量指标</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kern w:val="0"/>
                <w:sz w:val="20"/>
                <w:szCs w:val="20"/>
              </w:rPr>
              <w:t>低保救助人数</w:t>
            </w:r>
          </w:p>
        </w:tc>
        <w:tc>
          <w:tcPr>
            <w:tcW w:w="88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应保尽保</w:t>
            </w:r>
          </w:p>
        </w:tc>
        <w:tc>
          <w:tcPr>
            <w:tcW w:w="6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w:t>
            </w:r>
          </w:p>
        </w:tc>
        <w:tc>
          <w:tcPr>
            <w:tcW w:w="840"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数量指标</w:t>
            </w:r>
          </w:p>
        </w:tc>
        <w:tc>
          <w:tcPr>
            <w:tcW w:w="12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kern w:val="0"/>
                <w:sz w:val="20"/>
                <w:szCs w:val="20"/>
              </w:rPr>
              <w:t>低保救助人数</w:t>
            </w:r>
          </w:p>
        </w:tc>
        <w:tc>
          <w:tcPr>
            <w:tcW w:w="6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应保尽保</w:t>
            </w:r>
          </w:p>
        </w:tc>
        <w:tc>
          <w:tcPr>
            <w:tcW w:w="64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数量指标</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7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质量指标</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color w:val="000000"/>
                <w:kern w:val="0"/>
                <w:sz w:val="20"/>
                <w:szCs w:val="20"/>
              </w:rPr>
              <w:t>城市低保标准</w:t>
            </w:r>
          </w:p>
        </w:tc>
        <w:tc>
          <w:tcPr>
            <w:tcW w:w="88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稳步提升</w:t>
            </w:r>
          </w:p>
        </w:tc>
        <w:tc>
          <w:tcPr>
            <w:tcW w:w="6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w:t>
            </w:r>
          </w:p>
        </w:tc>
        <w:tc>
          <w:tcPr>
            <w:tcW w:w="840"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质量指标</w:t>
            </w:r>
          </w:p>
        </w:tc>
        <w:tc>
          <w:tcPr>
            <w:tcW w:w="12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color w:val="000000"/>
                <w:kern w:val="0"/>
                <w:sz w:val="20"/>
                <w:szCs w:val="20"/>
              </w:rPr>
              <w:t>城市低保标准</w:t>
            </w:r>
          </w:p>
        </w:tc>
        <w:tc>
          <w:tcPr>
            <w:tcW w:w="6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稳步提升</w:t>
            </w:r>
          </w:p>
        </w:tc>
        <w:tc>
          <w:tcPr>
            <w:tcW w:w="64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质量指标</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7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1027"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时效指标</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color w:val="000000"/>
                <w:kern w:val="0"/>
                <w:sz w:val="20"/>
                <w:szCs w:val="20"/>
              </w:rPr>
              <w:t>城市低保按时发放率</w:t>
            </w:r>
          </w:p>
        </w:tc>
        <w:tc>
          <w:tcPr>
            <w:tcW w:w="88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Arial" w:hAnsi="Arial" w:cs="Arial"/>
                <w:kern w:val="0"/>
                <w:sz w:val="20"/>
                <w:szCs w:val="20"/>
              </w:rPr>
              <w:t>≥</w:t>
            </w:r>
            <w:r>
              <w:rPr>
                <w:rFonts w:hint="eastAsia" w:ascii="Times New Roman" w:hAnsi="Times New Roman"/>
                <w:kern w:val="0"/>
                <w:sz w:val="20"/>
                <w:szCs w:val="20"/>
              </w:rPr>
              <w:t>90%</w:t>
            </w:r>
          </w:p>
        </w:tc>
        <w:tc>
          <w:tcPr>
            <w:tcW w:w="6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w:t>
            </w:r>
          </w:p>
        </w:tc>
        <w:tc>
          <w:tcPr>
            <w:tcW w:w="840"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时效指标</w:t>
            </w:r>
          </w:p>
        </w:tc>
        <w:tc>
          <w:tcPr>
            <w:tcW w:w="12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color w:val="000000"/>
                <w:kern w:val="0"/>
                <w:sz w:val="20"/>
                <w:szCs w:val="20"/>
              </w:rPr>
              <w:t>城市低保按时发放率</w:t>
            </w:r>
          </w:p>
        </w:tc>
        <w:tc>
          <w:tcPr>
            <w:tcW w:w="6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Arial" w:hAnsi="Arial" w:cs="Arial"/>
                <w:kern w:val="0"/>
                <w:sz w:val="20"/>
                <w:szCs w:val="20"/>
              </w:rPr>
              <w:t>≥</w:t>
            </w:r>
            <w:r>
              <w:rPr>
                <w:rFonts w:hint="eastAsia" w:ascii="Times New Roman" w:hAnsi="Times New Roman"/>
                <w:kern w:val="0"/>
                <w:sz w:val="20"/>
                <w:szCs w:val="20"/>
              </w:rPr>
              <w:t>90%</w:t>
            </w:r>
          </w:p>
        </w:tc>
        <w:tc>
          <w:tcPr>
            <w:tcW w:w="64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时效指标</w:t>
            </w:r>
          </w:p>
        </w:tc>
      </w:tr>
      <w:tr>
        <w:tblPrEx>
          <w:tblCellMar>
            <w:top w:w="0" w:type="dxa"/>
            <w:left w:w="108" w:type="dxa"/>
            <w:bottom w:w="0" w:type="dxa"/>
            <w:right w:w="108" w:type="dxa"/>
          </w:tblCellMar>
        </w:tblPrEx>
        <w:trPr>
          <w:trHeight w:val="1470" w:hRule="atLeast"/>
        </w:trPr>
        <w:tc>
          <w:tcPr>
            <w:tcW w:w="416"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733"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效</w:t>
            </w:r>
            <w:r>
              <w:rPr>
                <w:rFonts w:hint="eastAsia"/>
                <w:sz w:val="20"/>
                <w:szCs w:val="20"/>
              </w:rPr>
              <w:br w:type="textWrapping"/>
            </w:r>
            <w:r>
              <w:rPr>
                <w:rFonts w:hint="eastAsia"/>
                <w:sz w:val="20"/>
                <w:szCs w:val="20"/>
              </w:rPr>
              <w:t>益</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1027"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经济</w:t>
            </w:r>
            <w:r>
              <w:rPr>
                <w:rFonts w:hint="eastAsia" w:ascii="Times New Roman" w:hAnsi="Times New Roman"/>
                <w:kern w:val="0"/>
                <w:sz w:val="20"/>
                <w:szCs w:val="20"/>
                <w:lang w:eastAsia="zh-CN"/>
              </w:rPr>
              <w:t>效</w:t>
            </w:r>
            <w:r>
              <w:rPr>
                <w:rFonts w:hint="default" w:ascii="Times New Roman" w:hAnsi="Times New Roman"/>
                <w:kern w:val="0"/>
                <w:sz w:val="20"/>
                <w:szCs w:val="20"/>
              </w:rPr>
              <w:t>益</w:t>
            </w:r>
            <w:r>
              <w:rPr>
                <w:rFonts w:hint="default" w:ascii="Times New Roman" w:hAnsi="Times New Roman"/>
                <w:kern w:val="0"/>
                <w:sz w:val="20"/>
                <w:szCs w:val="20"/>
              </w:rPr>
              <w:br w:type="textWrapping"/>
            </w:r>
            <w:r>
              <w:rPr>
                <w:rFonts w:hint="default" w:ascii="Times New Roman" w:hAnsi="Times New Roman"/>
                <w:kern w:val="0"/>
                <w:sz w:val="20"/>
                <w:szCs w:val="20"/>
              </w:rPr>
              <w:t>指标</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xml:space="preserve"> 指标1：</w:t>
            </w:r>
            <w:r>
              <w:rPr>
                <w:rFonts w:hint="eastAsia" w:ascii="Times New Roman" w:hAnsi="Times New Roman"/>
                <w:color w:val="000000"/>
                <w:kern w:val="0"/>
                <w:sz w:val="20"/>
                <w:szCs w:val="20"/>
              </w:rPr>
              <w:t>及时有效性</w:t>
            </w:r>
          </w:p>
        </w:tc>
        <w:tc>
          <w:tcPr>
            <w:tcW w:w="88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color w:val="000000"/>
                <w:kern w:val="0"/>
                <w:sz w:val="20"/>
                <w:szCs w:val="20"/>
              </w:rPr>
              <w:t>困难群众得到及时有效救助</w:t>
            </w:r>
            <w:r>
              <w:rPr>
                <w:rFonts w:hint="default" w:ascii="Times New Roman" w:hAnsi="Times New Roman"/>
                <w:kern w:val="0"/>
                <w:sz w:val="20"/>
                <w:szCs w:val="20"/>
              </w:rPr>
              <w:t>　</w:t>
            </w:r>
          </w:p>
        </w:tc>
        <w:tc>
          <w:tcPr>
            <w:tcW w:w="6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w:t>
            </w:r>
          </w:p>
        </w:tc>
        <w:tc>
          <w:tcPr>
            <w:tcW w:w="840"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经济效益</w:t>
            </w:r>
            <w:r>
              <w:rPr>
                <w:rFonts w:hint="default" w:ascii="Times New Roman" w:hAnsi="Times New Roman"/>
                <w:kern w:val="0"/>
                <w:sz w:val="20"/>
                <w:szCs w:val="20"/>
              </w:rPr>
              <w:br w:type="textWrapping"/>
            </w:r>
            <w:r>
              <w:rPr>
                <w:rFonts w:hint="default" w:ascii="Times New Roman" w:hAnsi="Times New Roman"/>
                <w:kern w:val="0"/>
                <w:sz w:val="20"/>
                <w:szCs w:val="20"/>
              </w:rPr>
              <w:t>指标</w:t>
            </w:r>
          </w:p>
        </w:tc>
        <w:tc>
          <w:tcPr>
            <w:tcW w:w="12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xml:space="preserve"> 指标1：</w:t>
            </w:r>
            <w:r>
              <w:rPr>
                <w:rFonts w:hint="eastAsia" w:ascii="Times New Roman" w:hAnsi="Times New Roman"/>
                <w:color w:val="000000"/>
                <w:kern w:val="0"/>
                <w:sz w:val="20"/>
                <w:szCs w:val="20"/>
              </w:rPr>
              <w:t>及时有效性</w:t>
            </w:r>
          </w:p>
        </w:tc>
        <w:tc>
          <w:tcPr>
            <w:tcW w:w="623"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80" w:lineRule="exact"/>
              <w:ind w:left="0" w:right="0"/>
              <w:jc w:val="center"/>
              <w:rPr>
                <w:rFonts w:hint="default" w:ascii="宋体" w:hAnsi="宋体" w:eastAsia="宋体" w:cs="宋体"/>
                <w:sz w:val="20"/>
                <w:szCs w:val="20"/>
              </w:rPr>
            </w:pPr>
            <w:r>
              <w:rPr>
                <w:rFonts w:hint="eastAsia" w:ascii="Times New Roman" w:hAnsi="Times New Roman"/>
                <w:color w:val="000000"/>
                <w:kern w:val="0"/>
                <w:sz w:val="20"/>
                <w:szCs w:val="20"/>
              </w:rPr>
              <w:t>困难群众得到及时有效救助</w:t>
            </w:r>
            <w:r>
              <w:rPr>
                <w:rFonts w:hint="default" w:ascii="Times New Roman" w:hAnsi="Times New Roman"/>
                <w:color w:val="000000"/>
                <w:kern w:val="0"/>
                <w:sz w:val="20"/>
                <w:szCs w:val="20"/>
              </w:rPr>
              <w:t>　</w:t>
            </w:r>
          </w:p>
        </w:tc>
        <w:tc>
          <w:tcPr>
            <w:tcW w:w="641"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733"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1027"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社会效益</w:t>
            </w:r>
            <w:r>
              <w:rPr>
                <w:rFonts w:hint="default" w:ascii="Times New Roman" w:hAnsi="Times New Roman"/>
                <w:kern w:val="0"/>
                <w:sz w:val="20"/>
                <w:szCs w:val="20"/>
              </w:rPr>
              <w:br w:type="textWrapping"/>
            </w:r>
            <w:r>
              <w:rPr>
                <w:rFonts w:hint="default" w:ascii="Times New Roman" w:hAnsi="Times New Roman"/>
                <w:kern w:val="0"/>
                <w:sz w:val="20"/>
                <w:szCs w:val="20"/>
              </w:rPr>
              <w:t>指标</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color w:val="000000"/>
                <w:kern w:val="0"/>
                <w:sz w:val="20"/>
                <w:szCs w:val="20"/>
              </w:rPr>
              <w:t>低保对象生活水平情况</w:t>
            </w:r>
          </w:p>
        </w:tc>
        <w:tc>
          <w:tcPr>
            <w:tcW w:w="88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有所提升</w:t>
            </w:r>
          </w:p>
        </w:tc>
        <w:tc>
          <w:tcPr>
            <w:tcW w:w="6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w:t>
            </w:r>
          </w:p>
        </w:tc>
        <w:tc>
          <w:tcPr>
            <w:tcW w:w="840"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社会效益</w:t>
            </w:r>
            <w:r>
              <w:rPr>
                <w:rFonts w:hint="default" w:ascii="Times New Roman" w:hAnsi="Times New Roman"/>
                <w:kern w:val="0"/>
                <w:sz w:val="20"/>
                <w:szCs w:val="20"/>
              </w:rPr>
              <w:br w:type="textWrapping"/>
            </w:r>
            <w:r>
              <w:rPr>
                <w:rFonts w:hint="default" w:ascii="Times New Roman" w:hAnsi="Times New Roman"/>
                <w:kern w:val="0"/>
                <w:sz w:val="20"/>
                <w:szCs w:val="20"/>
              </w:rPr>
              <w:t>指标</w:t>
            </w:r>
          </w:p>
        </w:tc>
        <w:tc>
          <w:tcPr>
            <w:tcW w:w="12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color w:val="000000"/>
                <w:kern w:val="0"/>
                <w:sz w:val="20"/>
                <w:szCs w:val="20"/>
              </w:rPr>
              <w:t>低保对象生活水平情况</w:t>
            </w:r>
          </w:p>
        </w:tc>
        <w:tc>
          <w:tcPr>
            <w:tcW w:w="6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有所提升</w:t>
            </w:r>
          </w:p>
        </w:tc>
        <w:tc>
          <w:tcPr>
            <w:tcW w:w="641"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733"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1027"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生态效益</w:t>
            </w:r>
            <w:r>
              <w:rPr>
                <w:rFonts w:hint="default" w:ascii="Times New Roman" w:hAnsi="Times New Roman"/>
                <w:kern w:val="0"/>
                <w:sz w:val="20"/>
                <w:szCs w:val="20"/>
              </w:rPr>
              <w:br w:type="textWrapping"/>
            </w:r>
            <w:r>
              <w:rPr>
                <w:rFonts w:hint="default" w:ascii="Times New Roman" w:hAnsi="Times New Roman"/>
                <w:kern w:val="0"/>
                <w:sz w:val="20"/>
                <w:szCs w:val="20"/>
              </w:rPr>
              <w:t>指标</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xml:space="preserve"> 指标1：</w:t>
            </w:r>
            <w:r>
              <w:rPr>
                <w:rFonts w:hint="eastAsia" w:ascii="Times New Roman" w:hAnsi="Times New Roman"/>
                <w:color w:val="000000"/>
                <w:kern w:val="0"/>
                <w:sz w:val="20"/>
                <w:szCs w:val="20"/>
              </w:rPr>
              <w:t>保障准确性</w:t>
            </w:r>
          </w:p>
        </w:tc>
        <w:tc>
          <w:tcPr>
            <w:tcW w:w="88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w:t>
            </w:r>
            <w:r>
              <w:rPr>
                <w:rFonts w:hint="eastAsia" w:ascii="Times New Roman" w:hAnsi="Times New Roman"/>
                <w:kern w:val="0"/>
                <w:sz w:val="20"/>
                <w:szCs w:val="20"/>
              </w:rPr>
              <w:t>准确</w:t>
            </w:r>
          </w:p>
        </w:tc>
        <w:tc>
          <w:tcPr>
            <w:tcW w:w="6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w:t>
            </w:r>
          </w:p>
        </w:tc>
        <w:tc>
          <w:tcPr>
            <w:tcW w:w="840"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生态效益</w:t>
            </w:r>
            <w:r>
              <w:rPr>
                <w:rFonts w:hint="default" w:ascii="Times New Roman" w:hAnsi="Times New Roman"/>
                <w:kern w:val="0"/>
                <w:sz w:val="20"/>
                <w:szCs w:val="20"/>
              </w:rPr>
              <w:br w:type="textWrapping"/>
            </w:r>
            <w:r>
              <w:rPr>
                <w:rFonts w:hint="default" w:ascii="Times New Roman" w:hAnsi="Times New Roman"/>
                <w:kern w:val="0"/>
                <w:sz w:val="20"/>
                <w:szCs w:val="20"/>
              </w:rPr>
              <w:t>指标</w:t>
            </w:r>
          </w:p>
        </w:tc>
        <w:tc>
          <w:tcPr>
            <w:tcW w:w="12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xml:space="preserve"> 指标1：</w:t>
            </w:r>
            <w:r>
              <w:rPr>
                <w:rFonts w:hint="eastAsia" w:ascii="Times New Roman" w:hAnsi="Times New Roman"/>
                <w:color w:val="000000"/>
                <w:kern w:val="0"/>
                <w:sz w:val="20"/>
                <w:szCs w:val="20"/>
              </w:rPr>
              <w:t>保障准确性</w:t>
            </w:r>
          </w:p>
        </w:tc>
        <w:tc>
          <w:tcPr>
            <w:tcW w:w="6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准确</w:t>
            </w:r>
            <w:r>
              <w:rPr>
                <w:rFonts w:hint="default" w:ascii="Times New Roman" w:hAnsi="Times New Roman"/>
                <w:kern w:val="0"/>
                <w:sz w:val="20"/>
                <w:szCs w:val="20"/>
              </w:rPr>
              <w:t>　</w:t>
            </w:r>
          </w:p>
        </w:tc>
        <w:tc>
          <w:tcPr>
            <w:tcW w:w="641"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p>
        </w:tc>
        <w:tc>
          <w:tcPr>
            <w:tcW w:w="733" w:type="dxa"/>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满意度指标</w:t>
            </w:r>
          </w:p>
        </w:tc>
        <w:tc>
          <w:tcPr>
            <w:tcW w:w="1027"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Times New Roman" w:hAnsi="Times New Roman"/>
                <w:kern w:val="0"/>
                <w:sz w:val="20"/>
                <w:szCs w:val="20"/>
              </w:rPr>
            </w:pPr>
            <w:r>
              <w:rPr>
                <w:rFonts w:hint="default" w:ascii="Times New Roman" w:hAnsi="Times New Roman"/>
                <w:kern w:val="0"/>
                <w:sz w:val="20"/>
                <w:szCs w:val="20"/>
              </w:rPr>
              <w:t>可持续</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影响指标</w:t>
            </w:r>
          </w:p>
        </w:tc>
        <w:tc>
          <w:tcPr>
            <w:tcW w:w="19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kern w:val="0"/>
                <w:sz w:val="20"/>
                <w:szCs w:val="20"/>
              </w:rPr>
              <w:t>最低生活保障制度</w:t>
            </w:r>
            <w:r>
              <w:rPr>
                <w:rFonts w:hint="default" w:ascii="Times New Roman" w:hAnsi="Times New Roman"/>
                <w:color w:val="000000"/>
                <w:kern w:val="0"/>
                <w:sz w:val="20"/>
                <w:szCs w:val="20"/>
              </w:rPr>
              <w:t>　</w:t>
            </w:r>
          </w:p>
        </w:tc>
        <w:tc>
          <w:tcPr>
            <w:tcW w:w="88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进一步完善</w:t>
            </w:r>
          </w:p>
        </w:tc>
        <w:tc>
          <w:tcPr>
            <w:tcW w:w="6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　</w:t>
            </w:r>
          </w:p>
        </w:tc>
        <w:tc>
          <w:tcPr>
            <w:tcW w:w="840" w:type="dxa"/>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sz w:val="20"/>
                <w:szCs w:val="20"/>
              </w:rPr>
            </w:pPr>
            <w:r>
              <w:rPr>
                <w:rFonts w:hint="default" w:ascii="Times New Roman" w:hAnsi="Times New Roman"/>
                <w:kern w:val="0"/>
                <w:sz w:val="20"/>
                <w:szCs w:val="20"/>
              </w:rPr>
              <w:t>可持续影响</w:t>
            </w:r>
            <w:r>
              <w:rPr>
                <w:rFonts w:hint="default" w:ascii="Times New Roman" w:hAnsi="Times New Roman"/>
                <w:kern w:val="0"/>
                <w:sz w:val="20"/>
                <w:szCs w:val="20"/>
              </w:rPr>
              <w:br w:type="textWrapping"/>
            </w:r>
            <w:r>
              <w:rPr>
                <w:rFonts w:hint="default" w:ascii="Times New Roman" w:hAnsi="Times New Roman"/>
                <w:kern w:val="0"/>
                <w:sz w:val="20"/>
                <w:szCs w:val="20"/>
              </w:rPr>
              <w:t>指标</w:t>
            </w:r>
          </w:p>
        </w:tc>
        <w:tc>
          <w:tcPr>
            <w:tcW w:w="120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default" w:ascii="Times New Roman" w:hAnsi="Times New Roman"/>
                <w:kern w:val="0"/>
                <w:sz w:val="20"/>
                <w:szCs w:val="20"/>
              </w:rPr>
              <w:t>指标1：</w:t>
            </w:r>
            <w:r>
              <w:rPr>
                <w:rFonts w:hint="eastAsia" w:ascii="Times New Roman" w:hAnsi="Times New Roman"/>
                <w:kern w:val="0"/>
                <w:sz w:val="20"/>
                <w:szCs w:val="20"/>
              </w:rPr>
              <w:t>最低生活保障制度</w:t>
            </w:r>
            <w:r>
              <w:rPr>
                <w:rFonts w:hint="default" w:ascii="Times New Roman" w:hAnsi="Times New Roman"/>
                <w:color w:val="000000"/>
                <w:kern w:val="0"/>
                <w:sz w:val="20"/>
                <w:szCs w:val="20"/>
              </w:rPr>
              <w:t>　</w:t>
            </w:r>
          </w:p>
        </w:tc>
        <w:tc>
          <w:tcPr>
            <w:tcW w:w="6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sz w:val="20"/>
                <w:szCs w:val="20"/>
              </w:rPr>
            </w:pPr>
            <w:r>
              <w:rPr>
                <w:rFonts w:hint="eastAsia" w:ascii="Times New Roman" w:hAnsi="Times New Roman"/>
                <w:kern w:val="0"/>
                <w:sz w:val="20"/>
                <w:szCs w:val="20"/>
              </w:rPr>
              <w:t>进一步完善</w:t>
            </w:r>
          </w:p>
        </w:tc>
        <w:tc>
          <w:tcPr>
            <w:tcW w:w="641"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sz w:val="20"/>
                <w:szCs w:val="20"/>
              </w:rPr>
            </w:pPr>
            <w:r>
              <w:rPr>
                <w:rFonts w:hint="eastAsia"/>
                <w:sz w:val="20"/>
                <w:szCs w:val="20"/>
              </w:rPr>
              <w:t>　</w:t>
            </w:r>
          </w:p>
        </w:tc>
      </w:tr>
    </w:tbl>
    <w:p>
      <w:pPr>
        <w:adjustRightInd w:val="0"/>
        <w:snapToGrid w:val="0"/>
        <w:spacing w:line="600" w:lineRule="exact"/>
        <w:ind w:firstLine="803" w:firstLineChars="250"/>
        <w:rPr>
          <w:rFonts w:ascii="仿宋_GB2312" w:hAnsi="楷体" w:eastAsia="仿宋_GB2312"/>
          <w:b/>
          <w:sz w:val="32"/>
          <w:szCs w:val="32"/>
        </w:rPr>
      </w:pP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（二）机关运行经费。</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cs="宋体"/>
          <w:kern w:val="0"/>
          <w:sz w:val="32"/>
          <w:szCs w:val="32"/>
          <w:lang w:eastAsia="zh-CN"/>
        </w:rPr>
        <w:t>相山区民政局</w:t>
      </w:r>
      <w:r>
        <w:rPr>
          <w:rFonts w:hint="eastAsia" w:ascii="仿宋_GB2312" w:hAnsi="仿宋" w:eastAsia="仿宋_GB2312"/>
          <w:sz w:val="32"/>
          <w:szCs w:val="32"/>
          <w:lang w:eastAsia="zh-CN"/>
        </w:rPr>
        <w:t>2022</w:t>
      </w:r>
      <w:r>
        <w:rPr>
          <w:rFonts w:hint="eastAsia" w:ascii="仿宋_GB2312" w:hAnsi="仿宋" w:eastAsia="仿宋_GB2312"/>
          <w:sz w:val="32"/>
          <w:szCs w:val="32"/>
        </w:rPr>
        <w:t>年机关运行经费财政拨款预算</w:t>
      </w:r>
      <w:r>
        <w:rPr>
          <w:rFonts w:hint="eastAsia" w:ascii="仿宋_GB2312" w:hAnsi="仿宋" w:eastAsia="仿宋_GB2312"/>
          <w:sz w:val="32"/>
          <w:szCs w:val="32"/>
          <w:lang w:val="en-US" w:eastAsia="zh-CN"/>
        </w:rPr>
        <w:t>30.97</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年预算减少</w:t>
      </w:r>
      <w:r>
        <w:rPr>
          <w:rFonts w:hint="eastAsia" w:ascii="仿宋_GB2312" w:hAnsi="仿宋" w:eastAsia="仿宋_GB2312"/>
          <w:sz w:val="32"/>
          <w:szCs w:val="32"/>
          <w:lang w:val="en-US" w:eastAsia="zh-CN"/>
        </w:rPr>
        <w:t>75.27</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70.85</w:t>
      </w:r>
      <w:r>
        <w:rPr>
          <w:rFonts w:hint="eastAsia" w:ascii="仿宋_GB2312" w:hAnsi="仿宋" w:eastAsia="仿宋_GB2312"/>
          <w:sz w:val="32"/>
          <w:szCs w:val="32"/>
        </w:rPr>
        <w:t>%，下降主要原因是</w:t>
      </w:r>
      <w:r>
        <w:rPr>
          <w:rFonts w:hint="eastAsia" w:ascii="仿宋_GB2312" w:hAnsi="仿宋" w:eastAsia="仿宋_GB2312"/>
          <w:sz w:val="32"/>
          <w:szCs w:val="32"/>
          <w:lang w:eastAsia="zh-CN"/>
        </w:rPr>
        <w:t>工作经费单列项目</w:t>
      </w:r>
      <w:r>
        <w:rPr>
          <w:rFonts w:hint="eastAsia" w:ascii="仿宋_GB2312" w:hAnsi="仿宋" w:eastAsia="仿宋_GB2312"/>
          <w:sz w:val="32"/>
          <w:szCs w:val="32"/>
        </w:rPr>
        <w:t>。</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（三）政府采购情况。</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仿宋" w:eastAsia="仿宋_GB2312" w:cs="宋体"/>
          <w:kern w:val="0"/>
          <w:sz w:val="32"/>
          <w:szCs w:val="32"/>
          <w:lang w:eastAsia="zh-CN"/>
        </w:rPr>
        <w:t>相山区民政局</w:t>
      </w:r>
      <w:r>
        <w:rPr>
          <w:rFonts w:hint="eastAsia" w:ascii="仿宋_GB2312" w:hAnsi="楷体" w:eastAsia="仿宋_GB2312"/>
          <w:sz w:val="32"/>
          <w:szCs w:val="32"/>
          <w:lang w:eastAsia="zh-CN"/>
        </w:rPr>
        <w:t>2022</w:t>
      </w:r>
      <w:r>
        <w:rPr>
          <w:rFonts w:hint="eastAsia" w:ascii="仿宋_GB2312" w:hAnsi="楷体" w:eastAsia="仿宋_GB2312"/>
          <w:sz w:val="32"/>
          <w:szCs w:val="32"/>
        </w:rPr>
        <w:t>年政府采购预算</w:t>
      </w:r>
      <w:r>
        <w:rPr>
          <w:rFonts w:hint="eastAsia" w:ascii="仿宋_GB2312" w:hAnsi="楷体" w:eastAsia="仿宋_GB2312"/>
          <w:sz w:val="32"/>
          <w:szCs w:val="32"/>
          <w:lang w:val="en-US" w:eastAsia="zh-CN"/>
        </w:rPr>
        <w:t>25.00</w:t>
      </w:r>
      <w:r>
        <w:rPr>
          <w:rFonts w:hint="eastAsia" w:ascii="仿宋_GB2312" w:hAnsi="楷体" w:eastAsia="仿宋_GB2312"/>
          <w:sz w:val="32"/>
          <w:szCs w:val="32"/>
        </w:rPr>
        <w:t>万元。其中：政府采购货物预算</w:t>
      </w:r>
      <w:r>
        <w:rPr>
          <w:rFonts w:hint="eastAsia" w:ascii="仿宋_GB2312" w:hAnsi="楷体" w:eastAsia="仿宋_GB2312"/>
          <w:sz w:val="32"/>
          <w:szCs w:val="32"/>
          <w:lang w:val="en-US" w:eastAsia="zh-CN"/>
        </w:rPr>
        <w:t>0.00</w:t>
      </w:r>
      <w:r>
        <w:rPr>
          <w:rFonts w:hint="eastAsia" w:ascii="仿宋_GB2312" w:hAnsi="楷体" w:eastAsia="仿宋_GB2312"/>
          <w:sz w:val="32"/>
          <w:szCs w:val="32"/>
        </w:rPr>
        <w:t>万元，政府采购工程预算</w:t>
      </w:r>
      <w:r>
        <w:rPr>
          <w:rFonts w:hint="eastAsia" w:ascii="仿宋_GB2312" w:hAnsi="楷体" w:eastAsia="仿宋_GB2312"/>
          <w:sz w:val="32"/>
          <w:szCs w:val="32"/>
          <w:lang w:val="en-US" w:eastAsia="zh-CN"/>
        </w:rPr>
        <w:t>0.00</w:t>
      </w:r>
      <w:r>
        <w:rPr>
          <w:rFonts w:hint="eastAsia" w:ascii="仿宋_GB2312" w:hAnsi="楷体" w:eastAsia="仿宋_GB2312"/>
          <w:sz w:val="32"/>
          <w:szCs w:val="32"/>
        </w:rPr>
        <w:t>万元，政府采购服务预算</w:t>
      </w:r>
      <w:r>
        <w:rPr>
          <w:rFonts w:hint="eastAsia" w:ascii="仿宋_GB2312" w:hAnsi="楷体" w:eastAsia="仿宋_GB2312"/>
          <w:sz w:val="32"/>
          <w:szCs w:val="32"/>
          <w:lang w:val="en-US" w:eastAsia="zh-CN"/>
        </w:rPr>
        <w:t>25.00</w:t>
      </w:r>
      <w:r>
        <w:rPr>
          <w:rFonts w:hint="eastAsia" w:ascii="仿宋_GB2312" w:hAnsi="楷体" w:eastAsia="仿宋_GB2312"/>
          <w:sz w:val="32"/>
          <w:szCs w:val="32"/>
        </w:rPr>
        <w:t>万元。</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（四）国有资产占有使用情况。</w:t>
      </w:r>
    </w:p>
    <w:p>
      <w:pPr>
        <w:adjustRightInd w:val="0"/>
        <w:snapToGrid w:val="0"/>
        <w:spacing w:line="600" w:lineRule="exact"/>
        <w:ind w:firstLine="640" w:firstLineChars="200"/>
        <w:rPr>
          <w:rFonts w:ascii="仿宋_GB2312" w:hAnsi="楷体" w:eastAsia="仿宋_GB2312"/>
          <w:color w:val="3366FF"/>
          <w:sz w:val="32"/>
          <w:szCs w:val="32"/>
        </w:rPr>
      </w:pPr>
      <w:r>
        <w:rPr>
          <w:rFonts w:hint="eastAsia" w:ascii="仿宋_GB2312" w:hAnsi="仿宋" w:eastAsia="仿宋_GB2312"/>
          <w:sz w:val="32"/>
          <w:szCs w:val="32"/>
        </w:rPr>
        <w:t>截至</w:t>
      </w:r>
      <w:r>
        <w:rPr>
          <w:rFonts w:hint="eastAsia" w:ascii="仿宋_GB2312" w:hAnsi="仿宋" w:eastAsia="仿宋_GB2312"/>
          <w:sz w:val="32"/>
          <w:szCs w:val="32"/>
          <w:lang w:eastAsia="zh-CN"/>
        </w:rPr>
        <w:t>2021</w:t>
      </w:r>
      <w:r>
        <w:rPr>
          <w:rFonts w:hint="eastAsia" w:ascii="仿宋_GB2312" w:hAnsi="仿宋" w:eastAsia="仿宋_GB2312"/>
          <w:sz w:val="32"/>
          <w:szCs w:val="32"/>
        </w:rPr>
        <w:t>年12月31日，</w:t>
      </w:r>
      <w:r>
        <w:rPr>
          <w:rFonts w:hint="eastAsia" w:ascii="仿宋_GB2312" w:hAnsi="仿宋" w:eastAsia="仿宋_GB2312" w:cs="宋体"/>
          <w:kern w:val="0"/>
          <w:sz w:val="32"/>
          <w:szCs w:val="32"/>
          <w:lang w:eastAsia="zh-CN"/>
        </w:rPr>
        <w:t>相山区民政局</w:t>
      </w:r>
      <w:r>
        <w:rPr>
          <w:rFonts w:hint="eastAsia" w:ascii="仿宋_GB2312" w:hAnsi="楷体" w:eastAsia="仿宋_GB2312"/>
          <w:sz w:val="32"/>
          <w:szCs w:val="32"/>
        </w:rPr>
        <w:t>共有车辆</w:t>
      </w:r>
      <w:r>
        <w:rPr>
          <w:rFonts w:hint="eastAsia" w:ascii="仿宋_GB2312" w:hAnsi="楷体" w:eastAsia="仿宋_GB2312"/>
          <w:sz w:val="32"/>
          <w:szCs w:val="32"/>
          <w:lang w:val="en-US" w:eastAsia="zh-CN"/>
        </w:rPr>
        <w:t>0</w:t>
      </w:r>
      <w:r>
        <w:rPr>
          <w:rFonts w:hint="eastAsia" w:ascii="仿宋_GB2312" w:hAnsi="楷体" w:eastAsia="仿宋_GB2312"/>
          <w:sz w:val="32"/>
          <w:szCs w:val="32"/>
        </w:rPr>
        <w:t>辆</w:t>
      </w:r>
      <w:r>
        <w:rPr>
          <w:rFonts w:hint="eastAsia" w:ascii="仿宋_GB2312" w:hAnsi="楷体" w:eastAsia="仿宋_GB2312"/>
          <w:sz w:val="32"/>
          <w:szCs w:val="32"/>
          <w:lang w:val="en-US" w:eastAsia="zh-CN"/>
        </w:rPr>
        <w:t>0</w:t>
      </w:r>
      <w:r>
        <w:rPr>
          <w:rFonts w:hint="eastAsia" w:ascii="仿宋_GB2312" w:hAnsi="楷体" w:eastAsia="仿宋_GB2312"/>
          <w:sz w:val="32"/>
          <w:szCs w:val="32"/>
        </w:rPr>
        <w:t>。单位价值50万元以上的通用设备</w:t>
      </w:r>
      <w:r>
        <w:rPr>
          <w:rFonts w:hint="eastAsia" w:ascii="仿宋_GB2312" w:hAnsi="楷体" w:eastAsia="仿宋_GB2312"/>
          <w:sz w:val="32"/>
          <w:szCs w:val="32"/>
          <w:lang w:val="en-US" w:eastAsia="zh-CN"/>
        </w:rPr>
        <w:t>1</w:t>
      </w:r>
      <w:r>
        <w:rPr>
          <w:rFonts w:hint="eastAsia" w:ascii="仿宋_GB2312" w:hAnsi="楷体" w:eastAsia="仿宋_GB2312"/>
          <w:sz w:val="32"/>
          <w:szCs w:val="32"/>
        </w:rPr>
        <w:t>台（套），单位价值100万元以上的专用设备</w:t>
      </w:r>
      <w:r>
        <w:rPr>
          <w:rFonts w:hint="eastAsia" w:ascii="仿宋_GB2312" w:hAnsi="楷体" w:eastAsia="仿宋_GB2312"/>
          <w:sz w:val="32"/>
          <w:szCs w:val="32"/>
          <w:lang w:val="en-US" w:eastAsia="zh-CN"/>
        </w:rPr>
        <w:t>0</w:t>
      </w:r>
      <w:r>
        <w:rPr>
          <w:rFonts w:hint="eastAsia" w:ascii="仿宋_GB2312" w:hAnsi="楷体" w:eastAsia="仿宋_GB2312"/>
          <w:sz w:val="32"/>
          <w:szCs w:val="32"/>
        </w:rPr>
        <w:t>台（套）。</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color w:val="auto"/>
          <w:sz w:val="32"/>
          <w:szCs w:val="32"/>
          <w:lang w:eastAsia="zh-CN"/>
        </w:rPr>
        <w:t>2022</w:t>
      </w:r>
      <w:r>
        <w:rPr>
          <w:rFonts w:hint="eastAsia" w:ascii="仿宋_GB2312" w:hAnsi="楷体" w:eastAsia="仿宋_GB2312"/>
          <w:color w:val="auto"/>
          <w:sz w:val="32"/>
          <w:szCs w:val="32"/>
        </w:rPr>
        <w:t>年</w:t>
      </w:r>
      <w:r>
        <w:rPr>
          <w:rFonts w:hint="eastAsia" w:ascii="仿宋_GB2312" w:hAnsi="楷体" w:eastAsia="仿宋_GB2312"/>
          <w:color w:val="auto"/>
          <w:sz w:val="32"/>
          <w:szCs w:val="32"/>
          <w:lang w:eastAsia="zh-CN"/>
        </w:rPr>
        <w:t>部门</w:t>
      </w:r>
      <w:r>
        <w:rPr>
          <w:rFonts w:hint="eastAsia" w:ascii="仿宋_GB2312" w:hAnsi="楷体" w:eastAsia="仿宋_GB2312"/>
          <w:color w:val="auto"/>
          <w:sz w:val="32"/>
          <w:szCs w:val="32"/>
        </w:rPr>
        <w:t>预算安排购置公务用车</w:t>
      </w:r>
      <w:r>
        <w:rPr>
          <w:rFonts w:hint="eastAsia" w:ascii="仿宋_GB2312" w:hAnsi="楷体" w:eastAsia="仿宋_GB2312"/>
          <w:color w:val="auto"/>
          <w:sz w:val="32"/>
          <w:szCs w:val="32"/>
          <w:lang w:val="en-US" w:eastAsia="zh-CN"/>
        </w:rPr>
        <w:t>0</w:t>
      </w:r>
      <w:r>
        <w:rPr>
          <w:rFonts w:hint="eastAsia" w:ascii="仿宋_GB2312" w:hAnsi="楷体" w:eastAsia="仿宋_GB2312"/>
          <w:color w:val="auto"/>
          <w:sz w:val="32"/>
          <w:szCs w:val="32"/>
        </w:rPr>
        <w:t>辆，购置费</w:t>
      </w:r>
      <w:r>
        <w:rPr>
          <w:rFonts w:hint="eastAsia" w:ascii="仿宋_GB2312" w:hAnsi="楷体" w:eastAsia="仿宋_GB2312"/>
          <w:color w:val="auto"/>
          <w:sz w:val="32"/>
          <w:szCs w:val="32"/>
          <w:lang w:val="en-US" w:eastAsia="zh-CN"/>
        </w:rPr>
        <w:t>0</w:t>
      </w:r>
      <w:r>
        <w:rPr>
          <w:rFonts w:hint="eastAsia" w:ascii="仿宋_GB2312" w:hAnsi="楷体" w:eastAsia="仿宋_GB2312"/>
          <w:color w:val="auto"/>
          <w:sz w:val="32"/>
          <w:szCs w:val="32"/>
        </w:rPr>
        <w:t>万元；安排购置单位价值50万元以上的通用设备</w:t>
      </w:r>
      <w:r>
        <w:rPr>
          <w:rFonts w:hint="eastAsia" w:ascii="仿宋_GB2312" w:hAnsi="楷体" w:eastAsia="仿宋_GB2312"/>
          <w:color w:val="auto"/>
          <w:sz w:val="32"/>
          <w:szCs w:val="32"/>
          <w:lang w:val="en-US" w:eastAsia="zh-CN"/>
        </w:rPr>
        <w:t>0</w:t>
      </w:r>
      <w:r>
        <w:rPr>
          <w:rFonts w:hint="eastAsia" w:ascii="仿宋_GB2312" w:hAnsi="楷体" w:eastAsia="仿宋_GB2312"/>
          <w:color w:val="auto"/>
          <w:sz w:val="32"/>
          <w:szCs w:val="32"/>
        </w:rPr>
        <w:t>台（套），购置费</w:t>
      </w:r>
      <w:r>
        <w:rPr>
          <w:rFonts w:hint="eastAsia" w:ascii="仿宋_GB2312" w:hAnsi="楷体" w:eastAsia="仿宋_GB2312"/>
          <w:color w:val="auto"/>
          <w:sz w:val="32"/>
          <w:szCs w:val="32"/>
          <w:lang w:val="en-US" w:eastAsia="zh-CN"/>
        </w:rPr>
        <w:t>0</w:t>
      </w:r>
      <w:r>
        <w:rPr>
          <w:rFonts w:hint="eastAsia" w:ascii="仿宋_GB2312" w:hAnsi="楷体" w:eastAsia="仿宋_GB2312"/>
          <w:color w:val="auto"/>
          <w:sz w:val="32"/>
          <w:szCs w:val="32"/>
        </w:rPr>
        <w:t>万元；安排购置单位价值100万元以上专用设备</w:t>
      </w:r>
      <w:r>
        <w:rPr>
          <w:rFonts w:hint="eastAsia" w:ascii="仿宋_GB2312" w:hAnsi="楷体" w:eastAsia="仿宋_GB2312"/>
          <w:color w:val="auto"/>
          <w:sz w:val="32"/>
          <w:szCs w:val="32"/>
          <w:lang w:val="en-US" w:eastAsia="zh-CN"/>
        </w:rPr>
        <w:t>0</w:t>
      </w:r>
      <w:r>
        <w:rPr>
          <w:rFonts w:hint="eastAsia" w:ascii="仿宋_GB2312" w:hAnsi="楷体" w:eastAsia="仿宋_GB2312"/>
          <w:color w:val="auto"/>
          <w:sz w:val="32"/>
          <w:szCs w:val="32"/>
        </w:rPr>
        <w:t>台（套），购置费</w:t>
      </w:r>
      <w:r>
        <w:rPr>
          <w:rFonts w:hint="eastAsia" w:ascii="仿宋_GB2312" w:hAnsi="楷体" w:eastAsia="仿宋_GB2312"/>
          <w:color w:val="auto"/>
          <w:sz w:val="32"/>
          <w:szCs w:val="32"/>
          <w:lang w:val="en-US" w:eastAsia="zh-CN"/>
        </w:rPr>
        <w:t>0</w:t>
      </w:r>
      <w:r>
        <w:rPr>
          <w:rFonts w:hint="eastAsia" w:ascii="仿宋_GB2312" w:hAnsi="楷体" w:eastAsia="仿宋_GB2312"/>
          <w:color w:val="auto"/>
          <w:sz w:val="32"/>
          <w:szCs w:val="32"/>
        </w:rPr>
        <w:t>万元。</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（五）绩效目标设置情况。</w:t>
      </w:r>
    </w:p>
    <w:p>
      <w:pPr>
        <w:adjustRightInd w:val="0"/>
        <w:snapToGrid w:val="0"/>
        <w:spacing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lang w:eastAsia="zh-CN"/>
        </w:rPr>
        <w:t>2022</w:t>
      </w:r>
      <w:r>
        <w:rPr>
          <w:rFonts w:hint="eastAsia" w:ascii="仿宋_GB2312" w:hAnsi="仿宋" w:eastAsia="仿宋_GB2312"/>
          <w:sz w:val="32"/>
          <w:szCs w:val="32"/>
        </w:rPr>
        <w:t>年，</w:t>
      </w:r>
      <w:r>
        <w:rPr>
          <w:rFonts w:hint="eastAsia" w:ascii="仿宋_GB2312" w:hAnsi="仿宋" w:eastAsia="仿宋_GB2312" w:cs="宋体"/>
          <w:kern w:val="0"/>
          <w:sz w:val="32"/>
          <w:szCs w:val="32"/>
          <w:lang w:eastAsia="zh-CN"/>
        </w:rPr>
        <w:t>相山区民政局</w:t>
      </w:r>
      <w:r>
        <w:rPr>
          <w:rFonts w:hint="eastAsia" w:ascii="仿宋_GB2312" w:hAnsi="仿宋" w:eastAsia="仿宋_GB2312" w:cs="宋体"/>
          <w:kern w:val="0"/>
          <w:sz w:val="32"/>
          <w:szCs w:val="32"/>
          <w:lang w:val="en-US" w:eastAsia="zh-CN"/>
        </w:rPr>
        <w:t>1</w:t>
      </w:r>
      <w:r>
        <w:rPr>
          <w:rFonts w:hint="eastAsia" w:ascii="仿宋_GB2312" w:hAnsi="仿宋" w:eastAsia="仿宋_GB2312"/>
          <w:sz w:val="32"/>
          <w:szCs w:val="32"/>
        </w:rPr>
        <w:t>个项目实行了绩效目标管理，涉及一般公共预算当年财政拨款</w:t>
      </w:r>
      <w:r>
        <w:rPr>
          <w:rFonts w:hint="eastAsia" w:ascii="仿宋_GB2312" w:hAnsi="仿宋" w:eastAsia="仿宋_GB2312"/>
          <w:sz w:val="32"/>
          <w:szCs w:val="32"/>
          <w:lang w:val="en-US" w:eastAsia="zh-CN"/>
        </w:rPr>
        <w:t>253.30</w:t>
      </w:r>
      <w:r>
        <w:rPr>
          <w:rFonts w:hint="eastAsia" w:ascii="仿宋_GB2312" w:hAnsi="仿宋" w:eastAsia="仿宋_GB2312"/>
          <w:sz w:val="32"/>
          <w:szCs w:val="32"/>
        </w:rPr>
        <w:t>万元、政府性基金预算当年财政拨款</w:t>
      </w:r>
      <w:r>
        <w:rPr>
          <w:rFonts w:hint="eastAsia" w:ascii="仿宋_GB2312" w:hAnsi="仿宋" w:eastAsia="仿宋_GB2312"/>
          <w:sz w:val="32"/>
          <w:szCs w:val="32"/>
          <w:lang w:val="en-US" w:eastAsia="zh-CN"/>
        </w:rPr>
        <w:t>0.00</w:t>
      </w:r>
      <w:r>
        <w:rPr>
          <w:rFonts w:hint="eastAsia" w:ascii="仿宋_GB2312" w:hAnsi="仿宋" w:eastAsia="仿宋_GB2312"/>
          <w:sz w:val="32"/>
          <w:szCs w:val="32"/>
        </w:rPr>
        <w:t>万元、国有资本经营预算当年财政拨款</w:t>
      </w:r>
      <w:r>
        <w:rPr>
          <w:rFonts w:hint="eastAsia" w:ascii="仿宋_GB2312" w:hAnsi="仿宋" w:eastAsia="仿宋_GB2312"/>
          <w:sz w:val="32"/>
          <w:szCs w:val="32"/>
          <w:lang w:val="en-US" w:eastAsia="zh-CN"/>
        </w:rPr>
        <w:t>0.00</w:t>
      </w:r>
      <w:r>
        <w:rPr>
          <w:rFonts w:hint="eastAsia" w:ascii="仿宋_GB2312" w:hAnsi="仿宋" w:eastAsia="仿宋_GB2312"/>
          <w:sz w:val="32"/>
          <w:szCs w:val="32"/>
        </w:rPr>
        <w:t>万元、财政专户管理资金当年安排</w:t>
      </w:r>
      <w:r>
        <w:rPr>
          <w:rFonts w:hint="eastAsia" w:ascii="仿宋_GB2312" w:hAnsi="仿宋" w:eastAsia="仿宋_GB2312"/>
          <w:sz w:val="32"/>
          <w:szCs w:val="32"/>
          <w:lang w:val="en-US" w:eastAsia="zh-CN"/>
        </w:rPr>
        <w:t>0.00</w:t>
      </w:r>
      <w:r>
        <w:rPr>
          <w:rFonts w:hint="eastAsia" w:ascii="仿宋_GB2312" w:hAnsi="仿宋" w:eastAsia="仿宋_GB2312"/>
          <w:sz w:val="32"/>
          <w:szCs w:val="32"/>
        </w:rPr>
        <w:t>万元和单位资金安排安排</w:t>
      </w:r>
      <w:r>
        <w:rPr>
          <w:rFonts w:hint="eastAsia" w:ascii="仿宋_GB2312" w:hAnsi="仿宋" w:eastAsia="仿宋_GB2312"/>
          <w:sz w:val="32"/>
          <w:szCs w:val="32"/>
          <w:lang w:val="en-US" w:eastAsia="zh-CN"/>
        </w:rPr>
        <w:t>0.00</w:t>
      </w:r>
      <w:r>
        <w:rPr>
          <w:rFonts w:hint="eastAsia" w:ascii="仿宋_GB2312" w:hAnsi="仿宋" w:eastAsia="仿宋_GB2312"/>
          <w:sz w:val="32"/>
          <w:szCs w:val="32"/>
        </w:rPr>
        <w:t>万元。</w:t>
      </w:r>
    </w:p>
    <w:p>
      <w:pPr>
        <w:tabs>
          <w:tab w:val="left" w:pos="3316"/>
        </w:tabs>
        <w:adjustRightInd w:val="0"/>
        <w:snapToGrid w:val="0"/>
        <w:spacing w:line="600" w:lineRule="exact"/>
        <w:outlineLvl w:val="0"/>
        <w:rPr>
          <w:rFonts w:ascii="黑体" w:eastAsia="黑体" w:cs="宋体"/>
          <w:sz w:val="36"/>
          <w:szCs w:val="36"/>
        </w:rPr>
      </w:pPr>
    </w:p>
    <w:p>
      <w:pPr>
        <w:adjustRightInd w:val="0"/>
        <w:snapToGrid w:val="0"/>
        <w:spacing w:line="600" w:lineRule="exact"/>
        <w:jc w:val="center"/>
        <w:rPr>
          <w:rFonts w:ascii="黑体" w:eastAsia="黑体" w:cs="宋体"/>
          <w:sz w:val="36"/>
          <w:szCs w:val="36"/>
        </w:rPr>
      </w:pPr>
      <w:r>
        <w:rPr>
          <w:rFonts w:hint="eastAsia" w:ascii="黑体" w:eastAsia="黑体" w:cs="宋体"/>
          <w:sz w:val="36"/>
          <w:szCs w:val="36"/>
        </w:rPr>
        <w:t>第四部分 名词解释</w:t>
      </w:r>
    </w:p>
    <w:p>
      <w:pPr>
        <w:adjustRightInd w:val="0"/>
        <w:snapToGrid w:val="0"/>
        <w:spacing w:line="600" w:lineRule="exact"/>
        <w:jc w:val="center"/>
        <w:rPr>
          <w:rFonts w:ascii="黑体" w:hAnsi="黑体" w:eastAsia="黑体"/>
          <w:sz w:val="32"/>
          <w:szCs w:val="32"/>
        </w:rPr>
      </w:pPr>
    </w:p>
    <w:p>
      <w:pPr>
        <w:adjustRightInd w:val="0"/>
        <w:snapToGrid w:val="0"/>
        <w:spacing w:line="600" w:lineRule="exact"/>
        <w:ind w:firstLine="640" w:firstLineChars="200"/>
        <w:rPr>
          <w:rFonts w:ascii="仿宋_GB2312" w:hAnsi="仿宋" w:eastAsia="仿宋_GB2312"/>
          <w:sz w:val="32"/>
          <w:szCs w:val="32"/>
        </w:rPr>
      </w:pPr>
      <w:r>
        <w:rPr>
          <w:rFonts w:hint="eastAsia" w:ascii="黑体" w:hAnsi="仿宋" w:eastAsia="黑体"/>
          <w:sz w:val="32"/>
          <w:szCs w:val="32"/>
        </w:rPr>
        <w:t>一、财政拨款收入</w:t>
      </w:r>
      <w:r>
        <w:rPr>
          <w:rFonts w:hint="eastAsia" w:ascii="仿宋_GB2312" w:hAnsi="仿宋" w:eastAsia="仿宋_GB2312"/>
          <w:b/>
          <w:sz w:val="32"/>
          <w:szCs w:val="32"/>
        </w:rPr>
        <w:t>：</w:t>
      </w:r>
      <w:r>
        <w:rPr>
          <w:rFonts w:hint="eastAsia" w:ascii="仿宋_GB2312" w:hAnsi="仿宋" w:eastAsia="仿宋_GB2312"/>
          <w:sz w:val="32"/>
          <w:szCs w:val="32"/>
        </w:rPr>
        <w:t>指部门或单位从同级财政部门取得的财政预算资金。</w:t>
      </w:r>
    </w:p>
    <w:p>
      <w:pPr>
        <w:pStyle w:val="5"/>
        <w:adjustRightInd w:val="0"/>
        <w:snapToGrid w:val="0"/>
        <w:spacing w:before="0" w:beforeAutospacing="0" w:after="0" w:afterAutospacing="0" w:line="600" w:lineRule="exact"/>
        <w:ind w:firstLine="627" w:firstLineChars="196"/>
        <w:rPr>
          <w:rFonts w:ascii="仿宋_GB2312" w:hAnsi="黑体" w:eastAsia="仿宋_GB2312"/>
          <w:sz w:val="32"/>
          <w:szCs w:val="32"/>
        </w:rPr>
      </w:pPr>
      <w:r>
        <w:rPr>
          <w:rFonts w:hint="eastAsia" w:ascii="黑体" w:hAnsi="黑体" w:eastAsia="黑体"/>
          <w:sz w:val="32"/>
          <w:szCs w:val="32"/>
          <w:lang w:eastAsia="zh-CN"/>
        </w:rPr>
        <w:t>二</w:t>
      </w:r>
      <w:r>
        <w:rPr>
          <w:rFonts w:hint="eastAsia" w:ascii="黑体" w:hAnsi="黑体" w:eastAsia="黑体"/>
          <w:sz w:val="32"/>
          <w:szCs w:val="32"/>
        </w:rPr>
        <w:t>、基本支出</w:t>
      </w:r>
      <w:r>
        <w:rPr>
          <w:rFonts w:hint="eastAsia" w:ascii="仿宋_GB2312" w:hAnsi="黑体" w:eastAsia="仿宋_GB2312"/>
          <w:b/>
          <w:sz w:val="32"/>
          <w:szCs w:val="32"/>
        </w:rPr>
        <w:t>：</w:t>
      </w:r>
      <w:r>
        <w:rPr>
          <w:rFonts w:hint="eastAsia" w:ascii="仿宋_GB2312" w:hAnsi="黑体" w:eastAsia="仿宋_GB2312"/>
          <w:sz w:val="32"/>
          <w:szCs w:val="32"/>
        </w:rPr>
        <w:t>指为保障机构正常运转、完成日常工作任务而发生的人员支出和公用支出。</w:t>
      </w:r>
    </w:p>
    <w:p>
      <w:pPr>
        <w:pStyle w:val="5"/>
        <w:spacing w:before="0" w:beforeAutospacing="0" w:after="0" w:afterAutospacing="0" w:line="600" w:lineRule="exact"/>
        <w:ind w:firstLine="627" w:firstLineChars="196"/>
        <w:jc w:val="both"/>
        <w:rPr>
          <w:rFonts w:ascii="仿宋_GB2312" w:hAnsi="黑体"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、项目支出</w:t>
      </w:r>
      <w:r>
        <w:rPr>
          <w:rFonts w:hint="eastAsia" w:ascii="仿宋_GB2312" w:hAnsi="黑体" w:eastAsia="仿宋_GB2312"/>
          <w:b/>
          <w:sz w:val="32"/>
          <w:szCs w:val="32"/>
        </w:rPr>
        <w:t>：</w:t>
      </w:r>
      <w:r>
        <w:rPr>
          <w:rFonts w:hint="eastAsia" w:ascii="仿宋_GB2312" w:hAnsi="黑体" w:eastAsia="仿宋_GB2312"/>
          <w:sz w:val="32"/>
          <w:szCs w:val="32"/>
        </w:rPr>
        <w:t>指在除基本支出之外的支出，主要用于完成特定的工作任务和事业发展目标。</w:t>
      </w:r>
      <w:r>
        <w:rPr>
          <w:rFonts w:ascii="仿宋_GB2312" w:hAnsi="黑体" w:eastAsia="仿宋_GB2312"/>
          <w:sz w:val="32"/>
          <w:szCs w:val="32"/>
        </w:rPr>
        <w:br w:type="textWrapping"/>
      </w:r>
      <w:r>
        <w:rPr>
          <w:rFonts w:hint="eastAsia" w:ascii="仿宋_GB2312" w:hAnsi="黑体" w:eastAsia="仿宋_GB2312"/>
          <w:sz w:val="32"/>
          <w:szCs w:val="32"/>
        </w:rPr>
        <w:t xml:space="preserve">   </w:t>
      </w:r>
      <w:r>
        <w:rPr>
          <w:rFonts w:hint="eastAsia" w:ascii="黑体" w:hAnsi="黑体" w:eastAsia="黑体"/>
          <w:sz w:val="32"/>
          <w:szCs w:val="32"/>
        </w:rPr>
        <w:t xml:space="preserve"> </w:t>
      </w:r>
      <w:r>
        <w:rPr>
          <w:rFonts w:hint="eastAsia" w:ascii="黑体" w:hAnsi="黑体" w:eastAsia="黑体"/>
          <w:sz w:val="32"/>
          <w:szCs w:val="32"/>
          <w:lang w:eastAsia="zh-CN"/>
        </w:rPr>
        <w:t>四</w:t>
      </w:r>
      <w:r>
        <w:rPr>
          <w:rFonts w:hint="eastAsia" w:ascii="黑体" w:hAnsi="黑体" w:eastAsia="黑体"/>
          <w:sz w:val="32"/>
          <w:szCs w:val="32"/>
        </w:rPr>
        <w:t>、机关运行经费:</w:t>
      </w:r>
      <w:r>
        <w:rPr>
          <w:rFonts w:hint="eastAsia" w:ascii="仿宋_GB2312" w:hAnsi="黑体" w:eastAsia="仿宋_GB2312"/>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pPr>
        <w:pStyle w:val="5"/>
        <w:keepNext w:val="0"/>
        <w:keepLines w:val="0"/>
        <w:pageBreakBefore w:val="0"/>
        <w:kinsoku/>
        <w:wordWrap/>
        <w:overflowPunct/>
        <w:topLinePunct w:val="0"/>
        <w:autoSpaceDE/>
        <w:autoSpaceDN/>
        <w:bidi w:val="0"/>
        <w:spacing w:before="0" w:beforeAutospacing="0" w:after="0" w:afterAutospacing="0" w:line="560" w:lineRule="exact"/>
        <w:ind w:left="0" w:leftChars="0" w:firstLine="640" w:firstLineChars="200"/>
        <w:jc w:val="both"/>
        <w:textAlignment w:val="auto"/>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 w:hAnsi="仿宋" w:eastAsia="仿宋" w:cs="仿宋"/>
          <w:sz w:val="32"/>
          <w:szCs w:val="32"/>
        </w:rPr>
        <w:t>：纳入财政预决算管理的“三公”经费，是指单位预算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燃料费、维修费、过桥过路费、保险费、安全奖励费用等支出；公务接待费反映单位按规定开支的各类公务接待（含外宾接待）支出。</w:t>
      </w:r>
    </w:p>
    <w:p>
      <w:pPr>
        <w:rPr>
          <w:rFonts w:hint="eastAsia" w:eastAsiaTheme="minorEastAsia"/>
          <w:lang w:eastAsia="zh-CN"/>
        </w:rPr>
      </w:pPr>
    </w:p>
    <w:p>
      <w:pPr>
        <w:pStyle w:val="2"/>
        <w:rPr>
          <w:rFonts w:hint="eastAsia" w:eastAsiaTheme="minorEastAsia"/>
          <w:lang w:eastAsia="zh-CN"/>
        </w:rPr>
      </w:pPr>
    </w:p>
    <w:p>
      <w:pPr>
        <w:rPr>
          <w:rFonts w:hint="eastAsia" w:eastAsiaTheme="minorEastAsia"/>
          <w:lang w:eastAsia="zh-CN"/>
        </w:rPr>
      </w:pPr>
    </w:p>
    <w:p>
      <w:pPr>
        <w:spacing w:line="480" w:lineRule="exact"/>
        <w:ind w:firstLine="627" w:firstLineChars="196"/>
        <w:jc w:val="both"/>
        <w:rPr>
          <w:rFonts w:hint="eastAsia" w:ascii="仿宋" w:hAnsi="仿宋" w:eastAsia="仿宋" w:cs="宋体"/>
          <w:kern w:val="0"/>
          <w:sz w:val="32"/>
          <w:szCs w:val="32"/>
        </w:rPr>
      </w:pPr>
      <w:r>
        <w:rPr>
          <w:rFonts w:hint="eastAsia" w:ascii="仿宋" w:hAnsi="仿宋" w:eastAsia="仿宋" w:cs="宋体"/>
          <w:kern w:val="0"/>
          <w:sz w:val="32"/>
          <w:szCs w:val="32"/>
        </w:rPr>
        <w:t>联系方式：相山区民政局</w:t>
      </w:r>
    </w:p>
    <w:p>
      <w:pPr>
        <w:spacing w:line="480" w:lineRule="exact"/>
        <w:ind w:firstLine="627" w:firstLineChars="196"/>
        <w:jc w:val="both"/>
        <w:rPr>
          <w:rFonts w:hint="eastAsia" w:ascii="仿宋" w:hAnsi="仿宋" w:eastAsia="仿宋" w:cs="宋体"/>
          <w:kern w:val="0"/>
          <w:sz w:val="32"/>
          <w:szCs w:val="32"/>
        </w:rPr>
      </w:pPr>
      <w:r>
        <w:rPr>
          <w:rFonts w:hint="eastAsia" w:ascii="仿宋" w:hAnsi="仿宋" w:eastAsia="仿宋" w:cs="宋体"/>
          <w:kern w:val="0"/>
          <w:sz w:val="32"/>
          <w:szCs w:val="32"/>
        </w:rPr>
        <w:t>政务公开电子信箱：hbsxsqmzj@163.com</w:t>
      </w:r>
    </w:p>
    <w:p>
      <w:pPr>
        <w:spacing w:line="480" w:lineRule="exact"/>
        <w:ind w:firstLine="640" w:firstLineChars="200"/>
        <w:jc w:val="both"/>
        <w:rPr>
          <w:rFonts w:hint="default" w:ascii="仿宋" w:hAnsi="仿宋" w:eastAsia="仿宋" w:cs="宋体"/>
          <w:kern w:val="0"/>
          <w:sz w:val="32"/>
          <w:szCs w:val="32"/>
          <w:lang w:val="en-US" w:eastAsia="zh-CN"/>
        </w:rPr>
      </w:pPr>
      <w:r>
        <w:rPr>
          <w:rFonts w:hint="eastAsia" w:ascii="仿宋" w:hAnsi="仿宋" w:eastAsia="仿宋" w:cs="宋体"/>
          <w:kern w:val="0"/>
          <w:sz w:val="32"/>
          <w:szCs w:val="32"/>
        </w:rPr>
        <w:t>联系电话:0561-319</w:t>
      </w:r>
      <w:r>
        <w:rPr>
          <w:rFonts w:hint="eastAsia" w:ascii="仿宋" w:hAnsi="仿宋" w:eastAsia="仿宋" w:cs="宋体"/>
          <w:kern w:val="0"/>
          <w:sz w:val="32"/>
          <w:szCs w:val="32"/>
          <w:lang w:val="en-US" w:eastAsia="zh-CN"/>
        </w:rPr>
        <w:t>2370</w:t>
      </w:r>
    </w:p>
    <w:p>
      <w:pPr>
        <w:spacing w:line="480" w:lineRule="exact"/>
        <w:ind w:firstLine="627" w:firstLineChars="196"/>
        <w:jc w:val="both"/>
        <w:rPr>
          <w:rFonts w:hint="eastAsia" w:ascii="仿宋" w:hAnsi="仿宋" w:eastAsia="仿宋" w:cs="宋体"/>
          <w:kern w:val="0"/>
          <w:sz w:val="32"/>
          <w:szCs w:val="32"/>
          <w:lang w:eastAsia="zh-CN"/>
        </w:rPr>
      </w:pPr>
      <w:r>
        <w:rPr>
          <w:rFonts w:hint="eastAsia" w:ascii="仿宋" w:hAnsi="仿宋" w:eastAsia="仿宋" w:cs="宋体"/>
          <w:kern w:val="0"/>
          <w:sz w:val="32"/>
          <w:szCs w:val="32"/>
        </w:rPr>
        <w:t>联系人:</w:t>
      </w:r>
      <w:r>
        <w:rPr>
          <w:rFonts w:hint="eastAsia" w:ascii="仿宋" w:hAnsi="仿宋" w:eastAsia="仿宋" w:cs="宋体"/>
          <w:kern w:val="0"/>
          <w:sz w:val="32"/>
          <w:szCs w:val="32"/>
          <w:lang w:eastAsia="zh-CN"/>
        </w:rPr>
        <w:t>孙莹莹</w:t>
      </w:r>
    </w:p>
    <w:p>
      <w:pPr>
        <w:pStyle w:val="5"/>
        <w:shd w:val="clear" w:color="auto" w:fill="FFFFFF"/>
        <w:adjustRightInd w:val="0"/>
        <w:snapToGrid w:val="0"/>
        <w:spacing w:before="0" w:beforeAutospacing="0" w:after="0" w:afterAutospacing="0" w:line="600" w:lineRule="exact"/>
        <w:jc w:val="both"/>
        <w:rPr>
          <w:rFonts w:hint="eastAsia" w:ascii="黑体" w:hAnsi="Times New Roman" w:eastAsia="黑体"/>
          <w:color w:val="auto"/>
          <w:kern w:val="2"/>
          <w:sz w:val="32"/>
          <w:szCs w:val="32"/>
          <w:highlight w:val="none"/>
          <w:shd w:val="clear" w:color="auto" w:fill="auto"/>
        </w:rPr>
      </w:pPr>
    </w:p>
    <w:p>
      <w:pPr>
        <w:pStyle w:val="2"/>
        <w:rPr>
          <w:rFonts w:hint="eastAsia"/>
          <w:lang w:eastAsia="zh-CN"/>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55711"/>
    </w:sdtPr>
    <w:sdtContent>
      <w:p>
        <w:pPr>
          <w:pStyle w:val="3"/>
          <w:jc w:val="right"/>
        </w:pPr>
        <w:r>
          <w:fldChar w:fldCharType="begin"/>
        </w:r>
        <w:r>
          <w:instrText xml:space="preserve"> PAGE   \* MERGEFORMAT </w:instrText>
        </w:r>
        <w:r>
          <w:fldChar w:fldCharType="separate"/>
        </w:r>
        <w:r>
          <w:rPr>
            <w:lang w:val="zh-CN"/>
          </w:rPr>
          <w:t>18</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455CA7"/>
    <w:multiLevelType w:val="singleLevel"/>
    <w:tmpl w:val="2A455CA7"/>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ZjY2YWMxYjgwMmZiNGVkYTkwMjkyYTU1ZWU4MzQifQ=="/>
  </w:docVars>
  <w:rsids>
    <w:rsidRoot w:val="00DA7155"/>
    <w:rsid w:val="000003C1"/>
    <w:rsid w:val="00015821"/>
    <w:rsid w:val="00016DCE"/>
    <w:rsid w:val="00026E99"/>
    <w:rsid w:val="0005090D"/>
    <w:rsid w:val="00052923"/>
    <w:rsid w:val="0005523F"/>
    <w:rsid w:val="000720A0"/>
    <w:rsid w:val="000807F9"/>
    <w:rsid w:val="000812F3"/>
    <w:rsid w:val="000859AC"/>
    <w:rsid w:val="00086992"/>
    <w:rsid w:val="0009339B"/>
    <w:rsid w:val="000945B8"/>
    <w:rsid w:val="00095C1B"/>
    <w:rsid w:val="000B486F"/>
    <w:rsid w:val="000B701A"/>
    <w:rsid w:val="000E0593"/>
    <w:rsid w:val="000F001D"/>
    <w:rsid w:val="000F35AE"/>
    <w:rsid w:val="000F6876"/>
    <w:rsid w:val="0012431A"/>
    <w:rsid w:val="00130CD5"/>
    <w:rsid w:val="00143558"/>
    <w:rsid w:val="00145AB0"/>
    <w:rsid w:val="00150DF1"/>
    <w:rsid w:val="00152846"/>
    <w:rsid w:val="00152BF2"/>
    <w:rsid w:val="00161C3F"/>
    <w:rsid w:val="00165C02"/>
    <w:rsid w:val="00166692"/>
    <w:rsid w:val="001771E6"/>
    <w:rsid w:val="001803E7"/>
    <w:rsid w:val="00194491"/>
    <w:rsid w:val="001949D0"/>
    <w:rsid w:val="001A6389"/>
    <w:rsid w:val="001A70D0"/>
    <w:rsid w:val="001C3EA4"/>
    <w:rsid w:val="001C4E9A"/>
    <w:rsid w:val="001D4149"/>
    <w:rsid w:val="001E4162"/>
    <w:rsid w:val="001E717A"/>
    <w:rsid w:val="001F54C8"/>
    <w:rsid w:val="001F739C"/>
    <w:rsid w:val="0020776B"/>
    <w:rsid w:val="00210D08"/>
    <w:rsid w:val="00226E7B"/>
    <w:rsid w:val="00234110"/>
    <w:rsid w:val="002351AD"/>
    <w:rsid w:val="002458E8"/>
    <w:rsid w:val="0024741B"/>
    <w:rsid w:val="0025289A"/>
    <w:rsid w:val="00263B7E"/>
    <w:rsid w:val="002711F0"/>
    <w:rsid w:val="002725C5"/>
    <w:rsid w:val="00277F2D"/>
    <w:rsid w:val="00280650"/>
    <w:rsid w:val="002911C3"/>
    <w:rsid w:val="00294131"/>
    <w:rsid w:val="002A6B54"/>
    <w:rsid w:val="002C2BDF"/>
    <w:rsid w:val="002C781A"/>
    <w:rsid w:val="002E11DE"/>
    <w:rsid w:val="002E284A"/>
    <w:rsid w:val="002F54FF"/>
    <w:rsid w:val="002F6AE2"/>
    <w:rsid w:val="003066B6"/>
    <w:rsid w:val="00314DEA"/>
    <w:rsid w:val="00351103"/>
    <w:rsid w:val="00352640"/>
    <w:rsid w:val="00353EE7"/>
    <w:rsid w:val="00366256"/>
    <w:rsid w:val="00370476"/>
    <w:rsid w:val="00380820"/>
    <w:rsid w:val="00383CD8"/>
    <w:rsid w:val="003B060D"/>
    <w:rsid w:val="003C17BD"/>
    <w:rsid w:val="003C40FD"/>
    <w:rsid w:val="003D30B2"/>
    <w:rsid w:val="003E096B"/>
    <w:rsid w:val="003E237C"/>
    <w:rsid w:val="003E66A3"/>
    <w:rsid w:val="003E7441"/>
    <w:rsid w:val="003E7E98"/>
    <w:rsid w:val="003F2BE9"/>
    <w:rsid w:val="003F5900"/>
    <w:rsid w:val="00415416"/>
    <w:rsid w:val="00415ED5"/>
    <w:rsid w:val="0042415B"/>
    <w:rsid w:val="00425751"/>
    <w:rsid w:val="0042713F"/>
    <w:rsid w:val="00430C41"/>
    <w:rsid w:val="00431161"/>
    <w:rsid w:val="0044737F"/>
    <w:rsid w:val="00454492"/>
    <w:rsid w:val="00482476"/>
    <w:rsid w:val="0048574C"/>
    <w:rsid w:val="004A6577"/>
    <w:rsid w:val="004A7283"/>
    <w:rsid w:val="004C3BD5"/>
    <w:rsid w:val="00514735"/>
    <w:rsid w:val="00516B0F"/>
    <w:rsid w:val="00532161"/>
    <w:rsid w:val="00536B96"/>
    <w:rsid w:val="0053715F"/>
    <w:rsid w:val="00542173"/>
    <w:rsid w:val="00544C35"/>
    <w:rsid w:val="00557E03"/>
    <w:rsid w:val="00562B09"/>
    <w:rsid w:val="00565987"/>
    <w:rsid w:val="00574EF2"/>
    <w:rsid w:val="00577B14"/>
    <w:rsid w:val="00582209"/>
    <w:rsid w:val="00584B72"/>
    <w:rsid w:val="005A1CDD"/>
    <w:rsid w:val="005A262C"/>
    <w:rsid w:val="005B0577"/>
    <w:rsid w:val="005B5372"/>
    <w:rsid w:val="005C2187"/>
    <w:rsid w:val="005D2121"/>
    <w:rsid w:val="005E1DBE"/>
    <w:rsid w:val="005E66C6"/>
    <w:rsid w:val="005F1DCD"/>
    <w:rsid w:val="00600DF2"/>
    <w:rsid w:val="00601B50"/>
    <w:rsid w:val="0060284C"/>
    <w:rsid w:val="00642C39"/>
    <w:rsid w:val="00647E00"/>
    <w:rsid w:val="00657804"/>
    <w:rsid w:val="00666BD8"/>
    <w:rsid w:val="00672AEA"/>
    <w:rsid w:val="0069039D"/>
    <w:rsid w:val="00693859"/>
    <w:rsid w:val="00694264"/>
    <w:rsid w:val="006A032A"/>
    <w:rsid w:val="006B17A0"/>
    <w:rsid w:val="006B6125"/>
    <w:rsid w:val="006D39F7"/>
    <w:rsid w:val="006E3F7A"/>
    <w:rsid w:val="006F28D7"/>
    <w:rsid w:val="007221FD"/>
    <w:rsid w:val="00722B93"/>
    <w:rsid w:val="007318DE"/>
    <w:rsid w:val="0074251D"/>
    <w:rsid w:val="00752451"/>
    <w:rsid w:val="00752F7A"/>
    <w:rsid w:val="0075731C"/>
    <w:rsid w:val="0076294D"/>
    <w:rsid w:val="00772BCD"/>
    <w:rsid w:val="00796E8E"/>
    <w:rsid w:val="007A0175"/>
    <w:rsid w:val="007A0E2A"/>
    <w:rsid w:val="007B0E13"/>
    <w:rsid w:val="007D2C1D"/>
    <w:rsid w:val="007E28D7"/>
    <w:rsid w:val="007E36F8"/>
    <w:rsid w:val="00831988"/>
    <w:rsid w:val="00842138"/>
    <w:rsid w:val="00860CC8"/>
    <w:rsid w:val="00863DEC"/>
    <w:rsid w:val="00891055"/>
    <w:rsid w:val="00893638"/>
    <w:rsid w:val="008A4D1E"/>
    <w:rsid w:val="008B0535"/>
    <w:rsid w:val="008D3932"/>
    <w:rsid w:val="008E7426"/>
    <w:rsid w:val="008F1230"/>
    <w:rsid w:val="008F5697"/>
    <w:rsid w:val="00905D7A"/>
    <w:rsid w:val="009154FB"/>
    <w:rsid w:val="00915909"/>
    <w:rsid w:val="00915D08"/>
    <w:rsid w:val="00922AD1"/>
    <w:rsid w:val="00930672"/>
    <w:rsid w:val="00935BC1"/>
    <w:rsid w:val="00943723"/>
    <w:rsid w:val="00960E56"/>
    <w:rsid w:val="00962167"/>
    <w:rsid w:val="009640FF"/>
    <w:rsid w:val="009730E4"/>
    <w:rsid w:val="00976479"/>
    <w:rsid w:val="0098716A"/>
    <w:rsid w:val="009874BC"/>
    <w:rsid w:val="0099011F"/>
    <w:rsid w:val="00990C8B"/>
    <w:rsid w:val="009A3572"/>
    <w:rsid w:val="009A5CC2"/>
    <w:rsid w:val="009C10D1"/>
    <w:rsid w:val="009C7F13"/>
    <w:rsid w:val="009E5A38"/>
    <w:rsid w:val="009F2E05"/>
    <w:rsid w:val="00A13C61"/>
    <w:rsid w:val="00A25CFC"/>
    <w:rsid w:val="00A26644"/>
    <w:rsid w:val="00A266F5"/>
    <w:rsid w:val="00A33786"/>
    <w:rsid w:val="00A34D62"/>
    <w:rsid w:val="00A46E97"/>
    <w:rsid w:val="00A51BB2"/>
    <w:rsid w:val="00A566E8"/>
    <w:rsid w:val="00A62DE6"/>
    <w:rsid w:val="00A64B80"/>
    <w:rsid w:val="00A66984"/>
    <w:rsid w:val="00A759CE"/>
    <w:rsid w:val="00A80366"/>
    <w:rsid w:val="00AA019E"/>
    <w:rsid w:val="00AA63E5"/>
    <w:rsid w:val="00AC6A43"/>
    <w:rsid w:val="00AD02CD"/>
    <w:rsid w:val="00AD7F7C"/>
    <w:rsid w:val="00AE6B99"/>
    <w:rsid w:val="00B106E8"/>
    <w:rsid w:val="00B214F8"/>
    <w:rsid w:val="00B24E1E"/>
    <w:rsid w:val="00B31578"/>
    <w:rsid w:val="00B37364"/>
    <w:rsid w:val="00B40A13"/>
    <w:rsid w:val="00B51464"/>
    <w:rsid w:val="00B60BEC"/>
    <w:rsid w:val="00B679AC"/>
    <w:rsid w:val="00B7597E"/>
    <w:rsid w:val="00B9441F"/>
    <w:rsid w:val="00B96C93"/>
    <w:rsid w:val="00BA005D"/>
    <w:rsid w:val="00BE6210"/>
    <w:rsid w:val="00BF40E0"/>
    <w:rsid w:val="00C07806"/>
    <w:rsid w:val="00C10BDA"/>
    <w:rsid w:val="00C25627"/>
    <w:rsid w:val="00C32C69"/>
    <w:rsid w:val="00C34B8B"/>
    <w:rsid w:val="00C415C6"/>
    <w:rsid w:val="00C56441"/>
    <w:rsid w:val="00C720B7"/>
    <w:rsid w:val="00C82039"/>
    <w:rsid w:val="00C83D02"/>
    <w:rsid w:val="00C87C34"/>
    <w:rsid w:val="00C907C3"/>
    <w:rsid w:val="00C925A2"/>
    <w:rsid w:val="00CB3A30"/>
    <w:rsid w:val="00CC691C"/>
    <w:rsid w:val="00CD124A"/>
    <w:rsid w:val="00CE5011"/>
    <w:rsid w:val="00CE506D"/>
    <w:rsid w:val="00CF2676"/>
    <w:rsid w:val="00CF68DB"/>
    <w:rsid w:val="00D23BD9"/>
    <w:rsid w:val="00D256A1"/>
    <w:rsid w:val="00D41522"/>
    <w:rsid w:val="00D62F2F"/>
    <w:rsid w:val="00D675E1"/>
    <w:rsid w:val="00D75DE3"/>
    <w:rsid w:val="00D93A0A"/>
    <w:rsid w:val="00DA114A"/>
    <w:rsid w:val="00DA6329"/>
    <w:rsid w:val="00DA7155"/>
    <w:rsid w:val="00DD3619"/>
    <w:rsid w:val="00DD3DB1"/>
    <w:rsid w:val="00DE43E7"/>
    <w:rsid w:val="00DE4AFE"/>
    <w:rsid w:val="00DF08DE"/>
    <w:rsid w:val="00E14721"/>
    <w:rsid w:val="00E31623"/>
    <w:rsid w:val="00E33FD5"/>
    <w:rsid w:val="00E34B24"/>
    <w:rsid w:val="00E35319"/>
    <w:rsid w:val="00E36BDC"/>
    <w:rsid w:val="00E6025A"/>
    <w:rsid w:val="00E60B42"/>
    <w:rsid w:val="00E616B4"/>
    <w:rsid w:val="00E658C5"/>
    <w:rsid w:val="00E717A2"/>
    <w:rsid w:val="00E955F8"/>
    <w:rsid w:val="00E9565D"/>
    <w:rsid w:val="00EA0754"/>
    <w:rsid w:val="00EA43F9"/>
    <w:rsid w:val="00EB3D13"/>
    <w:rsid w:val="00EB6ECB"/>
    <w:rsid w:val="00EC18BD"/>
    <w:rsid w:val="00EE3CAA"/>
    <w:rsid w:val="00EE56A3"/>
    <w:rsid w:val="00EF601B"/>
    <w:rsid w:val="00F177FD"/>
    <w:rsid w:val="00F20784"/>
    <w:rsid w:val="00F354AA"/>
    <w:rsid w:val="00F43207"/>
    <w:rsid w:val="00F447BE"/>
    <w:rsid w:val="00F45865"/>
    <w:rsid w:val="00F6260A"/>
    <w:rsid w:val="00F62848"/>
    <w:rsid w:val="00F65F2C"/>
    <w:rsid w:val="00F708D4"/>
    <w:rsid w:val="00F74D65"/>
    <w:rsid w:val="00FC0EE2"/>
    <w:rsid w:val="00FC4888"/>
    <w:rsid w:val="00FE398C"/>
    <w:rsid w:val="00FE475B"/>
    <w:rsid w:val="00FF6EF3"/>
    <w:rsid w:val="01596278"/>
    <w:rsid w:val="01FF05B0"/>
    <w:rsid w:val="031228B1"/>
    <w:rsid w:val="04847570"/>
    <w:rsid w:val="04E377CC"/>
    <w:rsid w:val="052C3019"/>
    <w:rsid w:val="068C24B3"/>
    <w:rsid w:val="083843C6"/>
    <w:rsid w:val="09391C29"/>
    <w:rsid w:val="0A2037DA"/>
    <w:rsid w:val="0A4800D1"/>
    <w:rsid w:val="0D0E115E"/>
    <w:rsid w:val="0D9C7FD3"/>
    <w:rsid w:val="0E283076"/>
    <w:rsid w:val="106D0FD1"/>
    <w:rsid w:val="141A61A0"/>
    <w:rsid w:val="14377D86"/>
    <w:rsid w:val="16374AF5"/>
    <w:rsid w:val="166158D1"/>
    <w:rsid w:val="167E55A7"/>
    <w:rsid w:val="16992E4F"/>
    <w:rsid w:val="175B482A"/>
    <w:rsid w:val="17834390"/>
    <w:rsid w:val="19961ECC"/>
    <w:rsid w:val="1A045DC3"/>
    <w:rsid w:val="1A4F2DB6"/>
    <w:rsid w:val="1AD46292"/>
    <w:rsid w:val="1B4A3CA9"/>
    <w:rsid w:val="1BA36EDB"/>
    <w:rsid w:val="1C4B37EB"/>
    <w:rsid w:val="1C4F0C9B"/>
    <w:rsid w:val="1CA73630"/>
    <w:rsid w:val="1DD27F86"/>
    <w:rsid w:val="1FE530CD"/>
    <w:rsid w:val="2039253E"/>
    <w:rsid w:val="20586E69"/>
    <w:rsid w:val="20B3145F"/>
    <w:rsid w:val="2347066D"/>
    <w:rsid w:val="234863C1"/>
    <w:rsid w:val="24A26144"/>
    <w:rsid w:val="25BC49F7"/>
    <w:rsid w:val="26412963"/>
    <w:rsid w:val="2681168E"/>
    <w:rsid w:val="27346F0F"/>
    <w:rsid w:val="28072F22"/>
    <w:rsid w:val="29142DC3"/>
    <w:rsid w:val="29366156"/>
    <w:rsid w:val="29C51C90"/>
    <w:rsid w:val="2A703C9F"/>
    <w:rsid w:val="2A891672"/>
    <w:rsid w:val="2ADC0D9C"/>
    <w:rsid w:val="2E8B127B"/>
    <w:rsid w:val="2FC0097E"/>
    <w:rsid w:val="348C0AE3"/>
    <w:rsid w:val="34E03158"/>
    <w:rsid w:val="352F0DFC"/>
    <w:rsid w:val="373C29F8"/>
    <w:rsid w:val="38704314"/>
    <w:rsid w:val="388F0522"/>
    <w:rsid w:val="3B7C3B77"/>
    <w:rsid w:val="3C4036DC"/>
    <w:rsid w:val="3C480CCC"/>
    <w:rsid w:val="3D3E2AEA"/>
    <w:rsid w:val="3E295549"/>
    <w:rsid w:val="3E4B7EE3"/>
    <w:rsid w:val="3FB337BE"/>
    <w:rsid w:val="41002B3C"/>
    <w:rsid w:val="41A83ACD"/>
    <w:rsid w:val="41DA4328"/>
    <w:rsid w:val="42BC6783"/>
    <w:rsid w:val="45A755F8"/>
    <w:rsid w:val="47B83B94"/>
    <w:rsid w:val="47BF266A"/>
    <w:rsid w:val="48B8199C"/>
    <w:rsid w:val="48F32361"/>
    <w:rsid w:val="494A0E00"/>
    <w:rsid w:val="4A105C51"/>
    <w:rsid w:val="4B150F65"/>
    <w:rsid w:val="4C495B2C"/>
    <w:rsid w:val="4CFF70C4"/>
    <w:rsid w:val="4F0330E5"/>
    <w:rsid w:val="522E2410"/>
    <w:rsid w:val="524D07B6"/>
    <w:rsid w:val="52E80BEB"/>
    <w:rsid w:val="53013630"/>
    <w:rsid w:val="55302C55"/>
    <w:rsid w:val="55B224FB"/>
    <w:rsid w:val="55F3031D"/>
    <w:rsid w:val="566764D8"/>
    <w:rsid w:val="576143E1"/>
    <w:rsid w:val="597B7BEF"/>
    <w:rsid w:val="59E560A9"/>
    <w:rsid w:val="5CB0647D"/>
    <w:rsid w:val="5D075BDA"/>
    <w:rsid w:val="5E6C2A09"/>
    <w:rsid w:val="60D97EB0"/>
    <w:rsid w:val="643D0718"/>
    <w:rsid w:val="65F25193"/>
    <w:rsid w:val="670009BB"/>
    <w:rsid w:val="67A9053E"/>
    <w:rsid w:val="68D93544"/>
    <w:rsid w:val="69B9159D"/>
    <w:rsid w:val="6B6A1AC4"/>
    <w:rsid w:val="6BC2686E"/>
    <w:rsid w:val="6C797180"/>
    <w:rsid w:val="6DE96BED"/>
    <w:rsid w:val="6F7D3A3E"/>
    <w:rsid w:val="6FEE49DF"/>
    <w:rsid w:val="72882D68"/>
    <w:rsid w:val="72CC459A"/>
    <w:rsid w:val="73652C13"/>
    <w:rsid w:val="783229AD"/>
    <w:rsid w:val="78620F7F"/>
    <w:rsid w:val="78E73CFD"/>
    <w:rsid w:val="7B406C9E"/>
    <w:rsid w:val="7E19249B"/>
    <w:rsid w:val="7EDB2E4F"/>
    <w:rsid w:val="7F421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kern w:val="0"/>
      <w:sz w:val="32"/>
      <w:szCs w:val="32"/>
    </w:rPr>
  </w:style>
  <w:style w:type="character" w:default="1" w:styleId="7">
    <w:name w:val="Default Paragraph Font"/>
    <w:unhideWhenUsed/>
    <w:qFormat/>
    <w:uiPriority w:val="1"/>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qFormat/>
    <w:uiPriority w:val="99"/>
    <w:rPr>
      <w:sz w:val="18"/>
      <w:szCs w:val="18"/>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6561</Words>
  <Characters>7488</Characters>
  <Lines>115</Lines>
  <Paragraphs>32</Paragraphs>
  <TotalTime>1</TotalTime>
  <ScaleCrop>false</ScaleCrop>
  <LinksUpToDate>false</LinksUpToDate>
  <CharactersWithSpaces>7587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2021-02-01T00:18:00Z</dcterms:created>
  <dc:creator>刘海</dc:creator>
  <cp:lastModifiedBy>Administrator</cp:lastModifiedBy>
  <cp:lastPrinted>2021-02-07T07:09:00Z</cp:lastPrinted>
  <dcterms:modified xsi:type="dcterms:W3CDTF">2022-08-02T01:52:19Z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464EB317A87D4B3590E1C95A7E7F5698</vt:lpwstr>
  </property>
</Properties>
</file>