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815F">
      <w:pPr>
        <w:pStyle w:val="5"/>
        <w:spacing w:before="54"/>
        <w:rPr>
          <w:rFonts w:hint="eastAsia" w:ascii="黑体" w:eastAsia="黑体"/>
          <w:lang w:eastAsia="zh-CN"/>
        </w:rPr>
      </w:pPr>
    </w:p>
    <w:p w14:paraId="16342B73">
      <w:pPr>
        <w:pStyle w:val="5"/>
        <w:spacing w:before="1"/>
        <w:rPr>
          <w:rFonts w:ascii="黑体"/>
          <w:sz w:val="60"/>
        </w:rPr>
      </w:pPr>
    </w:p>
    <w:p w14:paraId="25915589">
      <w:pPr>
        <w:pStyle w:val="5"/>
        <w:rPr>
          <w:rFonts w:ascii="PMingLiU"/>
          <w:sz w:val="52"/>
        </w:rPr>
      </w:pPr>
    </w:p>
    <w:p w14:paraId="27B26C4C">
      <w:pPr>
        <w:pStyle w:val="5"/>
        <w:spacing w:before="13"/>
        <w:rPr>
          <w:rFonts w:ascii="PMingLiU"/>
          <w:sz w:val="33"/>
        </w:rPr>
      </w:pPr>
    </w:p>
    <w:p w14:paraId="14A3150C">
      <w:pPr>
        <w:pStyle w:val="5"/>
        <w:spacing w:before="13"/>
        <w:rPr>
          <w:rFonts w:ascii="PMingLiU"/>
          <w:sz w:val="33"/>
        </w:rPr>
      </w:pPr>
    </w:p>
    <w:p w14:paraId="7F68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  <w:lang w:val="en-US" w:eastAsia="zh-CN"/>
        </w:rPr>
        <w:t>高标准农田建设</w:t>
      </w:r>
      <w:r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</w:rPr>
        <w:t>项目支出绩效评价</w:t>
      </w:r>
      <w:r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  <w:lang w:eastAsia="zh-CN"/>
        </w:rPr>
        <w:t>报告</w:t>
      </w:r>
    </w:p>
    <w:p w14:paraId="41B5E274">
      <w:pPr>
        <w:pStyle w:val="5"/>
        <w:jc w:val="center"/>
        <w:rPr>
          <w:rFonts w:ascii="PMingLiU"/>
          <w:sz w:val="52"/>
        </w:rPr>
      </w:pPr>
    </w:p>
    <w:p w14:paraId="40825D89">
      <w:pPr>
        <w:pStyle w:val="5"/>
        <w:rPr>
          <w:rFonts w:ascii="PMingLiU"/>
          <w:sz w:val="52"/>
        </w:rPr>
      </w:pPr>
    </w:p>
    <w:p w14:paraId="423DE73A">
      <w:pPr>
        <w:pStyle w:val="5"/>
        <w:rPr>
          <w:rFonts w:ascii="PMingLiU"/>
          <w:sz w:val="52"/>
        </w:rPr>
      </w:pPr>
    </w:p>
    <w:p w14:paraId="38E69326">
      <w:pPr>
        <w:pStyle w:val="5"/>
        <w:rPr>
          <w:rFonts w:ascii="PMingLiU"/>
          <w:sz w:val="52"/>
        </w:rPr>
      </w:pPr>
    </w:p>
    <w:p w14:paraId="46CAE58A">
      <w:pPr>
        <w:pStyle w:val="5"/>
        <w:rPr>
          <w:rFonts w:ascii="PMingLiU"/>
          <w:sz w:val="52"/>
        </w:rPr>
      </w:pPr>
    </w:p>
    <w:p w14:paraId="21594569">
      <w:pPr>
        <w:pStyle w:val="5"/>
        <w:rPr>
          <w:rFonts w:ascii="PMingLiU"/>
          <w:sz w:val="52"/>
        </w:rPr>
      </w:pPr>
    </w:p>
    <w:p w14:paraId="14690AA4">
      <w:pPr>
        <w:pStyle w:val="5"/>
        <w:rPr>
          <w:rFonts w:ascii="PMingLiU"/>
          <w:sz w:val="52"/>
        </w:rPr>
      </w:pPr>
    </w:p>
    <w:p w14:paraId="3A757A57">
      <w:pPr>
        <w:pStyle w:val="5"/>
        <w:spacing w:before="5"/>
        <w:rPr>
          <w:rFonts w:ascii="PMingLiU"/>
          <w:sz w:val="67"/>
        </w:rPr>
      </w:pPr>
    </w:p>
    <w:p w14:paraId="59238C78">
      <w:pPr>
        <w:pStyle w:val="5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32F0C8E1">
      <w:pPr>
        <w:pStyle w:val="5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6A9CE9B2">
      <w:pPr>
        <w:pStyle w:val="5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6816747E">
      <w:pPr>
        <w:pStyle w:val="5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13441345">
      <w:pPr>
        <w:pStyle w:val="5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2578F915">
      <w:pPr>
        <w:pStyle w:val="5"/>
        <w:ind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  <w:t>2025年4月</w:t>
      </w:r>
    </w:p>
    <w:p w14:paraId="3C7E6662">
      <w:pPr>
        <w:spacing w:after="0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58D7BCDA">
      <w:pPr>
        <w:pStyle w:val="5"/>
        <w:rPr>
          <w:rFonts w:ascii="楷体"/>
          <w:sz w:val="20"/>
        </w:rPr>
      </w:pPr>
    </w:p>
    <w:p w14:paraId="5838520D">
      <w:pPr>
        <w:pStyle w:val="5"/>
        <w:spacing w:before="10"/>
        <w:rPr>
          <w:rFonts w:ascii="楷体"/>
          <w:sz w:val="26"/>
        </w:rPr>
      </w:pPr>
    </w:p>
    <w:p w14:paraId="031B1A6C">
      <w:pPr>
        <w:pStyle w:val="3"/>
        <w:tabs>
          <w:tab w:val="left" w:pos="880"/>
        </w:tabs>
        <w:spacing w:before="59"/>
        <w:ind w:right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 w14:paraId="3BD426A6">
      <w:pPr>
        <w:pStyle w:val="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B11692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21"/>
          <w:szCs w:val="44"/>
          <w:lang w:val="en-US" w:eastAsia="zh-CN" w:bidi="ar-SA"/>
        </w:rPr>
      </w:sdtEndPr>
      <w:sdtContent>
        <w:p w14:paraId="5EAF62F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61E3D606">
          <w:pPr>
            <w:pStyle w:val="13"/>
            <w:tabs>
              <w:tab w:val="right" w:pos="2400"/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_Toc27223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91825E4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_Toc9794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09DCAA8A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_Toc7138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E7D903C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_Toc27472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2C2EE5E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_Toc9927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9C00213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_Toc1801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7FCB245">
          <w:pPr>
            <w:pStyle w:val="13"/>
            <w:tabs>
              <w:tab w:val="right" w:leader="dot" w:pos="9014"/>
            </w:tabs>
            <w:rPr>
              <w:rFonts w:hint="default" w:ascii="仿宋" w:hAnsi="仿宋" w:eastAsia="仿宋" w:cs="仿宋"/>
              <w:sz w:val="30"/>
              <w:szCs w:val="30"/>
              <w:lang w:val="en-US" w:eastAsia="zh-CN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</w:t>
          </w:r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t>.....................................4</w:t>
          </w:r>
        </w:p>
        <w:p w14:paraId="3B9438FC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2F6C674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_Toc7887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74CA6F4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_Toc30705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ECA95E0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_Toc27259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7A79C90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_Toc15627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E0EEE6D">
          <w:pPr>
            <w:tabs>
              <w:tab w:val="left" w:pos="880"/>
            </w:tabs>
            <w:spacing w:before="0"/>
            <w:ind w:left="0" w:right="2" w:firstLine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55AFDFD1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948BAE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0E3EE62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284D99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C4A644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AF2242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37D6C5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09FD4A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142DA2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2AA472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312EFC">
      <w:pPr>
        <w:tabs>
          <w:tab w:val="left" w:pos="880"/>
        </w:tabs>
        <w:spacing w:before="0"/>
        <w:ind w:left="0" w:right="2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A4EEE1">
      <w:pPr>
        <w:tabs>
          <w:tab w:val="left" w:pos="880"/>
        </w:tabs>
        <w:spacing w:before="0"/>
        <w:ind w:left="0" w:right="2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 w14:paraId="0AE11E7E">
      <w:pPr>
        <w:tabs>
          <w:tab w:val="left" w:pos="880"/>
        </w:tabs>
        <w:spacing w:before="0"/>
        <w:ind w:left="0" w:right="2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58F11D2">
      <w:pPr>
        <w:pStyle w:val="8"/>
        <w:spacing w:line="600" w:lineRule="exact"/>
        <w:ind w:firstLine="620" w:firstLineChars="199"/>
        <w:jc w:val="both"/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2024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年度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高标准农田建设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专项资金绩效评价，制定了评价报告。</w:t>
      </w:r>
    </w:p>
    <w:p w14:paraId="2902F1A9">
      <w:pPr>
        <w:spacing w:after="0" w:line="480" w:lineRule="auto"/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793DFDEF">
      <w:pPr>
        <w:pStyle w:val="5"/>
        <w:spacing w:before="4"/>
        <w:rPr>
          <w:sz w:val="19"/>
        </w:rPr>
      </w:pPr>
    </w:p>
    <w:p w14:paraId="2472D123">
      <w:pPr>
        <w:pStyle w:val="3"/>
        <w:spacing w:before="58"/>
        <w:ind w:right="5"/>
        <w:rPr>
          <w:rFonts w:ascii="PMingLiU"/>
          <w:sz w:val="44"/>
        </w:rPr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 w14:paraId="540ABF3C">
      <w:pPr>
        <w:pStyle w:val="5"/>
        <w:ind w:left="751"/>
        <w:outlineLvl w:val="0"/>
        <w:rPr>
          <w:rFonts w:hint="eastAsia" w:ascii="黑体" w:eastAsia="黑体"/>
        </w:rPr>
      </w:pPr>
      <w:bookmarkStart w:id="1" w:name="_Toc9794"/>
      <w:r>
        <w:rPr>
          <w:rFonts w:hint="eastAsia" w:ascii="黑体" w:eastAsia="黑体"/>
        </w:rPr>
        <w:t>一、项目基本情况</w:t>
      </w:r>
      <w:bookmarkEnd w:id="1"/>
    </w:p>
    <w:p w14:paraId="68FA567D">
      <w:pPr>
        <w:pStyle w:val="8"/>
        <w:spacing w:line="600" w:lineRule="exact"/>
        <w:ind w:firstLine="620" w:firstLineChars="199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一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）专项概况：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高标准农田建设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为安徽省民生工程之一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藏粮于地、藏粮于技，保障粮食安全的重要举措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，相山区大力建设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高标准农田，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发展现代农业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推进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乡村振兴，推动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相山区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“三农”高质量发展。</w:t>
      </w:r>
    </w:p>
    <w:p w14:paraId="63278F2E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）项目资金使用情况分析：20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高标准农田建设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主要用于高标准农田建设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项目的实施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。</w:t>
      </w:r>
    </w:p>
    <w:p w14:paraId="7D9641C3">
      <w:pPr>
        <w:pStyle w:val="8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有效提高区域内农田旱涝保收能力。</w:t>
      </w:r>
    </w:p>
    <w:p w14:paraId="2B9AF221">
      <w:pPr>
        <w:pStyle w:val="5"/>
        <w:spacing w:before="149"/>
        <w:ind w:left="751"/>
        <w:outlineLvl w:val="0"/>
        <w:rPr>
          <w:rFonts w:hint="eastAsia"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 w14:paraId="0FAA584D">
      <w:pPr>
        <w:pStyle w:val="5"/>
        <w:spacing w:before="149"/>
        <w:ind w:left="751"/>
      </w:pPr>
      <w:r>
        <w:t>（一）绩效评价目的、对象和范围。</w:t>
      </w:r>
    </w:p>
    <w:p w14:paraId="01D362D3">
      <w:pPr>
        <w:pStyle w:val="5"/>
        <w:spacing w:before="152" w:line="326" w:lineRule="auto"/>
        <w:ind w:left="106" w:right="106" w:firstLine="645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按照省农业农村厅《关于下达2024年度中央财政补助资金支持的农田建设任务的通知》（皖农建[2024]57号）文件要求，相山区2024年高标准农田建设改造提升建设任务为0.8万亩（含0.77万亩农田建设补助资金项目、0.03万亩新型民营主体项目）。项目涉及渠沟镇张集村、张楼楼村两个个行政村。项目主要建设内容为：新打机井21眼，修复机井123眼，配套玻璃钢井房107眼；疏浚清淤中小沟0.265公里，生态衬砌排水沟0.31公里；新建涵管桥39座，新建板桥6座；新建田间道路12.176公里（其中3.5米宽混凝土道路0.78公里，4米宽混凝土道路14.91公里。）新建农田林网4.662公里（栽植榉树1554棵）；建设以节水灌溉为主体的智慧农业300亩；重新架设低压输电线路21.338公里、新建高压线长度7.814公里、新建变压器18台；土壤改良8000亩，计划新增耕地0.68亩等。</w:t>
      </w:r>
    </w:p>
    <w:p w14:paraId="1C3976E7">
      <w:pPr>
        <w:pStyle w:val="5"/>
        <w:spacing w:before="152" w:line="326" w:lineRule="auto"/>
        <w:ind w:left="106" w:right="106" w:firstLine="645"/>
        <w:rPr>
          <w:spacing w:val="-2"/>
        </w:rPr>
      </w:pP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</w:t>
      </w:r>
      <w:r>
        <w:t>（附表说明</w:t>
      </w:r>
      <w:r>
        <w:rPr>
          <w:spacing w:val="-159"/>
        </w:rPr>
        <w:t>）</w:t>
      </w:r>
      <w:r>
        <w:rPr>
          <w:spacing w:val="-2"/>
        </w:rPr>
        <w:t>、评价方法、评价标准等。</w:t>
      </w:r>
    </w:p>
    <w:p w14:paraId="1533C19A">
      <w:pPr>
        <w:pStyle w:val="8"/>
        <w:spacing w:line="600" w:lineRule="exact"/>
        <w:ind w:firstLine="628" w:firstLineChars="199"/>
        <w:jc w:val="both"/>
        <w:rPr>
          <w:rFonts w:hint="default" w:ascii="仿宋_GB2312" w:hAnsi="ˎ̥" w:eastAsia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我局对高标准农田建设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 w14:paraId="0FF70914">
      <w:pPr>
        <w:pStyle w:val="5"/>
        <w:spacing w:before="152" w:line="326" w:lineRule="auto"/>
        <w:ind w:left="106" w:right="106" w:firstLine="645"/>
        <w:rPr>
          <w:spacing w:val="-2"/>
        </w:rPr>
      </w:pPr>
    </w:p>
    <w:p w14:paraId="70586678">
      <w:pPr>
        <w:pStyle w:val="5"/>
        <w:numPr>
          <w:ilvl w:val="0"/>
          <w:numId w:val="1"/>
        </w:numPr>
        <w:spacing w:before="3"/>
        <w:ind w:left="751" w:leftChars="0" w:firstLine="0" w:firstLineChars="0"/>
      </w:pPr>
      <w:r>
        <w:t>绩效评价工作过程。</w:t>
      </w:r>
    </w:p>
    <w:p w14:paraId="20FE2E55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69EB9AE5">
      <w:pPr>
        <w:pStyle w:val="8"/>
        <w:spacing w:line="600" w:lineRule="exact"/>
        <w:ind w:firstLine="628" w:firstLineChars="199"/>
        <w:jc w:val="both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</w:p>
    <w:p w14:paraId="2C19394E">
      <w:pPr>
        <w:pStyle w:val="5"/>
        <w:numPr>
          <w:ilvl w:val="0"/>
          <w:numId w:val="0"/>
        </w:numPr>
        <w:spacing w:before="3"/>
        <w:ind w:left="751" w:leftChars="0"/>
      </w:pPr>
    </w:p>
    <w:p w14:paraId="305E55CE">
      <w:pPr>
        <w:pStyle w:val="5"/>
        <w:numPr>
          <w:ilvl w:val="0"/>
          <w:numId w:val="2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r>
        <w:t>（附相关评分表）</w:t>
      </w:r>
      <w:bookmarkEnd w:id="3"/>
    </w:p>
    <w:p w14:paraId="64794A3A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专项立项依据充分，资金管理办法规范，制订了资金管理办法。</w:t>
      </w:r>
    </w:p>
    <w:p w14:paraId="0A98D075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资金分配合理，能够突出重点，公平公正，无散小差现象，资金分配使用符合资金管理办法。</w:t>
      </w:r>
    </w:p>
    <w:p w14:paraId="6735FFAA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拨付及时，无滞留、闲置现象。</w:t>
      </w:r>
    </w:p>
    <w:p w14:paraId="341A7744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资金使用合理，无截留、挪用现象，资金使用产生了预期效益。</w:t>
      </w:r>
    </w:p>
    <w:p w14:paraId="5146BDF5">
      <w:pPr>
        <w:pStyle w:val="5"/>
        <w:numPr>
          <w:ilvl w:val="0"/>
          <w:numId w:val="0"/>
        </w:numPr>
        <w:spacing w:before="151" w:line="326" w:lineRule="auto"/>
        <w:ind w:right="1534" w:rightChars="0"/>
        <w:outlineLvl w:val="0"/>
      </w:pPr>
    </w:p>
    <w:p w14:paraId="7D3DB774">
      <w:pPr>
        <w:pStyle w:val="5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r>
        <w:t>（可附表进行分析）</w:t>
      </w:r>
      <w:bookmarkEnd w:id="4"/>
    </w:p>
    <w:p w14:paraId="7B48B572">
      <w:pPr>
        <w:pStyle w:val="5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 w14:paraId="0D95A210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项目立项依据充分、决策过程根据相关制度制定，符合资金管理办法。</w:t>
      </w:r>
    </w:p>
    <w:p w14:paraId="45F4454A">
      <w:pPr>
        <w:pStyle w:val="5"/>
        <w:numPr>
          <w:ilvl w:val="0"/>
          <w:numId w:val="3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 w14:paraId="76BA5426">
      <w:pPr>
        <w:pStyle w:val="5"/>
        <w:numPr>
          <w:ilvl w:val="0"/>
          <w:numId w:val="0"/>
        </w:numPr>
        <w:spacing w:before="151"/>
        <w:ind w:left="304" w:hanging="304" w:hangingChars="10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项目执行过程中，资金拨付及时，重大变更严格按照资金管理办法执行。</w:t>
      </w:r>
    </w:p>
    <w:p w14:paraId="124577B8">
      <w:pPr>
        <w:pStyle w:val="5"/>
        <w:numPr>
          <w:ilvl w:val="0"/>
          <w:numId w:val="3"/>
        </w:numPr>
        <w:spacing w:before="149"/>
        <w:ind w:left="751" w:leftChars="0" w:firstLine="0" w:firstLineChars="0"/>
        <w:rPr>
          <w:w w:val="95"/>
        </w:rPr>
      </w:pPr>
      <w:r>
        <w:rPr>
          <w:w w:val="95"/>
        </w:rPr>
        <w:t>项目产出情况。</w:t>
      </w:r>
    </w:p>
    <w:p w14:paraId="54C19023">
      <w:pPr>
        <w:pStyle w:val="5"/>
        <w:numPr>
          <w:ilvl w:val="0"/>
          <w:numId w:val="0"/>
        </w:numPr>
        <w:spacing w:before="149"/>
        <w:ind w:left="751" w:leftChars="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项目产出情况达到预期。</w:t>
      </w:r>
    </w:p>
    <w:p w14:paraId="1FBBAA06">
      <w:pPr>
        <w:pStyle w:val="5"/>
        <w:numPr>
          <w:ilvl w:val="0"/>
          <w:numId w:val="3"/>
        </w:numPr>
        <w:spacing w:before="150"/>
        <w:ind w:left="751" w:leftChars="0" w:firstLine="0" w:firstLineChars="0"/>
        <w:rPr>
          <w:w w:val="95"/>
        </w:rPr>
      </w:pPr>
      <w:r>
        <w:rPr>
          <w:w w:val="95"/>
        </w:rPr>
        <w:t>项目效益情况。</w:t>
      </w:r>
    </w:p>
    <w:p w14:paraId="0CF91514">
      <w:pPr>
        <w:pStyle w:val="5"/>
        <w:numPr>
          <w:ilvl w:val="0"/>
          <w:numId w:val="0"/>
        </w:numPr>
        <w:spacing w:before="150"/>
        <w:ind w:left="751" w:leftChars="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项目效益情况达到预期。</w:t>
      </w:r>
    </w:p>
    <w:p w14:paraId="312BBFF3">
      <w:pPr>
        <w:pStyle w:val="5"/>
        <w:numPr>
          <w:ilvl w:val="0"/>
          <w:numId w:val="2"/>
        </w:numPr>
        <w:spacing w:before="151"/>
        <w:ind w:left="751" w:leftChars="0" w:firstLine="0" w:firstLineChars="0"/>
        <w:outlineLvl w:val="0"/>
        <w:rPr>
          <w:rFonts w:hint="eastAsia"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 w14:paraId="3A4FFDD9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 w14:paraId="4C05AD85">
      <w:pPr>
        <w:pStyle w:val="5"/>
        <w:numPr>
          <w:ilvl w:val="0"/>
          <w:numId w:val="2"/>
        </w:numPr>
        <w:spacing w:before="149" w:line="326" w:lineRule="auto"/>
        <w:ind w:left="751" w:leftChars="0" w:right="4733" w:firstLine="0" w:firstLineChars="0"/>
        <w:outlineLvl w:val="0"/>
        <w:rPr>
          <w:rFonts w:hint="eastAsia"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 w14:paraId="66B203EF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1681B42E">
      <w:pPr>
        <w:pStyle w:val="5"/>
        <w:numPr>
          <w:ilvl w:val="0"/>
          <w:numId w:val="0"/>
        </w:numPr>
        <w:spacing w:before="149" w:line="326" w:lineRule="auto"/>
        <w:ind w:left="751" w:leftChars="0" w:right="4733" w:rightChars="0"/>
        <w:outlineLvl w:val="0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六</w:t>
      </w:r>
      <w:r>
        <w:rPr>
          <w:rFonts w:hint="eastAsia" w:ascii="黑体" w:eastAsia="黑体"/>
        </w:rPr>
        <w:t>、有关建议</w:t>
      </w:r>
      <w:bookmarkEnd w:id="6"/>
    </w:p>
    <w:p w14:paraId="51517ED7">
      <w:pPr>
        <w:pStyle w:val="5"/>
        <w:spacing w:before="6" w:line="326" w:lineRule="auto"/>
        <w:ind w:left="106" w:right="109" w:firstLine="645"/>
        <w:jc w:val="both"/>
        <w:rPr>
          <w:rFonts w:hint="eastAsia" w:eastAsia="仿宋_GB2312"/>
          <w:spacing w:val="4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</w:p>
    <w:p w14:paraId="06FE0DA8">
      <w:pPr>
        <w:pStyle w:val="5"/>
        <w:numPr>
          <w:ilvl w:val="0"/>
          <w:numId w:val="0"/>
        </w:numPr>
        <w:spacing w:before="149" w:line="326" w:lineRule="auto"/>
        <w:ind w:left="751" w:leftChars="0" w:right="4733" w:rightChars="0"/>
        <w:outlineLvl w:val="0"/>
        <w:rPr>
          <w:rFonts w:hint="eastAsia" w:ascii="黑体" w:eastAsia="黑体"/>
          <w:lang w:val="en-US" w:eastAsia="zh-CN"/>
        </w:rPr>
      </w:pPr>
      <w:bookmarkStart w:id="7" w:name="_Toc7887"/>
      <w:r>
        <w:rPr>
          <w:rFonts w:hint="eastAsia" w:ascii="黑体" w:eastAsia="黑体"/>
          <w:lang w:val="en-US" w:eastAsia="zh-CN"/>
        </w:rPr>
        <w:t>七、其他需要说明的问题</w:t>
      </w:r>
      <w:bookmarkEnd w:id="7"/>
    </w:p>
    <w:p w14:paraId="318D7D65">
      <w:pPr>
        <w:pStyle w:val="5"/>
        <w:spacing w:before="6" w:line="326" w:lineRule="auto"/>
        <w:ind w:left="106" w:right="109" w:firstLine="645"/>
        <w:jc w:val="both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无</w:t>
      </w:r>
    </w:p>
    <w:p w14:paraId="15CC0D1C">
      <w:pPr>
        <w:pStyle w:val="5"/>
        <w:spacing w:before="6"/>
        <w:rPr>
          <w:rFonts w:ascii="黑体"/>
          <w:sz w:val="23"/>
        </w:rPr>
      </w:pPr>
    </w:p>
    <w:p w14:paraId="0551C6A0">
      <w:pPr>
        <w:pStyle w:val="5"/>
        <w:spacing w:before="1"/>
        <w:ind w:left="751"/>
        <w:outlineLvl w:val="0"/>
        <w:rPr>
          <w:sz w:val="32"/>
        </w:rPr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 w:eastAsia="zh-CN"/>
        </w:rPr>
        <w:t>1.</w:t>
      </w:r>
      <w:r>
        <w:rPr>
          <w:sz w:val="32"/>
        </w:rPr>
        <w:t>项目绩效目标完成清单（</w:t>
      </w:r>
      <w:r>
        <w:rPr>
          <w:spacing w:val="-23"/>
          <w:sz w:val="32"/>
        </w:rPr>
        <w:t xml:space="preserve">见附表 </w:t>
      </w:r>
      <w:r>
        <w:rPr>
          <w:sz w:val="32"/>
        </w:rPr>
        <w:t>1）</w:t>
      </w:r>
      <w:bookmarkEnd w:id="8"/>
    </w:p>
    <w:p w14:paraId="5184C8DC">
      <w:pPr>
        <w:pStyle w:val="11"/>
        <w:numPr>
          <w:ilvl w:val="1"/>
          <w:numId w:val="4"/>
        </w:numPr>
        <w:tabs>
          <w:tab w:val="left" w:pos="1715"/>
        </w:tabs>
        <w:spacing w:before="149" w:after="0" w:line="240" w:lineRule="auto"/>
        <w:ind w:left="1714" w:right="0" w:hanging="323"/>
        <w:jc w:val="left"/>
        <w:rPr>
          <w:sz w:val="32"/>
        </w:rPr>
      </w:pP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sz w:val="32"/>
        </w:rPr>
        <w:t>2）</w:t>
      </w:r>
    </w:p>
    <w:p w14:paraId="52F4D706">
      <w:pPr>
        <w:pStyle w:val="11"/>
        <w:numPr>
          <w:ilvl w:val="1"/>
          <w:numId w:val="4"/>
        </w:numPr>
        <w:tabs>
          <w:tab w:val="left" w:pos="1715"/>
        </w:tabs>
        <w:spacing w:before="152" w:after="0" w:line="240" w:lineRule="auto"/>
        <w:ind w:left="1714" w:right="0" w:hanging="323"/>
        <w:jc w:val="left"/>
        <w:rPr>
          <w:sz w:val="32"/>
        </w:rPr>
      </w:pP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sz w:val="32"/>
        </w:rPr>
        <w:t>3）</w:t>
      </w:r>
    </w:p>
    <w:p w14:paraId="5C9CC36F">
      <w:pPr>
        <w:spacing w:after="0" w:line="240" w:lineRule="auto"/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39FBD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 w:right="0" w:firstLine="0"/>
        <w:jc w:val="left"/>
        <w:textAlignment w:val="auto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附表1</w:t>
      </w:r>
      <w:bookmarkEnd w:id="10"/>
    </w:p>
    <w:p w14:paraId="7FA9D25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eastAsia" w:ascii="黑体" w:hAnsi="黑体" w:eastAsia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  <w:rtlGutter w:val="0"/>
          <w:docGrid w:linePitch="0" w:charSpace="0"/>
        </w:sectPr>
      </w:pPr>
      <w:r>
        <w:rPr>
          <w:rFonts w:hint="eastAsia" w:ascii="黑体" w:hAnsi="黑体" w:eastAsia="黑体" w:cs="黑体"/>
        </w:rPr>
        <w:t>项目绩效目标完成清单</w:t>
      </w:r>
    </w:p>
    <w:p w14:paraId="12CF7A22">
      <w:pPr>
        <w:pStyle w:val="5"/>
        <w:spacing w:before="5"/>
        <w:rPr>
          <w:rFonts w:ascii="宋体"/>
          <w:b/>
          <w:sz w:val="15"/>
        </w:rPr>
      </w:pPr>
    </w:p>
    <w:tbl>
      <w:tblPr>
        <w:tblStyle w:val="9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7378F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8" w:type="dxa"/>
          </w:tcPr>
          <w:p w14:paraId="31FED69C">
            <w:pPr>
              <w:pStyle w:val="12"/>
              <w:spacing w:before="6"/>
              <w:rPr>
                <w:b/>
                <w:sz w:val="20"/>
              </w:rPr>
            </w:pPr>
          </w:p>
          <w:p w14:paraId="0EBFDE3E">
            <w:pPr>
              <w:pStyle w:val="12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 w14:paraId="6496546F">
            <w:pPr>
              <w:pStyle w:val="12"/>
              <w:spacing w:before="6"/>
              <w:rPr>
                <w:b/>
                <w:sz w:val="20"/>
              </w:rPr>
            </w:pPr>
          </w:p>
          <w:p w14:paraId="57203CCC">
            <w:pPr>
              <w:pStyle w:val="12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 w14:paraId="41376A2E">
            <w:pPr>
              <w:pStyle w:val="12"/>
              <w:spacing w:before="6"/>
              <w:rPr>
                <w:b/>
                <w:sz w:val="20"/>
              </w:rPr>
            </w:pPr>
          </w:p>
          <w:p w14:paraId="1EA70BBE">
            <w:pPr>
              <w:pStyle w:val="12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 w14:paraId="5B5DBCAE">
            <w:pPr>
              <w:pStyle w:val="12"/>
              <w:spacing w:before="6"/>
              <w:rPr>
                <w:b/>
                <w:sz w:val="20"/>
              </w:rPr>
            </w:pPr>
          </w:p>
          <w:p w14:paraId="74F82DC0">
            <w:pPr>
              <w:pStyle w:val="1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717DA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 w14:paraId="2F38A722">
            <w:pPr>
              <w:pStyle w:val="12"/>
              <w:rPr>
                <w:b/>
                <w:sz w:val="18"/>
              </w:rPr>
            </w:pPr>
          </w:p>
          <w:p w14:paraId="19C0F2EF">
            <w:pPr>
              <w:pStyle w:val="12"/>
              <w:spacing w:before="1"/>
              <w:rPr>
                <w:b/>
                <w:sz w:val="20"/>
              </w:rPr>
            </w:pPr>
          </w:p>
          <w:p w14:paraId="02EA96B3">
            <w:pPr>
              <w:pStyle w:val="12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</w:tcPr>
          <w:p w14:paraId="11B4FF4E">
            <w:pPr>
              <w:pStyle w:val="12"/>
              <w:rPr>
                <w:b/>
                <w:sz w:val="18"/>
              </w:rPr>
            </w:pPr>
          </w:p>
          <w:p w14:paraId="6378E92A">
            <w:pPr>
              <w:pStyle w:val="12"/>
              <w:spacing w:before="1"/>
              <w:rPr>
                <w:b/>
                <w:sz w:val="20"/>
              </w:rPr>
            </w:pPr>
          </w:p>
          <w:p w14:paraId="22B1190E">
            <w:pPr>
              <w:pStyle w:val="12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有效提高区域内农田旱涝保收能力。</w:t>
            </w:r>
          </w:p>
        </w:tc>
        <w:tc>
          <w:tcPr>
            <w:tcW w:w="5625" w:type="dxa"/>
          </w:tcPr>
          <w:p w14:paraId="2C350467">
            <w:pPr>
              <w:pStyle w:val="12"/>
              <w:rPr>
                <w:b/>
                <w:sz w:val="18"/>
              </w:rPr>
            </w:pPr>
          </w:p>
          <w:p w14:paraId="43F87DC8">
            <w:pPr>
              <w:pStyle w:val="12"/>
              <w:spacing w:before="1"/>
              <w:rPr>
                <w:b/>
                <w:sz w:val="20"/>
              </w:rPr>
            </w:pPr>
          </w:p>
          <w:p w14:paraId="5F39DCA2">
            <w:pPr>
              <w:pStyle w:val="12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有效提高区域内农田旱涝保收能力</w:t>
            </w:r>
          </w:p>
        </w:tc>
        <w:tc>
          <w:tcPr>
            <w:tcW w:w="1590" w:type="dxa"/>
          </w:tcPr>
          <w:p w14:paraId="4F374F1B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690D7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1F92B7B6">
            <w:pPr>
              <w:pStyle w:val="12"/>
              <w:spacing w:before="8"/>
              <w:rPr>
                <w:b/>
                <w:sz w:val="14"/>
              </w:rPr>
            </w:pPr>
          </w:p>
          <w:p w14:paraId="4D978B1B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</w:tcPr>
          <w:p w14:paraId="0BEC8F94">
            <w:pPr>
              <w:pStyle w:val="12"/>
              <w:spacing w:before="8"/>
              <w:rPr>
                <w:b/>
                <w:sz w:val="14"/>
              </w:rPr>
            </w:pPr>
          </w:p>
          <w:p w14:paraId="7BAC3A3D">
            <w:pPr>
              <w:pStyle w:val="12"/>
              <w:ind w:left="37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全区高标准农田比率显著提高。</w:t>
            </w:r>
          </w:p>
        </w:tc>
        <w:tc>
          <w:tcPr>
            <w:tcW w:w="5625" w:type="dxa"/>
            <w:vAlign w:val="top"/>
          </w:tcPr>
          <w:p w14:paraId="4AA68047">
            <w:pPr>
              <w:pStyle w:val="12"/>
              <w:spacing w:before="8"/>
              <w:rPr>
                <w:b/>
                <w:sz w:val="14"/>
              </w:rPr>
            </w:pPr>
          </w:p>
          <w:p w14:paraId="79D5ACB3">
            <w:pPr>
              <w:pStyle w:val="12"/>
              <w:ind w:left="37" w:leftChars="0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全区高标准农田比率显著提高。</w:t>
            </w:r>
          </w:p>
        </w:tc>
        <w:tc>
          <w:tcPr>
            <w:tcW w:w="1590" w:type="dxa"/>
          </w:tcPr>
          <w:p w14:paraId="38070BA4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40840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0549524A">
            <w:pPr>
              <w:pStyle w:val="12"/>
              <w:spacing w:before="8"/>
              <w:jc w:val="center"/>
              <w:rPr>
                <w:rFonts w:hint="eastAsia"/>
                <w:b/>
                <w:sz w:val="14"/>
                <w:lang w:val="en-US" w:eastAsia="zh-CN"/>
              </w:rPr>
            </w:pPr>
          </w:p>
          <w:p w14:paraId="41679DD9">
            <w:pPr>
              <w:pStyle w:val="12"/>
              <w:spacing w:before="8"/>
              <w:jc w:val="center"/>
              <w:rPr>
                <w:rFonts w:hint="eastAsia"/>
                <w:b/>
                <w:sz w:val="14"/>
                <w:lang w:val="en-US" w:eastAsia="zh-CN"/>
              </w:rPr>
            </w:pPr>
            <w:r>
              <w:rPr>
                <w:rFonts w:hint="eastAsia"/>
                <w:b/>
                <w:sz w:val="14"/>
                <w:lang w:val="en-US" w:eastAsia="zh-CN"/>
              </w:rPr>
              <w:t>2</w:t>
            </w:r>
          </w:p>
        </w:tc>
        <w:tc>
          <w:tcPr>
            <w:tcW w:w="5262" w:type="dxa"/>
            <w:vAlign w:val="center"/>
          </w:tcPr>
          <w:p w14:paraId="654189C9">
            <w:pPr>
              <w:pStyle w:val="12"/>
              <w:spacing w:before="8"/>
              <w:jc w:val="both"/>
              <w:rPr>
                <w:rFonts w:hint="eastAsia"/>
                <w:b/>
                <w:sz w:val="1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高标准农田建设相关工作完成率达到100%。</w:t>
            </w:r>
          </w:p>
        </w:tc>
        <w:tc>
          <w:tcPr>
            <w:tcW w:w="5625" w:type="dxa"/>
            <w:vAlign w:val="center"/>
          </w:tcPr>
          <w:p w14:paraId="73D7824B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高标准农田建设相关工作完成率达到100%。</w:t>
            </w:r>
          </w:p>
        </w:tc>
        <w:tc>
          <w:tcPr>
            <w:tcW w:w="1590" w:type="dxa"/>
          </w:tcPr>
          <w:p w14:paraId="2967813B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3F218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 w14:paraId="10C58138">
            <w:pPr>
              <w:pStyle w:val="12"/>
              <w:rPr>
                <w:b/>
                <w:sz w:val="18"/>
              </w:rPr>
            </w:pPr>
          </w:p>
          <w:p w14:paraId="32DA909B">
            <w:pPr>
              <w:pStyle w:val="12"/>
              <w:rPr>
                <w:b/>
                <w:sz w:val="20"/>
              </w:rPr>
            </w:pPr>
          </w:p>
          <w:p w14:paraId="51B61562">
            <w:pPr>
              <w:pStyle w:val="12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</w:tcPr>
          <w:p w14:paraId="3096C533">
            <w:pPr>
              <w:pStyle w:val="12"/>
              <w:rPr>
                <w:b/>
                <w:sz w:val="18"/>
              </w:rPr>
            </w:pPr>
          </w:p>
          <w:p w14:paraId="2466A893">
            <w:pPr>
              <w:pStyle w:val="12"/>
              <w:rPr>
                <w:b/>
                <w:sz w:val="20"/>
              </w:rPr>
            </w:pPr>
          </w:p>
          <w:p w14:paraId="571306C6">
            <w:pPr>
              <w:pStyle w:val="12"/>
              <w:spacing w:before="1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有效提高区域内农田旱涝保收能力。</w:t>
            </w:r>
          </w:p>
        </w:tc>
        <w:tc>
          <w:tcPr>
            <w:tcW w:w="5625" w:type="dxa"/>
          </w:tcPr>
          <w:p w14:paraId="01A84AD8">
            <w:pPr>
              <w:pStyle w:val="12"/>
              <w:rPr>
                <w:b/>
                <w:sz w:val="18"/>
              </w:rPr>
            </w:pPr>
          </w:p>
          <w:p w14:paraId="1CA78F6A">
            <w:pPr>
              <w:pStyle w:val="12"/>
              <w:rPr>
                <w:b/>
                <w:sz w:val="20"/>
              </w:rPr>
            </w:pPr>
          </w:p>
          <w:p w14:paraId="603B321B">
            <w:pPr>
              <w:pStyle w:val="12"/>
              <w:spacing w:before="1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有效提高区域内农田旱涝保收能力。</w:t>
            </w:r>
          </w:p>
        </w:tc>
        <w:tc>
          <w:tcPr>
            <w:tcW w:w="1590" w:type="dxa"/>
          </w:tcPr>
          <w:p w14:paraId="079CE749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61D959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2597DE41">
            <w:pPr>
              <w:pStyle w:val="12"/>
              <w:spacing w:before="8"/>
              <w:rPr>
                <w:b/>
                <w:sz w:val="14"/>
              </w:rPr>
            </w:pPr>
          </w:p>
          <w:p w14:paraId="7663E177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top"/>
          </w:tcPr>
          <w:p w14:paraId="067A6E83">
            <w:pPr>
              <w:pStyle w:val="12"/>
              <w:spacing w:before="8"/>
              <w:rPr>
                <w:b/>
                <w:sz w:val="14"/>
              </w:rPr>
            </w:pPr>
          </w:p>
          <w:p w14:paraId="0ADF4236">
            <w:pPr>
              <w:pStyle w:val="12"/>
              <w:ind w:left="37" w:leftChars="0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全区高标准农田比率显著提高。</w:t>
            </w:r>
          </w:p>
        </w:tc>
        <w:tc>
          <w:tcPr>
            <w:tcW w:w="5625" w:type="dxa"/>
            <w:vAlign w:val="top"/>
          </w:tcPr>
          <w:p w14:paraId="3C7AB80B">
            <w:pPr>
              <w:pStyle w:val="12"/>
              <w:spacing w:before="8"/>
              <w:rPr>
                <w:b/>
                <w:sz w:val="14"/>
              </w:rPr>
            </w:pPr>
          </w:p>
          <w:p w14:paraId="5DBB091A">
            <w:pPr>
              <w:pStyle w:val="12"/>
              <w:ind w:left="37" w:leftChars="0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全区高标准农田比率显著提高。</w:t>
            </w:r>
          </w:p>
        </w:tc>
        <w:tc>
          <w:tcPr>
            <w:tcW w:w="1590" w:type="dxa"/>
          </w:tcPr>
          <w:p w14:paraId="2CEBDB3A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6D37A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187AE723">
            <w:pPr>
              <w:pStyle w:val="12"/>
              <w:spacing w:before="8"/>
              <w:jc w:val="center"/>
              <w:rPr>
                <w:b/>
                <w:sz w:val="14"/>
              </w:rPr>
            </w:pPr>
          </w:p>
          <w:p w14:paraId="2B703682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vAlign w:val="center"/>
          </w:tcPr>
          <w:p w14:paraId="5204A7BC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高标准农田建设相关工作完成率达到100%。</w:t>
            </w:r>
          </w:p>
        </w:tc>
        <w:tc>
          <w:tcPr>
            <w:tcW w:w="5625" w:type="dxa"/>
            <w:vAlign w:val="center"/>
          </w:tcPr>
          <w:p w14:paraId="15148021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高标准农田建设相关工作完成率达到100%。</w:t>
            </w:r>
          </w:p>
        </w:tc>
        <w:tc>
          <w:tcPr>
            <w:tcW w:w="1590" w:type="dxa"/>
          </w:tcPr>
          <w:p w14:paraId="25B455B5">
            <w:pPr>
              <w:pStyle w:val="12"/>
              <w:rPr>
                <w:rFonts w:ascii="Times New Roman"/>
                <w:sz w:val="18"/>
              </w:rPr>
            </w:pPr>
          </w:p>
        </w:tc>
      </w:tr>
    </w:tbl>
    <w:p w14:paraId="379D880F">
      <w:pPr>
        <w:spacing w:after="0"/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  <w:rtlGutter w:val="0"/>
          <w:docGrid w:linePitch="0" w:charSpace="0"/>
        </w:sectPr>
      </w:pPr>
    </w:p>
    <w:p w14:paraId="5F940566">
      <w:pPr>
        <w:spacing w:before="40"/>
        <w:ind w:left="178" w:right="0" w:firstLine="0"/>
        <w:jc w:val="left"/>
        <w:outlineLvl w:val="0"/>
        <w:rPr>
          <w:rFonts w:hint="eastAsia"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附表2</w:t>
      </w:r>
      <w:bookmarkEnd w:id="11"/>
    </w:p>
    <w:p w14:paraId="1A2B1237">
      <w:pPr>
        <w:pStyle w:val="5"/>
        <w:spacing w:before="3"/>
        <w:jc w:val="center"/>
        <w:rPr>
          <w:rFonts w:hint="eastAsia" w:ascii="黑体" w:hAnsi="黑体" w:eastAsia="黑体" w:cs="黑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</w:rPr>
        <w:t>项目绩效评价问题清</w:t>
      </w:r>
      <w:r>
        <w:rPr>
          <w:rFonts w:hint="eastAsia" w:ascii="黑体" w:hAnsi="黑体" w:eastAsia="黑体" w:cs="黑体"/>
          <w:b/>
          <w:bCs/>
          <w:lang w:eastAsia="zh-CN"/>
        </w:rPr>
        <w:t>单</w:t>
      </w:r>
    </w:p>
    <w:tbl>
      <w:tblPr>
        <w:tblStyle w:val="9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 w14:paraId="17B69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 w14:paraId="2E8EF22C">
            <w:pPr>
              <w:pStyle w:val="12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 w14:paraId="28B553D8">
            <w:pPr>
              <w:pStyle w:val="12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 w14:paraId="56DE7255">
            <w:pPr>
              <w:pStyle w:val="12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 w14:paraId="3957D255">
            <w:pPr>
              <w:pStyle w:val="12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 w14:paraId="42E75673">
            <w:pPr>
              <w:pStyle w:val="12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 w14:paraId="49F1C86B">
            <w:pPr>
              <w:pStyle w:val="12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511AA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 w14:paraId="0E614E4D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 w14:paraId="418D7D5A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79E8C00D">
            <w:pPr>
              <w:pStyle w:val="12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</w:tcPr>
          <w:p w14:paraId="7BDDFF25">
            <w:pPr>
              <w:pStyle w:val="12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7B0B353B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548EAD2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2003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1A2BBD6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eastAsia="zh-CN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 w14:paraId="6C46A938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188107E9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6F472E74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7DF1C0D3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1D1788E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01B5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7ADD02FD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A85D46D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2C75405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B6D0B0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A91A6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D936563">
            <w:pPr>
              <w:rPr>
                <w:sz w:val="2"/>
                <w:szCs w:val="2"/>
              </w:rPr>
            </w:pPr>
          </w:p>
        </w:tc>
      </w:tr>
      <w:tr w14:paraId="5F339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 w14:paraId="4A44A905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978149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CFF6D93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6663508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2D7088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6CEC91E">
            <w:pPr>
              <w:rPr>
                <w:sz w:val="2"/>
                <w:szCs w:val="2"/>
              </w:rPr>
            </w:pPr>
          </w:p>
        </w:tc>
      </w:tr>
      <w:tr w14:paraId="3784B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4177B3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 w14:paraId="0A63A23A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014BEF24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479F0BB3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3F8EF21F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4C7A8C4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FB12A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BF4FE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 w14:paraId="2F15F76E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0D83975B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5BABDCE8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25D61EDE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73952E6F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8F58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1AEED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7DFA036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BD3F55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1DAA32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2142BB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01364C8">
            <w:pPr>
              <w:rPr>
                <w:sz w:val="2"/>
                <w:szCs w:val="2"/>
              </w:rPr>
            </w:pPr>
          </w:p>
        </w:tc>
      </w:tr>
      <w:tr w14:paraId="7920A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 w14:paraId="5704E6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77EF2A31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5EFB281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95AD6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79672B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FF706E1">
            <w:pPr>
              <w:rPr>
                <w:sz w:val="2"/>
                <w:szCs w:val="2"/>
              </w:rPr>
            </w:pPr>
          </w:p>
        </w:tc>
      </w:tr>
      <w:tr w14:paraId="5AE12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32A3AD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 w14:paraId="70887027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0E9B9563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39E24A82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1027100B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7978CC3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170B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35137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 w14:paraId="22FCD762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67EB3227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71A0C061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52DBFC80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18400E3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2137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970D7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62CED2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1D070C5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6B73904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6CFFB0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318C667E">
            <w:pPr>
              <w:rPr>
                <w:sz w:val="2"/>
                <w:szCs w:val="2"/>
              </w:rPr>
            </w:pPr>
          </w:p>
        </w:tc>
      </w:tr>
      <w:tr w14:paraId="4F1D3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 w14:paraId="4AE847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0D58D92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834626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0440B6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C73199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0A18E2D">
            <w:pPr>
              <w:rPr>
                <w:sz w:val="2"/>
                <w:szCs w:val="2"/>
              </w:rPr>
            </w:pPr>
          </w:p>
        </w:tc>
      </w:tr>
      <w:tr w14:paraId="3EEDC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 w14:paraId="6DBDAC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 w14:paraId="5E768C74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07054690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612D8143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1ADA2E52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1E4E5C4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546AB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98F0C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 w14:paraId="7D96BD3E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3F24D2B6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3008A395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276DD72F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3DCD1BB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CB52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3EDDC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B92591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BE0A902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7F0443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680762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F05C451">
            <w:pPr>
              <w:rPr>
                <w:sz w:val="2"/>
                <w:szCs w:val="2"/>
              </w:rPr>
            </w:pPr>
          </w:p>
        </w:tc>
      </w:tr>
      <w:tr w14:paraId="22A62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 w14:paraId="3EE2DA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45396B9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686C6EE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11CC2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761BFE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D11D868">
            <w:pPr>
              <w:rPr>
                <w:sz w:val="2"/>
                <w:szCs w:val="2"/>
              </w:rPr>
            </w:pPr>
          </w:p>
        </w:tc>
      </w:tr>
      <w:tr w14:paraId="2E6BF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 w14:paraId="707EA7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 w14:paraId="7991C40A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78F81B54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378C48A0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7E4FF96C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3806EB8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019E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8CC21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 w14:paraId="48C39A8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48B8F42A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46C3F915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2167AB59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0BC2A4C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4E09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DD343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65B0EF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5399DD95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62122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69411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B1C8808">
            <w:pPr>
              <w:rPr>
                <w:sz w:val="2"/>
                <w:szCs w:val="2"/>
              </w:rPr>
            </w:pPr>
          </w:p>
        </w:tc>
      </w:tr>
      <w:tr w14:paraId="117C8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 w14:paraId="185918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99C529B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6BB2DD5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87EB7B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028A3A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DAEC1FD">
            <w:pPr>
              <w:rPr>
                <w:sz w:val="2"/>
                <w:szCs w:val="2"/>
              </w:rPr>
            </w:pPr>
          </w:p>
        </w:tc>
      </w:tr>
      <w:tr w14:paraId="03C32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 w14:paraId="56C6EE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 w:val="22"/>
              </w:rPr>
            </w:pPr>
          </w:p>
          <w:p w14:paraId="3EFE7C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40" w:lineRule="exact"/>
              <w:textAlignment w:val="auto"/>
              <w:rPr>
                <w:b/>
                <w:sz w:val="18"/>
              </w:rPr>
            </w:pPr>
          </w:p>
          <w:p w14:paraId="4ACAA1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 w14:paraId="4183C67F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0A1E784B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391A5C64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2D47FDDF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6399C054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BCD7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 w14:paraId="2FDA92F3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399DCAED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Align w:val="top"/>
          </w:tcPr>
          <w:p w14:paraId="6D335698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5F1D1834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3A7804C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48BF6124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44ED8A4A">
      <w:pPr>
        <w:spacing w:before="43"/>
        <w:ind w:left="454" w:right="0" w:firstLine="0"/>
        <w:jc w:val="left"/>
        <w:rPr>
          <w:rFonts w:hint="eastAsia" w:ascii="黑体" w:eastAsia="黑体"/>
          <w:sz w:val="28"/>
        </w:rPr>
      </w:pPr>
    </w:p>
    <w:p w14:paraId="57E574BF">
      <w:pPr>
        <w:spacing w:before="43"/>
        <w:ind w:left="454" w:right="0" w:firstLine="0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附表3</w:t>
      </w:r>
      <w:bookmarkEnd w:id="12"/>
    </w:p>
    <w:p w14:paraId="13185CF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13" w:lineRule="auto"/>
        <w:ind w:left="0"/>
        <w:jc w:val="center"/>
        <w:textAlignment w:val="auto"/>
        <w:rPr>
          <w:rFonts w:ascii="宋体"/>
          <w:b/>
          <w:sz w:val="28"/>
        </w:rPr>
      </w:pPr>
      <w:r>
        <w:t>项目绩效评价评分情况表</w:t>
      </w:r>
    </w:p>
    <w:tbl>
      <w:tblPr>
        <w:tblStyle w:val="9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3EAFA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0872CF8">
            <w:pPr>
              <w:pStyle w:val="12"/>
              <w:spacing w:before="10"/>
              <w:rPr>
                <w:b/>
                <w:sz w:val="16"/>
              </w:rPr>
            </w:pPr>
          </w:p>
          <w:p w14:paraId="2ED4EF49">
            <w:pPr>
              <w:pStyle w:val="1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 w14:paraId="6DA3ED9F">
            <w:pPr>
              <w:pStyle w:val="12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 w14:paraId="115ADD49">
            <w:pPr>
              <w:pStyle w:val="12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 w14:paraId="5FBABA23">
            <w:pPr>
              <w:pStyle w:val="12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 w14:paraId="0A95A224">
            <w:pPr>
              <w:pStyle w:val="12"/>
              <w:spacing w:before="10"/>
              <w:rPr>
                <w:b/>
                <w:sz w:val="16"/>
              </w:rPr>
            </w:pPr>
          </w:p>
          <w:p w14:paraId="6D97205E">
            <w:pPr>
              <w:pStyle w:val="12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 w14:paraId="7B93A520">
            <w:pPr>
              <w:pStyle w:val="12"/>
              <w:spacing w:before="10"/>
              <w:rPr>
                <w:b/>
                <w:sz w:val="16"/>
              </w:rPr>
            </w:pPr>
          </w:p>
          <w:p w14:paraId="0BB3FF4B">
            <w:pPr>
              <w:pStyle w:val="12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 w14:paraId="2518C19F">
            <w:pPr>
              <w:pStyle w:val="12"/>
              <w:spacing w:before="10"/>
              <w:rPr>
                <w:b/>
                <w:sz w:val="16"/>
              </w:rPr>
            </w:pPr>
          </w:p>
          <w:p w14:paraId="1C3BB58F">
            <w:pPr>
              <w:pStyle w:val="12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 w14:paraId="297194E1">
            <w:pPr>
              <w:pStyle w:val="12"/>
              <w:spacing w:before="10"/>
              <w:rPr>
                <w:b/>
                <w:sz w:val="16"/>
              </w:rPr>
            </w:pPr>
          </w:p>
          <w:p w14:paraId="5DC0C213">
            <w:pPr>
              <w:pStyle w:val="12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 w14:paraId="7DC66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247058B3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14:paraId="67737231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 w14:paraId="1391983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项目立项　</w:t>
            </w:r>
          </w:p>
          <w:p w14:paraId="04300D9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12265190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立项依据</w:t>
            </w:r>
          </w:p>
          <w:p w14:paraId="4FE2F7A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充分性</w:t>
            </w:r>
          </w:p>
        </w:tc>
        <w:tc>
          <w:tcPr>
            <w:tcW w:w="1199" w:type="dxa"/>
            <w:vAlign w:val="center"/>
          </w:tcPr>
          <w:p w14:paraId="5FFAD3EB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505581C">
            <w:pPr>
              <w:pStyle w:val="12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FC177B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BA10F0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9F30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 w14:paraId="29B363F1">
            <w:pPr>
              <w:pStyle w:val="12"/>
              <w:tabs>
                <w:tab w:val="left" w:pos="526"/>
              </w:tabs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3" w:type="dxa"/>
            <w:vMerge w:val="continue"/>
          </w:tcPr>
          <w:p w14:paraId="31579CFB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D14104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6CAA34E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立项程序</w:t>
            </w:r>
          </w:p>
          <w:p w14:paraId="0ABDB0A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规范性</w:t>
            </w:r>
          </w:p>
        </w:tc>
        <w:tc>
          <w:tcPr>
            <w:tcW w:w="1199" w:type="dxa"/>
            <w:vAlign w:val="center"/>
          </w:tcPr>
          <w:p w14:paraId="2161B598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603DDC8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0573327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12D0BF2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7772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12238EB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 w14:paraId="597BC36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FE3986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绩效目标</w:t>
            </w:r>
          </w:p>
          <w:p w14:paraId="5CB214E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5172B14D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绩效目标</w:t>
            </w:r>
          </w:p>
          <w:p w14:paraId="51869BB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35471704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05148ED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3C9566C3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EDB3BA8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D410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 w14:paraId="24326CD4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 w14:paraId="35CAD9B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32DDA39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273395C6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绩效指标</w:t>
            </w:r>
          </w:p>
          <w:p w14:paraId="26D1D6E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明确性</w:t>
            </w:r>
          </w:p>
        </w:tc>
        <w:tc>
          <w:tcPr>
            <w:tcW w:w="1199" w:type="dxa"/>
            <w:vAlign w:val="center"/>
          </w:tcPr>
          <w:p w14:paraId="2A974EA8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3DD2ED5B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1345039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18F5F26B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910D8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 w14:paraId="55C0820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 w14:paraId="78895C7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00A3DC5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资金投入</w:t>
            </w:r>
          </w:p>
          <w:p w14:paraId="032EC307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0888605F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预算编制</w:t>
            </w:r>
          </w:p>
          <w:p w14:paraId="1F44269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科学性</w:t>
            </w:r>
          </w:p>
        </w:tc>
        <w:tc>
          <w:tcPr>
            <w:tcW w:w="1199" w:type="dxa"/>
            <w:vAlign w:val="center"/>
          </w:tcPr>
          <w:p w14:paraId="312F5B22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09AC834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CA1EF6A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4C960A4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72365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63DFCE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73" w:type="dxa"/>
            <w:vMerge w:val="continue"/>
          </w:tcPr>
          <w:p w14:paraId="224F6B84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3E0C8F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2213F6A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资金分配</w:t>
            </w:r>
          </w:p>
          <w:p w14:paraId="7AC7F1B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5EA156C0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1D6CC363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3C54ED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4BCFCC88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228387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 w14:paraId="3359A6E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14:paraId="1C0533E5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 w14:paraId="062F19C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资金管理</w:t>
            </w:r>
          </w:p>
        </w:tc>
        <w:tc>
          <w:tcPr>
            <w:tcW w:w="1132" w:type="dxa"/>
            <w:vAlign w:val="center"/>
          </w:tcPr>
          <w:p w14:paraId="5901563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 w14:paraId="54DC0BFC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2735838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DCB43B1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7562D6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3DF0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 w14:paraId="57B14450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173" w:type="dxa"/>
            <w:vMerge w:val="continue"/>
          </w:tcPr>
          <w:p w14:paraId="326338C3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369A37A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297F059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 w14:paraId="5DF2C72E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1B83775A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  <w:bookmarkStart w:id="13" w:name="_GoBack"/>
            <w:bookmarkEnd w:id="13"/>
          </w:p>
        </w:tc>
        <w:tc>
          <w:tcPr>
            <w:tcW w:w="992" w:type="dxa"/>
          </w:tcPr>
          <w:p w14:paraId="5C366149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3.2</w:t>
            </w:r>
          </w:p>
        </w:tc>
        <w:tc>
          <w:tcPr>
            <w:tcW w:w="992" w:type="dxa"/>
          </w:tcPr>
          <w:p w14:paraId="3F9D27D9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9227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22BAB72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 w14:paraId="73771AE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43BEA4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10FD6AF5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资金使用</w:t>
            </w:r>
          </w:p>
          <w:p w14:paraId="425ABC1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合规性</w:t>
            </w:r>
          </w:p>
        </w:tc>
        <w:tc>
          <w:tcPr>
            <w:tcW w:w="1199" w:type="dxa"/>
            <w:vAlign w:val="center"/>
          </w:tcPr>
          <w:p w14:paraId="0E4BFDBF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77F60A3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35B4C7C9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1F9010F7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7575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CDAC8AD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 w14:paraId="36A2FCB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52250E2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组织实施</w:t>
            </w:r>
          </w:p>
          <w:p w14:paraId="61C693E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1DA8740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管理制度</w:t>
            </w:r>
          </w:p>
          <w:p w14:paraId="7C0B0FE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健全性</w:t>
            </w:r>
          </w:p>
        </w:tc>
        <w:tc>
          <w:tcPr>
            <w:tcW w:w="1199" w:type="dxa"/>
            <w:vAlign w:val="center"/>
          </w:tcPr>
          <w:p w14:paraId="0E99C6E7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3530F2B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821FD88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5643804E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5332E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D1F2A87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 w14:paraId="740452D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78555EE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6D4077DF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制度执行</w:t>
            </w:r>
          </w:p>
          <w:p w14:paraId="4826B50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有效性</w:t>
            </w:r>
          </w:p>
        </w:tc>
        <w:tc>
          <w:tcPr>
            <w:tcW w:w="1199" w:type="dxa"/>
            <w:vAlign w:val="center"/>
          </w:tcPr>
          <w:p w14:paraId="7A55643D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1150BB61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13F1587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5778880B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120F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BC9849E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 w14:paraId="6E28EDAA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产出</w:t>
            </w:r>
          </w:p>
        </w:tc>
        <w:tc>
          <w:tcPr>
            <w:tcW w:w="1199" w:type="dxa"/>
            <w:vAlign w:val="center"/>
          </w:tcPr>
          <w:p w14:paraId="0DAD352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产出数量</w:t>
            </w:r>
          </w:p>
        </w:tc>
        <w:tc>
          <w:tcPr>
            <w:tcW w:w="1132" w:type="dxa"/>
            <w:vAlign w:val="center"/>
          </w:tcPr>
          <w:p w14:paraId="682D038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 w14:paraId="5D8B9134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D67C758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111FD8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7029A192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24CF5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F5076D5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 w14:paraId="1949BF0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6427DF0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产出质量</w:t>
            </w:r>
          </w:p>
        </w:tc>
        <w:tc>
          <w:tcPr>
            <w:tcW w:w="1132" w:type="dxa"/>
            <w:vAlign w:val="center"/>
          </w:tcPr>
          <w:p w14:paraId="69457EE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 w14:paraId="5F81BB7C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06C3CE92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C1FD709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7F270DF2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9DEE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867EF04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 w14:paraId="363C47D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6104881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产出时效</w:t>
            </w:r>
          </w:p>
        </w:tc>
        <w:tc>
          <w:tcPr>
            <w:tcW w:w="1132" w:type="dxa"/>
            <w:vAlign w:val="center"/>
          </w:tcPr>
          <w:p w14:paraId="4FA620C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 w14:paraId="2C560417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519ACED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A74899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49CF8D2D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2715B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BC6E8C5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 w14:paraId="33A8261B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0095B0B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产出成本</w:t>
            </w:r>
          </w:p>
        </w:tc>
        <w:tc>
          <w:tcPr>
            <w:tcW w:w="1132" w:type="dxa"/>
            <w:vAlign w:val="center"/>
          </w:tcPr>
          <w:p w14:paraId="26BF528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 w14:paraId="72B619DF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6610DC3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96FF72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41D4503E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332F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498652A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 w14:paraId="5B325CD1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 w14:paraId="286AAAEC"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项目效益</w:t>
            </w:r>
          </w:p>
        </w:tc>
        <w:tc>
          <w:tcPr>
            <w:tcW w:w="1132" w:type="dxa"/>
            <w:vAlign w:val="center"/>
          </w:tcPr>
          <w:p w14:paraId="5E275CE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实施效益</w:t>
            </w:r>
          </w:p>
        </w:tc>
        <w:tc>
          <w:tcPr>
            <w:tcW w:w="1199" w:type="dxa"/>
            <w:vAlign w:val="center"/>
          </w:tcPr>
          <w:p w14:paraId="65ED623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6498" w:type="dxa"/>
          </w:tcPr>
          <w:p w14:paraId="198BE427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9AC99A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9</w:t>
            </w:r>
          </w:p>
        </w:tc>
        <w:tc>
          <w:tcPr>
            <w:tcW w:w="992" w:type="dxa"/>
          </w:tcPr>
          <w:p w14:paraId="23C866B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B28D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909303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 w14:paraId="7AFE447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AD0E36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5DDF21A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满意度</w:t>
            </w:r>
          </w:p>
        </w:tc>
        <w:tc>
          <w:tcPr>
            <w:tcW w:w="1199" w:type="dxa"/>
            <w:vAlign w:val="center"/>
          </w:tcPr>
          <w:p w14:paraId="26E5CE06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6498" w:type="dxa"/>
          </w:tcPr>
          <w:p w14:paraId="2A386DA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6BF32D80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15</w:t>
            </w:r>
          </w:p>
        </w:tc>
        <w:tc>
          <w:tcPr>
            <w:tcW w:w="992" w:type="dxa"/>
          </w:tcPr>
          <w:p w14:paraId="02B7C0D2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6BD76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20F835AE">
            <w:pPr>
              <w:pStyle w:val="12"/>
              <w:spacing w:before="10"/>
              <w:rPr>
                <w:b/>
                <w:sz w:val="16"/>
              </w:rPr>
            </w:pPr>
          </w:p>
          <w:p w14:paraId="7C3AD892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 w14:paraId="0598FCE4">
            <w:pPr>
              <w:pStyle w:val="12"/>
              <w:jc w:val="center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686116B1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100</w:t>
            </w:r>
          </w:p>
        </w:tc>
        <w:tc>
          <w:tcPr>
            <w:tcW w:w="6498" w:type="dxa"/>
            <w:vAlign w:val="center"/>
          </w:tcPr>
          <w:p w14:paraId="0FCCACA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vAlign w:val="center"/>
          </w:tcPr>
          <w:p w14:paraId="3ABD0EA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98.2</w:t>
            </w:r>
          </w:p>
        </w:tc>
        <w:tc>
          <w:tcPr>
            <w:tcW w:w="992" w:type="dxa"/>
            <w:vAlign w:val="center"/>
          </w:tcPr>
          <w:p w14:paraId="13D2E3FD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0</w:t>
            </w:r>
          </w:p>
        </w:tc>
      </w:tr>
      <w:tr w14:paraId="042A3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33D58A8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F39494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155EAC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422E688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1E610B6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C034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18040A3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3B3835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721163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9BD2CD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25088AD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E8FA3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5187CF9E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713CCB5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6A67F2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B42EBA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3FB6446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70BC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157DBE82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6EAAEC8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EE083E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98C81B5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5A8D59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0074F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7A85D86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8E0F72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29BCF3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CC8917C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BAC5CC7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F299D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78548F8A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</w:tcPr>
          <w:p w14:paraId="5E31EC23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0" w:type="auto"/>
            <w:vAlign w:val="center"/>
          </w:tcPr>
          <w:p w14:paraId="5DE7DE3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A9227FC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AC51B07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126F72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20C4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54593"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854593"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D5302E4"/>
    <w:rsid w:val="10530A39"/>
    <w:rsid w:val="215927B5"/>
    <w:rsid w:val="2D5302E4"/>
    <w:rsid w:val="322001CF"/>
    <w:rsid w:val="42560D4A"/>
    <w:rsid w:val="650A5583"/>
    <w:rsid w:val="6A1025C4"/>
    <w:rsid w:val="772A4562"/>
    <w:rsid w:val="77F86078"/>
    <w:rsid w:val="7A765096"/>
    <w:rsid w:val="7C0215A1"/>
    <w:rsid w:val="7D1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right="332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99"/>
    <w:pPr>
      <w:ind w:firstLine="640" w:firstLineChars="200"/>
    </w:pPr>
    <w:rPr>
      <w:sz w:val="32"/>
      <w:szCs w:val="32"/>
    </w:rPr>
  </w:style>
  <w:style w:type="paragraph" w:styleId="5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autoRedefine/>
    <w:qFormat/>
    <w:uiPriority w:val="1"/>
    <w:pPr>
      <w:ind w:left="266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776</Words>
  <Characters>860</Characters>
  <Lines>0</Lines>
  <Paragraphs>0</Paragraphs>
  <TotalTime>5</TotalTime>
  <ScaleCrop>false</ScaleCrop>
  <LinksUpToDate>false</LinksUpToDate>
  <CharactersWithSpaces>899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伟</cp:lastModifiedBy>
  <dcterms:modified xsi:type="dcterms:W3CDTF">2025-04-08T14:28:56Z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941A656B926D4FFFA77D5165C0D90F3F_13</vt:lpwstr>
  </property>
  <property fmtid="{D5CDD505-2E9C-101B-9397-08002B2CF9AE}" pid="4" name="KSOTemplateDocerSaveRecord">
    <vt:lpwstr>eyJoZGlkIjoiNTY4MDQzMzQ1Y2ZhNzJlNGEzMWRkZGUxYzdmNjhmY2YiLCJ1c2VySWQiOiI0NTA4OTkxODYifQ==</vt:lpwstr>
  </property>
</Properties>
</file>