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相山区教育局</w:t>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sz w:val="44"/>
          <w:szCs w:val="44"/>
          <w:lang w:val="en-US" w:eastAsia="zh-CN"/>
        </w:rPr>
        <w:t>学前教育专项资金</w:t>
      </w:r>
      <w:r>
        <w:rPr>
          <w:rFonts w:hint="eastAsia" w:ascii="方正小标宋简体" w:hAnsi="方正小标宋简体" w:eastAsia="方正小标宋简体" w:cs="方正小标宋简体"/>
          <w:sz w:val="44"/>
          <w:szCs w:val="44"/>
        </w:rPr>
        <w:t>绩效自评报告</w:t>
      </w:r>
    </w:p>
    <w:p>
      <w:pPr>
        <w:ind w:firstLine="640" w:firstLineChars="200"/>
        <w:rPr>
          <w:rFonts w:hint="eastAsia" w:ascii="黑体" w:hAnsi="黑体" w:eastAsia="黑体" w:cs="黑体"/>
          <w:sz w:val="32"/>
          <w:szCs w:val="32"/>
        </w:rPr>
      </w:pPr>
    </w:p>
    <w:p>
      <w:pPr>
        <w:ind w:firstLine="640" w:firstLineChars="200"/>
        <w:rPr>
          <w:rFonts w:hint="eastAsia" w:ascii="黑体" w:hAnsi="黑体" w:eastAsia="黑体" w:cs="黑体"/>
          <w:sz w:val="32"/>
          <w:szCs w:val="32"/>
        </w:rPr>
      </w:pPr>
      <w:r>
        <w:rPr>
          <w:rFonts w:hint="eastAsia" w:ascii="黑体" w:hAnsi="黑体" w:eastAsia="黑体" w:cs="黑体"/>
          <w:sz w:val="32"/>
          <w:szCs w:val="32"/>
        </w:rPr>
        <w:t>一、绩效目标分解下达情况</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rPr>
        <w:t>中央下达安徽省淮北市</w:t>
      </w:r>
      <w:r>
        <w:rPr>
          <w:rFonts w:hint="eastAsia" w:ascii="仿宋_GB2312" w:hAnsi="仿宋_GB2312" w:eastAsia="仿宋_GB2312" w:cs="仿宋_GB2312"/>
          <w:sz w:val="32"/>
          <w:szCs w:val="32"/>
          <w:lang w:val="en-US" w:eastAsia="zh-CN"/>
        </w:rPr>
        <w:t>相山区学前教育</w:t>
      </w:r>
      <w:r>
        <w:rPr>
          <w:rFonts w:hint="eastAsia" w:ascii="仿宋_GB2312" w:hAnsi="仿宋_GB2312" w:eastAsia="仿宋_GB2312" w:cs="仿宋_GB2312"/>
          <w:sz w:val="32"/>
          <w:szCs w:val="32"/>
        </w:rPr>
        <w:t>资金预算合理，能提升</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rPr>
        <w:t>办学条件。</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二、绩效情况分析</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(一)资金投入情况分析。</w:t>
      </w:r>
      <w:r>
        <w:rPr>
          <w:rFonts w:hint="eastAsia" w:ascii="仿宋_GB2312" w:hAnsi="仿宋_GB2312" w:eastAsia="仿宋_GB2312" w:cs="仿宋_GB2312"/>
          <w:sz w:val="32"/>
          <w:szCs w:val="32"/>
          <w:lang w:val="en-US" w:eastAsia="zh-CN"/>
        </w:rPr>
        <w:t>此次下达学前教育资金共计  787.3万元，其中促进工程维修及设备购置资金422.8万元，安心托幼资金179.9万元，普惠性民办园奖补资金137万元，学前教育资金47.6万元。</w:t>
      </w:r>
      <w:r>
        <w:rPr>
          <w:rFonts w:hint="eastAsia" w:ascii="仿宋_GB2312" w:hAnsi="仿宋_GB2312" w:eastAsia="仿宋_GB2312" w:cs="仿宋_GB2312"/>
          <w:sz w:val="32"/>
          <w:szCs w:val="32"/>
        </w:rPr>
        <w:t>中央</w:t>
      </w:r>
      <w:r>
        <w:rPr>
          <w:rFonts w:hint="eastAsia" w:ascii="仿宋_GB2312" w:hAnsi="仿宋_GB2312" w:eastAsia="仿宋_GB2312" w:cs="仿宋_GB2312"/>
          <w:sz w:val="32"/>
          <w:szCs w:val="32"/>
          <w:lang w:val="en-US" w:eastAsia="zh-CN"/>
        </w:rPr>
        <w:t>学前教育</w:t>
      </w:r>
      <w:r>
        <w:rPr>
          <w:rFonts w:hint="eastAsia" w:ascii="仿宋_GB2312" w:hAnsi="仿宋_GB2312" w:eastAsia="仿宋_GB2312" w:cs="仿宋_GB2312"/>
          <w:sz w:val="32"/>
          <w:szCs w:val="32"/>
        </w:rPr>
        <w:t>提升资金投入合理、能改善</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rPr>
        <w:t>办学条件、提升</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rPr>
        <w:t>办学能力。</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(二)资金管理情况分析。</w:t>
      </w:r>
      <w:r>
        <w:rPr>
          <w:rFonts w:hint="eastAsia" w:ascii="仿宋_GB2312" w:hAnsi="仿宋_GB2312" w:eastAsia="仿宋_GB2312" w:cs="仿宋_GB2312"/>
          <w:sz w:val="32"/>
          <w:szCs w:val="32"/>
          <w:lang w:val="en-US" w:eastAsia="zh-CN"/>
        </w:rPr>
        <w:t>结合我区各校实际办学情况，教育局党委会议研究决定将此次中央下达资金全部分配到各幼儿园用于改善学校办学条件，各园积极实施该项工作，通过政府公开招标等方式，购置了一批教学设备，提升了办学水平。</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(三)总体绩效目标完成情况分析。</w:t>
      </w:r>
      <w:r>
        <w:rPr>
          <w:rFonts w:hint="eastAsia" w:ascii="仿宋_GB2312" w:hAnsi="仿宋_GB2312" w:eastAsia="仿宋_GB2312" w:cs="仿宋_GB2312"/>
          <w:sz w:val="32"/>
          <w:szCs w:val="32"/>
          <w:lang w:val="en-US" w:eastAsia="zh-CN"/>
        </w:rPr>
        <w:t>幼儿园</w:t>
      </w:r>
      <w:r>
        <w:rPr>
          <w:rFonts w:hint="eastAsia" w:ascii="仿宋_GB2312" w:hAnsi="仿宋_GB2312" w:eastAsia="仿宋_GB2312" w:cs="仿宋_GB2312"/>
          <w:sz w:val="32"/>
          <w:szCs w:val="32"/>
        </w:rPr>
        <w:t>严格执行该专项资金的使用性、预算绩效管理良好，</w:t>
      </w:r>
      <w:r>
        <w:rPr>
          <w:rFonts w:hint="eastAsia" w:ascii="仿宋_GB2312" w:hAnsi="仿宋_GB2312" w:eastAsia="仿宋_GB2312" w:cs="仿宋_GB2312"/>
          <w:sz w:val="32"/>
          <w:szCs w:val="32"/>
          <w:lang w:val="en-US" w:eastAsia="zh-CN"/>
        </w:rPr>
        <w:t>于2024年底前全部完成设备购置验收工作，老师、学生、家长反应良好，满意度较高，</w:t>
      </w:r>
      <w:r>
        <w:rPr>
          <w:rFonts w:hint="eastAsia" w:ascii="仿宋_GB2312" w:hAnsi="仿宋_GB2312" w:eastAsia="仿宋_GB2312" w:cs="仿宋_GB2312"/>
          <w:sz w:val="32"/>
          <w:szCs w:val="32"/>
        </w:rPr>
        <w:t>但该项资金</w:t>
      </w:r>
      <w:r>
        <w:rPr>
          <w:rFonts w:hint="eastAsia" w:ascii="仿宋_GB2312" w:hAnsi="仿宋_GB2312" w:eastAsia="仿宋_GB2312" w:cs="仿宋_GB2312"/>
          <w:sz w:val="32"/>
          <w:szCs w:val="32"/>
          <w:lang w:val="en-US" w:eastAsia="zh-CN"/>
        </w:rPr>
        <w:t>目前只支付47.6万元，还有739.7万元</w:t>
      </w:r>
      <w:r>
        <w:rPr>
          <w:rFonts w:hint="eastAsia" w:ascii="仿宋_GB2312" w:hAnsi="仿宋_GB2312" w:eastAsia="仿宋_GB2312" w:cs="仿宋_GB2312"/>
          <w:sz w:val="32"/>
          <w:szCs w:val="32"/>
        </w:rPr>
        <w:t>未支付到位</w:t>
      </w:r>
      <w:r>
        <w:rPr>
          <w:rFonts w:hint="eastAsia" w:ascii="仿宋_GB2312" w:hAnsi="仿宋_GB2312" w:eastAsia="仿宋_GB2312" w:cs="仿宋_GB2312"/>
          <w:sz w:val="32"/>
          <w:szCs w:val="32"/>
          <w:lang w:eastAsia="zh-CN"/>
        </w:rPr>
        <w:t>。</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(四)绩效指标完成情况分析。</w:t>
      </w:r>
      <w:r>
        <w:rPr>
          <w:rFonts w:hint="eastAsia" w:ascii="仿宋_GB2312" w:hAnsi="仿宋_GB2312" w:eastAsia="仿宋_GB2312" w:cs="仿宋_GB2312"/>
          <w:sz w:val="32"/>
          <w:szCs w:val="32"/>
          <w:lang w:val="en-US" w:eastAsia="zh-CN"/>
        </w:rPr>
        <w:t>我区2024年学前教育安心托幼、维修改造项目合格率100%；</w:t>
      </w:r>
      <w:r>
        <w:rPr>
          <w:rFonts w:hint="eastAsia" w:ascii="仿宋_GB2312" w:hAnsi="仿宋_GB2312" w:eastAsia="仿宋_GB2312" w:cs="仿宋_GB2312"/>
          <w:sz w:val="32"/>
          <w:szCs w:val="32"/>
        </w:rPr>
        <w:t>设备采</w:t>
      </w:r>
      <w:r>
        <w:rPr>
          <w:rFonts w:hint="eastAsia" w:ascii="仿宋_GB2312" w:hAnsi="仿宋_GB2312" w:eastAsia="仿宋_GB2312" w:cs="仿宋_GB2312"/>
          <w:sz w:val="32"/>
          <w:szCs w:val="32"/>
          <w:lang w:val="en-US" w:eastAsia="zh-CN"/>
        </w:rPr>
        <w:t>购质量合格率100%</w:t>
      </w:r>
      <w:r>
        <w:rPr>
          <w:rFonts w:hint="eastAsia" w:ascii="仿宋_GB2312" w:hAnsi="仿宋_GB2312" w:eastAsia="仿宋_GB2312" w:cs="仿宋_GB2312"/>
          <w:sz w:val="32"/>
          <w:szCs w:val="32"/>
          <w:lang w:val="en-US" w:eastAsia="zh-CN"/>
        </w:rPr>
        <w:tab/>
      </w:r>
      <w:r>
        <w:rPr>
          <w:rFonts w:hint="eastAsia" w:ascii="仿宋_GB2312" w:hAnsi="仿宋_GB2312" w:eastAsia="仿宋_GB2312" w:cs="仿宋_GB2312"/>
          <w:sz w:val="32"/>
          <w:szCs w:val="32"/>
          <w:lang w:val="en-US" w:eastAsia="zh-CN"/>
        </w:rPr>
        <w:t>；办园条件、保教保育质量逐年提升；老师、家长和学生满意度100%。</w:t>
      </w:r>
    </w:p>
    <w:p>
      <w:pPr>
        <w:ind w:firstLine="640" w:firstLineChars="200"/>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三、偏离绩效目标的原因和下一步改进措施</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lang w:val="en-US" w:eastAsia="zh-CN"/>
        </w:rPr>
        <w:t>相山区2024年学前教育资金已经全部拨付到项目执行幼儿园，专款专用，严格按照有关制度执行。因财政资金困难，未能及时支付账款，造成资金执行度较低。下一步将积极和财政沟通，争取提高资金执行度，更好的完成绩效目标。</w:t>
      </w:r>
    </w:p>
    <w:p>
      <w:pPr>
        <w:ind w:firstLine="640" w:firstLineChars="200"/>
        <w:rPr>
          <w:rFonts w:hint="eastAsia" w:ascii="黑体" w:hAnsi="黑体" w:eastAsia="黑体" w:cs="黑体"/>
          <w:color w:val="000000" w:themeColor="text1"/>
          <w:sz w:val="32"/>
          <w:szCs w:val="32"/>
          <w:lang w:eastAsia="zh-CN"/>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四、绩效自评结果拟应用和公开情况</w:t>
      </w:r>
      <w:r>
        <w:rPr>
          <w:rFonts w:hint="eastAsia" w:ascii="黑体" w:hAnsi="黑体" w:eastAsia="黑体" w:cs="黑体"/>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2024年学前教育专项资金均按照相关制度进行了公开。</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五、其他需要说明的问题</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无。</w:t>
      </w:r>
    </w:p>
    <w:p>
      <w:pPr>
        <w:ind w:firstLine="640" w:firstLineChars="200"/>
        <w:rPr>
          <w:rFonts w:hint="eastAsia" w:ascii="黑体" w:hAnsi="黑体" w:eastAsia="黑体" w:cs="黑体"/>
          <w:sz w:val="32"/>
          <w:szCs w:val="32"/>
        </w:rPr>
      </w:pPr>
      <w:r>
        <w:rPr>
          <w:rFonts w:hint="eastAsia" w:ascii="黑体" w:hAnsi="黑体" w:eastAsia="黑体" w:cs="黑体"/>
          <w:sz w:val="32"/>
          <w:szCs w:val="32"/>
        </w:rPr>
        <w:t>六、附件</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相山区</w:t>
      </w:r>
      <w:r>
        <w:rPr>
          <w:rFonts w:hint="eastAsia" w:ascii="仿宋_GB2312" w:hAnsi="仿宋_GB2312" w:eastAsia="仿宋_GB2312" w:cs="仿宋_GB2312"/>
          <w:sz w:val="32"/>
          <w:szCs w:val="32"/>
        </w:rPr>
        <w:t>转移支付区域(项目)绩效自评表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附后</w:t>
      </w:r>
      <w:r>
        <w:rPr>
          <w:rFonts w:hint="eastAsia" w:ascii="仿宋_GB2312" w:hAnsi="仿宋_GB2312" w:eastAsia="仿宋_GB2312" w:cs="仿宋_GB2312"/>
          <w:sz w:val="32"/>
          <w:szCs w:val="32"/>
          <w:lang w:eastAsia="zh-CN"/>
        </w:rPr>
        <w:t>）</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ind w:firstLine="5440" w:firstLineChars="17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2025年3月31日</w:t>
      </w: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eastAsia" w:ascii="仿宋_GB2312" w:hAnsi="仿宋_GB2312" w:eastAsia="仿宋_GB2312" w:cs="仿宋_GB2312"/>
          <w:sz w:val="32"/>
          <w:szCs w:val="32"/>
          <w:lang w:val="en-US" w:eastAsia="zh-CN"/>
        </w:rPr>
      </w:pPr>
    </w:p>
    <w:tbl>
      <w:tblPr>
        <w:tblW w:w="9580" w:type="dxa"/>
        <w:tblInd w:w="0" w:type="dxa"/>
        <w:shd w:val="clear"/>
        <w:tblLayout w:type="autofit"/>
        <w:tblCellMar>
          <w:top w:w="0" w:type="dxa"/>
          <w:left w:w="0" w:type="dxa"/>
          <w:bottom w:w="0" w:type="dxa"/>
          <w:right w:w="0" w:type="dxa"/>
        </w:tblCellMar>
      </w:tblPr>
      <w:tblGrid>
        <w:gridCol w:w="1079"/>
        <w:gridCol w:w="1079"/>
        <w:gridCol w:w="1079"/>
        <w:gridCol w:w="1079"/>
        <w:gridCol w:w="1079"/>
        <w:gridCol w:w="1079"/>
        <w:gridCol w:w="1079"/>
        <w:gridCol w:w="2027"/>
      </w:tblGrid>
      <w:tr>
        <w:tblPrEx>
          <w:tblCellMar>
            <w:top w:w="0" w:type="dxa"/>
            <w:left w:w="0" w:type="dxa"/>
            <w:bottom w:w="0" w:type="dxa"/>
            <w:right w:w="0" w:type="dxa"/>
          </w:tblCellMar>
        </w:tblPrEx>
        <w:trPr>
          <w:trHeight w:val="420" w:hRule="atLeast"/>
        </w:trPr>
        <w:tc>
          <w:tcPr>
            <w:tcW w:w="9588" w:type="dxa"/>
            <w:gridSpan w:val="8"/>
            <w:tcBorders>
              <w:top w:val="nil"/>
              <w:left w:val="nil"/>
              <w:bottom w:val="nil"/>
              <w:right w:val="nil"/>
            </w:tcBorders>
            <w:shd w:val="clear"/>
            <w:tcMar>
              <w:top w:w="10" w:type="dxa"/>
              <w:left w:w="10" w:type="dxa"/>
              <w:right w:w="10"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2"/>
                <w:szCs w:val="32"/>
                <w:u w:val="none"/>
              </w:rPr>
            </w:pPr>
            <w:r>
              <w:rPr>
                <w:rFonts w:hint="eastAsia" w:ascii="方正小标宋简体" w:hAnsi="方正小标宋简体" w:eastAsia="方正小标宋简体" w:cs="方正小标宋简体"/>
                <w:i w:val="0"/>
                <w:color w:val="000000"/>
                <w:kern w:val="0"/>
                <w:sz w:val="32"/>
                <w:szCs w:val="32"/>
                <w:u w:val="none"/>
                <w:bdr w:val="none" w:color="auto" w:sz="0" w:space="0"/>
                <w:lang w:val="en-US" w:eastAsia="zh-CN" w:bidi="ar"/>
              </w:rPr>
              <w:t xml:space="preserve">支持学前教育发展转移支付区域（项目）绩效目标自评表 </w:t>
            </w:r>
          </w:p>
        </w:tc>
      </w:tr>
      <w:tr>
        <w:tblPrEx>
          <w:tblCellMar>
            <w:top w:w="0" w:type="dxa"/>
            <w:left w:w="0" w:type="dxa"/>
            <w:bottom w:w="0" w:type="dxa"/>
            <w:right w:w="0" w:type="dxa"/>
          </w:tblCellMar>
        </w:tblPrEx>
        <w:trPr>
          <w:trHeight w:val="300" w:hRule="atLeast"/>
        </w:trPr>
        <w:tc>
          <w:tcPr>
            <w:tcW w:w="9588" w:type="dxa"/>
            <w:gridSpan w:val="8"/>
            <w:tcBorders>
              <w:top w:val="nil"/>
              <w:left w:val="nil"/>
              <w:bottom w:val="single" w:color="000000" w:sz="4" w:space="0"/>
              <w:right w:val="nil"/>
            </w:tcBorders>
            <w:shd w:val="clear"/>
            <w:tcMar>
              <w:top w:w="10" w:type="dxa"/>
              <w:left w:w="10" w:type="dxa"/>
              <w:right w:w="10" w:type="dxa"/>
            </w:tcMar>
            <w:vAlign w:val="top"/>
          </w:tcPr>
          <w:p>
            <w:pPr>
              <w:keepNext w:val="0"/>
              <w:keepLines w:val="0"/>
              <w:widowControl/>
              <w:suppressLineNumbers w:val="0"/>
              <w:jc w:val="center"/>
              <w:textAlignment w:val="top"/>
              <w:rPr>
                <w:rFonts w:ascii="仿宋_GB2312" w:hAnsi="宋体" w:eastAsia="仿宋_GB2312" w:cs="仿宋_GB2312"/>
                <w:i w:val="0"/>
                <w:color w:val="000000"/>
                <w:sz w:val="22"/>
                <w:szCs w:val="22"/>
                <w:u w:val="none"/>
              </w:rPr>
            </w:pPr>
            <w:r>
              <w:rPr>
                <w:rFonts w:hint="default" w:ascii="仿宋_GB2312" w:hAnsi="宋体" w:eastAsia="仿宋_GB2312" w:cs="仿宋_GB2312"/>
                <w:i w:val="0"/>
                <w:color w:val="000000"/>
                <w:kern w:val="0"/>
                <w:sz w:val="22"/>
                <w:szCs w:val="22"/>
                <w:u w:val="none"/>
                <w:bdr w:val="none" w:color="auto" w:sz="0" w:space="0"/>
                <w:lang w:val="en-US" w:eastAsia="zh-CN" w:bidi="ar"/>
              </w:rPr>
              <w:t>（2024年度）</w:t>
            </w:r>
          </w:p>
        </w:tc>
      </w:tr>
      <w:tr>
        <w:tblPrEx>
          <w:tblCellMar>
            <w:top w:w="0" w:type="dxa"/>
            <w:left w:w="0" w:type="dxa"/>
            <w:bottom w:w="0" w:type="dxa"/>
            <w:right w:w="0" w:type="dxa"/>
          </w:tblCellMar>
        </w:tblPrEx>
        <w:trPr>
          <w:trHeight w:val="30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转移支付（项目）名称</w:t>
            </w:r>
          </w:p>
        </w:tc>
        <w:tc>
          <w:tcPr>
            <w:tcW w:w="6348" w:type="dxa"/>
            <w:gridSpan w:val="5"/>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支持学前教育发展资金</w:t>
            </w:r>
          </w:p>
        </w:tc>
      </w:tr>
      <w:tr>
        <w:tblPrEx>
          <w:tblCellMar>
            <w:top w:w="0" w:type="dxa"/>
            <w:left w:w="0" w:type="dxa"/>
            <w:bottom w:w="0" w:type="dxa"/>
            <w:right w:w="0" w:type="dxa"/>
          </w:tblCellMar>
        </w:tblPrEx>
        <w:trPr>
          <w:trHeight w:val="30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中央主管部门</w:t>
            </w:r>
          </w:p>
        </w:tc>
        <w:tc>
          <w:tcPr>
            <w:tcW w:w="6348" w:type="dxa"/>
            <w:gridSpan w:val="5"/>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地方主管部门</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资金使用单位</w:t>
            </w:r>
          </w:p>
        </w:tc>
        <w:tc>
          <w:tcPr>
            <w:tcW w:w="3108"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资金投入情况</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（万元）</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全年预算数（A）</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全年执行数（B）</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预算执行率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（B/A×100%)</w:t>
            </w:r>
          </w:p>
        </w:tc>
      </w:tr>
      <w:tr>
        <w:tblPrEx>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年度资金总额：</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 xml:space="preserve"> </w:t>
            </w:r>
            <w:r>
              <w:rPr>
                <w:rStyle w:val="5"/>
                <w:bdr w:val="none" w:color="auto" w:sz="0" w:space="0"/>
                <w:lang w:val="en-US" w:eastAsia="zh-CN" w:bidi="ar"/>
              </w:rPr>
              <w:t>其中：中央财政资金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787.3</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47.6</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6.05%</w:t>
            </w:r>
          </w:p>
        </w:tc>
      </w:tr>
      <w:tr>
        <w:tblPrEx>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Style w:val="4"/>
                <w:bdr w:val="none" w:color="auto" w:sz="0" w:space="0"/>
                <w:lang w:val="en-US" w:eastAsia="zh-CN" w:bidi="ar"/>
              </w:rPr>
              <w:t>省级</w:t>
            </w:r>
            <w:r>
              <w:rPr>
                <w:rStyle w:val="5"/>
                <w:bdr w:val="none" w:color="auto" w:sz="0" w:space="0"/>
                <w:lang w:val="en-US" w:eastAsia="zh-CN" w:bidi="ar"/>
              </w:rPr>
              <w:t>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市级资金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县（市、区）资金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Style w:val="6"/>
                <w:bdr w:val="none" w:color="auto" w:sz="0" w:space="0"/>
                <w:lang w:val="en-US" w:eastAsia="zh-CN" w:bidi="ar"/>
              </w:rPr>
              <w:t xml:space="preserve">      </w:t>
            </w:r>
            <w:r>
              <w:rPr>
                <w:rStyle w:val="5"/>
                <w:bdr w:val="none" w:color="auto" w:sz="0" w:space="0"/>
                <w:lang w:val="en-US" w:eastAsia="zh-CN" w:bidi="ar"/>
              </w:rPr>
              <w:t xml:space="preserve">  其他资金</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40" w:type="dxa"/>
            <w:gridSpan w:val="3"/>
            <w:vMerge w:val="restart"/>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资金管理情况</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宋体" w:hAnsi="宋体" w:eastAsia="宋体" w:cs="宋体"/>
                <w:i w:val="0"/>
                <w:color w:val="000000"/>
                <w:sz w:val="18"/>
                <w:szCs w:val="18"/>
                <w:u w:val="none"/>
              </w:rPr>
            </w:pP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情况说明</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存在问题和改进措施</w:t>
            </w:r>
          </w:p>
        </w:tc>
      </w:tr>
      <w:tr>
        <w:tblPrEx>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分配科学性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资金分配合理</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下达及时性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资金能够及时足额下达</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拨付合规性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按照拨付单及时拨付</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使用规范性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严格按照学前教育专项资金管理要求规范使用</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3240"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执行准确性</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全部用于学前教育</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预算绩效管理情况</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做到事前、事中、事后的预算绩效评价管理</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520" w:hRule="atLeast"/>
        </w:trPr>
        <w:tc>
          <w:tcPr>
            <w:tcW w:w="3240" w:type="dxa"/>
            <w:gridSpan w:val="3"/>
            <w:vMerge w:val="continue"/>
            <w:tcBorders>
              <w:top w:val="single" w:color="000000" w:sz="4" w:space="0"/>
              <w:left w:val="single" w:color="000000" w:sz="4" w:space="0"/>
              <w:bottom w:val="single" w:color="000000" w:sz="4" w:space="0"/>
              <w:right w:val="nil"/>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支出责任履行情况</w:t>
            </w:r>
          </w:p>
        </w:tc>
        <w:tc>
          <w:tcPr>
            <w:tcW w:w="3240"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未完成全部支付</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与财政积极沟通，完成支付</w:t>
            </w:r>
          </w:p>
        </w:tc>
      </w:tr>
      <w:tr>
        <w:tblPrEx>
          <w:tblCellMar>
            <w:top w:w="0" w:type="dxa"/>
            <w:left w:w="0" w:type="dxa"/>
            <w:bottom w:w="0" w:type="dxa"/>
            <w:right w:w="0" w:type="dxa"/>
          </w:tblCellMar>
        </w:tblPrEx>
        <w:trPr>
          <w:trHeight w:val="3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总体目标完成情况</w:t>
            </w:r>
          </w:p>
        </w:tc>
        <w:tc>
          <w:tcPr>
            <w:tcW w:w="4320" w:type="dxa"/>
            <w:gridSpan w:val="4"/>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总体目标</w:t>
            </w:r>
          </w:p>
        </w:tc>
        <w:tc>
          <w:tcPr>
            <w:tcW w:w="4188"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全年实际完成情况</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4320" w:type="dxa"/>
            <w:gridSpan w:val="4"/>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增加普惠性学前教育资源供给，公办园在园幼儿占比持续提高，学前教育三年毛入园率稳步提升。</w:t>
            </w:r>
          </w:p>
        </w:tc>
        <w:tc>
          <w:tcPr>
            <w:tcW w:w="4188"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目标1：全区学前三年毛入园率已经稳步提升，达到100.4%。</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目标2：普惠性幼儿园覆盖率达到97.69%。</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目标3：公办园在园幼儿占比持续提高,达到65%。</w:t>
            </w:r>
          </w:p>
        </w:tc>
      </w:tr>
      <w:tr>
        <w:tblPrEx>
          <w:tblCellMar>
            <w:top w:w="0" w:type="dxa"/>
            <w:left w:w="0" w:type="dxa"/>
            <w:bottom w:w="0" w:type="dxa"/>
            <w:right w:w="0" w:type="dxa"/>
          </w:tblCellMar>
        </w:tblPrEx>
        <w:trPr>
          <w:trHeight w:val="52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绩效指标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一级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二级指标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指标值</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全年实际完成值</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未完成原因和改进措施</w:t>
            </w: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产</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出</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数量指标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学前教育三年毛入园率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提高</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稳步提升</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普惠性学前教育资源覆盖率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持续提高</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97.69%</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符合条件的家庭经济困难幼儿享受幼儿资助政策的比例</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质量指标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新建、改扩建项目质量达标率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设备采购质量合格率</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效益指标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社会效益</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积极引导地方扩大普惠性学前教育资源</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持续扩大</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81所</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公办园在园幼儿占比</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持续提高</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65.00%</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引导地方提高学前教育普惠保障水平</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有效提高</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有效提高</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1080" w:type="dxa"/>
            <w:vMerge w:val="restart"/>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服务对象</w:t>
            </w:r>
            <w:r>
              <w:rPr>
                <w:rFonts w:hint="eastAsia" w:ascii="宋体" w:hAnsi="宋体" w:eastAsia="宋体" w:cs="宋体"/>
                <w:i w:val="0"/>
                <w:color w:val="000000"/>
                <w:kern w:val="0"/>
                <w:sz w:val="20"/>
                <w:szCs w:val="20"/>
                <w:u w:val="none"/>
                <w:bdr w:val="none" w:color="auto" w:sz="0" w:space="0"/>
                <w:lang w:val="en-US" w:eastAsia="zh-CN" w:bidi="ar"/>
              </w:rPr>
              <w:br w:type="textWrapping"/>
            </w:r>
            <w:r>
              <w:rPr>
                <w:rFonts w:hint="eastAsia" w:ascii="宋体" w:hAnsi="宋体" w:eastAsia="宋体" w:cs="宋体"/>
                <w:i w:val="0"/>
                <w:color w:val="000000"/>
                <w:kern w:val="0"/>
                <w:sz w:val="20"/>
                <w:szCs w:val="20"/>
                <w:u w:val="none"/>
                <w:bdr w:val="none" w:color="auto" w:sz="0" w:space="0"/>
                <w:lang w:val="en-US" w:eastAsia="zh-CN" w:bidi="ar"/>
              </w:rPr>
              <w:t>满意度指标</w:t>
            </w: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幼儿园和老师满意度</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ascii="Arial" w:hAnsi="Arial" w:eastAsia="宋体" w:cs="Arial"/>
                <w:i w:val="0"/>
                <w:color w:val="000000"/>
                <w:sz w:val="20"/>
                <w:szCs w:val="20"/>
                <w:u w:val="none"/>
              </w:rPr>
            </w:pPr>
            <w:r>
              <w:rPr>
                <w:rStyle w:val="7"/>
                <w:rFonts w:eastAsia="宋体"/>
                <w:bdr w:val="none" w:color="auto" w:sz="0" w:space="0"/>
                <w:lang w:val="en-US" w:eastAsia="zh-CN" w:bidi="ar"/>
              </w:rPr>
              <w:t>≥</w:t>
            </w:r>
            <w:r>
              <w:rPr>
                <w:rStyle w:val="5"/>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3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textDirection w:val="tbRlV"/>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c>
          <w:tcPr>
            <w:tcW w:w="2160" w:type="dxa"/>
            <w:gridSpan w:val="2"/>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家长满意度</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default" w:ascii="Arial" w:hAnsi="Arial" w:eastAsia="宋体" w:cs="Arial"/>
                <w:i w:val="0"/>
                <w:color w:val="000000"/>
                <w:sz w:val="20"/>
                <w:szCs w:val="20"/>
                <w:u w:val="none"/>
              </w:rPr>
            </w:pPr>
            <w:r>
              <w:rPr>
                <w:rStyle w:val="7"/>
                <w:rFonts w:eastAsia="宋体"/>
                <w:bdr w:val="none" w:color="auto" w:sz="0" w:space="0"/>
                <w:lang w:val="en-US" w:eastAsia="zh-CN" w:bidi="ar"/>
              </w:rPr>
              <w:t>≥</w:t>
            </w:r>
            <w:r>
              <w:rPr>
                <w:rStyle w:val="5"/>
                <w:bdr w:val="none" w:color="auto" w:sz="0" w:space="0"/>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100%</w:t>
            </w:r>
          </w:p>
        </w:tc>
        <w:tc>
          <w:tcPr>
            <w:tcW w:w="2028"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center"/>
              <w:rPr>
                <w:rFonts w:hint="eastAsia" w:ascii="宋体" w:hAnsi="宋体" w:eastAsia="宋体" w:cs="宋体"/>
                <w:i w:val="0"/>
                <w:color w:val="000000"/>
                <w:sz w:val="20"/>
                <w:szCs w:val="20"/>
                <w:u w:val="none"/>
              </w:rPr>
            </w:pPr>
          </w:p>
        </w:tc>
      </w:tr>
    </w:tbl>
    <w:p>
      <w:pPr>
        <w:ind w:firstLine="5440" w:firstLineChars="1700"/>
        <w:rPr>
          <w:rFonts w:hint="eastAsia" w:ascii="仿宋_GB2312" w:hAnsi="仿宋_GB2312" w:eastAsia="仿宋_GB2312" w:cs="仿宋_GB2312"/>
          <w:sz w:val="32"/>
          <w:szCs w:val="32"/>
          <w:lang w:val="en-US" w:eastAsia="zh-CN"/>
        </w:rPr>
      </w:pPr>
      <w:bookmarkStart w:id="0" w:name="_GoBack"/>
      <w:bookmarkEnd w:id="0"/>
    </w:p>
    <w:p>
      <w:pPr>
        <w:ind w:firstLine="5440" w:firstLineChars="1700"/>
        <w:rPr>
          <w:rFonts w:hint="eastAsia" w:ascii="仿宋_GB2312" w:hAnsi="仿宋_GB2312" w:eastAsia="仿宋_GB2312" w:cs="仿宋_GB2312"/>
          <w:sz w:val="32"/>
          <w:szCs w:val="32"/>
          <w:lang w:val="en-US" w:eastAsia="zh-CN"/>
        </w:rPr>
      </w:pPr>
    </w:p>
    <w:p>
      <w:pPr>
        <w:ind w:firstLine="5440" w:firstLineChars="1700"/>
        <w:rPr>
          <w:rFonts w:hint="default"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jMDZmYzcyMDk5ZDZhMWQ3MjI5NGE5OTNiNGU1MWQifQ=="/>
  </w:docVars>
  <w:rsids>
    <w:rsidRoot w:val="01061ABB"/>
    <w:rsid w:val="01061ABB"/>
    <w:rsid w:val="0C400033"/>
    <w:rsid w:val="1DE6280F"/>
    <w:rsid w:val="250E7320"/>
    <w:rsid w:val="27454CAF"/>
    <w:rsid w:val="2953678D"/>
    <w:rsid w:val="37A763A8"/>
    <w:rsid w:val="38570EA7"/>
    <w:rsid w:val="3DC8015A"/>
    <w:rsid w:val="41C80D2C"/>
    <w:rsid w:val="46972010"/>
    <w:rsid w:val="47BA6667"/>
    <w:rsid w:val="4E0A0EF3"/>
    <w:rsid w:val="5246743C"/>
    <w:rsid w:val="5E2C1671"/>
    <w:rsid w:val="62E92162"/>
    <w:rsid w:val="63573862"/>
    <w:rsid w:val="6B541530"/>
    <w:rsid w:val="6C327126"/>
    <w:rsid w:val="6EA33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11"/>
    <w:basedOn w:val="3"/>
    <w:uiPriority w:val="0"/>
    <w:rPr>
      <w:rFonts w:hint="eastAsia" w:ascii="宋体" w:hAnsi="宋体" w:eastAsia="宋体" w:cs="宋体"/>
      <w:color w:val="000000"/>
      <w:sz w:val="20"/>
      <w:szCs w:val="20"/>
      <w:u w:val="none"/>
    </w:rPr>
  </w:style>
  <w:style w:type="character" w:customStyle="1" w:styleId="5">
    <w:name w:val="font31"/>
    <w:basedOn w:val="3"/>
    <w:uiPriority w:val="0"/>
    <w:rPr>
      <w:rFonts w:hint="eastAsia" w:ascii="宋体" w:hAnsi="宋体" w:eastAsia="宋体" w:cs="宋体"/>
      <w:color w:val="000000"/>
      <w:sz w:val="20"/>
      <w:szCs w:val="20"/>
      <w:u w:val="none"/>
    </w:rPr>
  </w:style>
  <w:style w:type="character" w:customStyle="1" w:styleId="6">
    <w:name w:val="font91"/>
    <w:basedOn w:val="3"/>
    <w:uiPriority w:val="0"/>
    <w:rPr>
      <w:rFonts w:hint="eastAsia" w:ascii="宋体" w:hAnsi="宋体" w:eastAsia="宋体" w:cs="宋体"/>
      <w:color w:val="000000"/>
      <w:sz w:val="18"/>
      <w:szCs w:val="18"/>
      <w:u w:val="none"/>
    </w:rPr>
  </w:style>
  <w:style w:type="character" w:customStyle="1" w:styleId="7">
    <w:name w:val="font21"/>
    <w:basedOn w:val="3"/>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691</Words>
  <Characters>745</Characters>
  <Lines>0</Lines>
  <Paragraphs>0</Paragraphs>
  <TotalTime>105</TotalTime>
  <ScaleCrop>false</ScaleCrop>
  <LinksUpToDate>false</LinksUpToDate>
  <CharactersWithSpaces>780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2024-03-10T00:45:00Z</dcterms:created>
  <dc:creator>Zz</dc:creator>
  <cp:lastModifiedBy>lenovo</cp:lastModifiedBy>
  <cp:lastPrinted>2025-01-22T08:11:00Z</cp:lastPrinted>
  <dcterms:modified xsi:type="dcterms:W3CDTF">2025-04-17T07:16:45Z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DE46BE5305AA474A86CDAE4FA946B4D8_13</vt:lpwstr>
  </property>
  <property fmtid="{D5CDD505-2E9C-101B-9397-08002B2CF9AE}" pid="4" name="KSOTemplateDocerSaveRecord">
    <vt:lpwstr>eyJoZGlkIjoiMjJjMDZmYzcyMDk5ZDZhMWQ3MjI5NGE5OTNiNGU1MWQifQ==</vt:lpwstr>
  </property>
</Properties>
</file>