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r>
        <w:rPr>
          <w:rFonts w:hint="eastAsia"/>
          <w:sz w:val="32"/>
          <w:szCs w:val="32"/>
        </w:rPr>
        <w:t>附件3</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相山区教育局</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义务教育薄弱环节改善与能力提升资金绩</w:t>
      </w:r>
      <w:r>
        <w:rPr>
          <w:rFonts w:hint="eastAsia" w:ascii="方正小标宋简体" w:hAnsi="方正小标宋简体" w:eastAsia="方正小标宋简体" w:cs="方正小标宋简体"/>
          <w:sz w:val="44"/>
          <w:szCs w:val="44"/>
        </w:rPr>
        <w:t>效自评报告</w:t>
      </w:r>
    </w:p>
    <w:p>
      <w:pPr>
        <w:ind w:firstLine="640" w:firstLineChars="200"/>
        <w:rPr>
          <w:rFonts w:hint="eastAsia" w:ascii="黑体" w:hAnsi="黑体" w:eastAsia="黑体" w:cs="黑体"/>
          <w:sz w:val="32"/>
          <w:szCs w:val="32"/>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一、绩效目标分解下达情况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中央下达安徽省淮北市</w:t>
      </w:r>
      <w:r>
        <w:rPr>
          <w:rFonts w:hint="eastAsia" w:ascii="仿宋_GB2312" w:hAnsi="仿宋_GB2312" w:eastAsia="仿宋_GB2312" w:cs="仿宋_GB2312"/>
          <w:sz w:val="32"/>
          <w:szCs w:val="32"/>
          <w:lang w:val="en-US" w:eastAsia="zh-CN"/>
        </w:rPr>
        <w:t>相山区</w:t>
      </w:r>
      <w:r>
        <w:rPr>
          <w:rFonts w:hint="eastAsia" w:ascii="仿宋_GB2312" w:hAnsi="仿宋_GB2312" w:eastAsia="仿宋_GB2312" w:cs="仿宋_GB2312"/>
          <w:sz w:val="32"/>
          <w:szCs w:val="32"/>
        </w:rPr>
        <w:t>义务教育薄弱环节改善及能力提升资金预算合理，能提升学校办学条件。</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二、绩效情况分析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(一)资金投入情况分析。</w:t>
      </w:r>
      <w:r>
        <w:rPr>
          <w:rFonts w:hint="eastAsia" w:ascii="仿宋_GB2312" w:hAnsi="仿宋_GB2312" w:eastAsia="仿宋_GB2312" w:cs="仿宋_GB2312"/>
          <w:sz w:val="32"/>
          <w:szCs w:val="32"/>
          <w:lang w:val="en-US" w:eastAsia="zh-CN"/>
        </w:rPr>
        <w:t>此次下达义务教育薄弱环节改善能力与提升提升资金共计2408万元，其中教学设备采购资金735万元，维修改造资金1673万元。</w:t>
      </w:r>
      <w:r>
        <w:rPr>
          <w:rFonts w:hint="eastAsia" w:ascii="仿宋_GB2312" w:hAnsi="仿宋_GB2312" w:eastAsia="仿宋_GB2312" w:cs="仿宋_GB2312"/>
          <w:sz w:val="32"/>
          <w:szCs w:val="32"/>
        </w:rPr>
        <w:t>中央义务教育薄弱环节改善及能力提升资金投入合理、能改善薄弱学校办学条件、提升薄弱学校办学能力，学校充分利用该资金购置了教学设施设备，改善了办学条件，执行情况很好。</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(二)资金管理情况分析。</w:t>
      </w:r>
      <w:r>
        <w:rPr>
          <w:rFonts w:hint="eastAsia" w:ascii="仿宋_GB2312" w:hAnsi="仿宋_GB2312" w:eastAsia="仿宋_GB2312" w:cs="仿宋_GB2312"/>
          <w:sz w:val="32"/>
          <w:szCs w:val="32"/>
          <w:lang w:val="en-US" w:eastAsia="zh-CN"/>
        </w:rPr>
        <w:t>结合我区各校实际办学情况，教育局党委会议研究决定将此次中央下达资金全部分配到12所学校用于改善学校办学条件，各校积极实施该项工作，通过政府公开招标的方式，购置了一批教学设备，提升了学校办学水平。</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(三)总体绩效目标完成情况分析。学校严格执行该专项资金的使用性、预算绩效管理良好，</w:t>
      </w:r>
      <w:r>
        <w:rPr>
          <w:rFonts w:hint="eastAsia" w:ascii="仿宋_GB2312" w:hAnsi="仿宋_GB2312" w:eastAsia="仿宋_GB2312" w:cs="仿宋_GB2312"/>
          <w:sz w:val="32"/>
          <w:szCs w:val="32"/>
          <w:lang w:val="en-US" w:eastAsia="zh-CN"/>
        </w:rPr>
        <w:t>于2024年底前全部完成设备购置验收工作，老师、学生、家长反应良好，满意度较高，</w:t>
      </w:r>
      <w:r>
        <w:rPr>
          <w:rFonts w:hint="eastAsia" w:ascii="仿宋_GB2312" w:hAnsi="仿宋_GB2312" w:eastAsia="仿宋_GB2312" w:cs="仿宋_GB2312"/>
          <w:sz w:val="32"/>
          <w:szCs w:val="32"/>
        </w:rPr>
        <w:t>但该项资金</w:t>
      </w:r>
      <w:r>
        <w:rPr>
          <w:rFonts w:hint="eastAsia" w:ascii="仿宋_GB2312" w:hAnsi="仿宋_GB2312" w:eastAsia="仿宋_GB2312" w:cs="仿宋_GB2312"/>
          <w:sz w:val="32"/>
          <w:szCs w:val="32"/>
          <w:lang w:val="en-US" w:eastAsia="zh-CN"/>
        </w:rPr>
        <w:t>目前只支付了598万元，还有1810万元</w:t>
      </w:r>
      <w:r>
        <w:rPr>
          <w:rFonts w:hint="eastAsia" w:ascii="仿宋_GB2312" w:hAnsi="仿宋_GB2312" w:eastAsia="仿宋_GB2312" w:cs="仿宋_GB2312"/>
          <w:sz w:val="32"/>
          <w:szCs w:val="32"/>
        </w:rPr>
        <w:t>未支付到位</w:t>
      </w:r>
      <w:r>
        <w:rPr>
          <w:rFonts w:hint="eastAsia" w:ascii="仿宋_GB2312" w:hAnsi="仿宋_GB2312" w:eastAsia="仿宋_GB2312" w:cs="仿宋_GB2312"/>
          <w:sz w:val="32"/>
          <w:szCs w:val="32"/>
          <w:lang w:eastAsia="zh-CN"/>
        </w:rPr>
        <w:t>。</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(四)绩效指标完成情况分析。</w:t>
      </w:r>
      <w:r>
        <w:rPr>
          <w:rFonts w:hint="eastAsia" w:ascii="仿宋_GB2312" w:hAnsi="仿宋_GB2312" w:eastAsia="仿宋_GB2312" w:cs="仿宋_GB2312"/>
          <w:sz w:val="32"/>
          <w:szCs w:val="32"/>
          <w:lang w:val="en-US" w:eastAsia="zh-CN"/>
        </w:rPr>
        <w:t>我区2024年</w:t>
      </w:r>
      <w:r>
        <w:rPr>
          <w:rFonts w:hint="eastAsia" w:ascii="仿宋_GB2312" w:hAnsi="仿宋_GB2312" w:eastAsia="仿宋_GB2312" w:cs="仿宋_GB2312"/>
          <w:sz w:val="32"/>
          <w:szCs w:val="32"/>
        </w:rPr>
        <w:t>义务教育薄弱环节改善与能力提升补助转移支付</w:t>
      </w:r>
      <w:r>
        <w:rPr>
          <w:rFonts w:hint="eastAsia" w:ascii="仿宋_GB2312" w:hAnsi="仿宋_GB2312" w:eastAsia="仿宋_GB2312" w:cs="仿宋_GB2312"/>
          <w:sz w:val="32"/>
          <w:szCs w:val="32"/>
          <w:lang w:val="en-US" w:eastAsia="zh-CN"/>
        </w:rPr>
        <w:t>中央财政资金的投入建设项目合格率100%；</w:t>
      </w:r>
      <w:r>
        <w:rPr>
          <w:rFonts w:hint="eastAsia" w:ascii="仿宋_GB2312" w:hAnsi="仿宋_GB2312" w:eastAsia="仿宋_GB2312" w:cs="仿宋_GB2312"/>
          <w:sz w:val="32"/>
          <w:szCs w:val="32"/>
        </w:rPr>
        <w:t>设备采</w:t>
      </w:r>
      <w:r>
        <w:rPr>
          <w:rFonts w:hint="eastAsia" w:ascii="仿宋_GB2312" w:hAnsi="仿宋_GB2312" w:eastAsia="仿宋_GB2312" w:cs="仿宋_GB2312"/>
          <w:sz w:val="32"/>
          <w:szCs w:val="32"/>
          <w:lang w:val="en-US" w:eastAsia="zh-CN"/>
        </w:rPr>
        <w:t>购质量合格率100%</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；教育教学设施设备采购年度计划完成率100%</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；学校无56人以上大班额班级呈逐年下降趋势；学校通过薄改项目教学质量稳步上升；老师、家长和学生满意度100%。</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三、偏离绩效目标的原因和下一步改进措施</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lang w:val="en-US" w:eastAsia="zh-CN"/>
        </w:rPr>
        <w:t>相山区2024年转移支付义务教育薄弱环节改善与能力中央财政资金使用严格按照有关制度执行，无偏离绩效目标现象。</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四、绩效自评结果拟应用和公开情况</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lang w:val="en-US" w:eastAsia="zh-CN"/>
        </w:rPr>
        <w:t>2024年转移支付相山区义务教育薄弱环节改善与能力中央财政资金使用合规，均按照相关制度进行了公开。</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五、其他需要说明的问题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无。</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六、附件</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相山区</w:t>
      </w:r>
      <w:r>
        <w:rPr>
          <w:rFonts w:hint="eastAsia" w:ascii="仿宋_GB2312" w:hAnsi="仿宋_GB2312" w:eastAsia="仿宋_GB2312" w:cs="仿宋_GB2312"/>
          <w:sz w:val="32"/>
          <w:szCs w:val="32"/>
        </w:rPr>
        <w:t>转移支付区域(项目)绩效自评表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附后</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ind w:firstLine="5440" w:firstLineChars="1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2025年3月31日</w:t>
      </w:r>
    </w:p>
    <w:tbl>
      <w:tblPr>
        <w:tblW w:w="12053" w:type="dxa"/>
        <w:tblInd w:w="-1073" w:type="dxa"/>
        <w:shd w:val="clear"/>
        <w:tblLayout w:type="fixed"/>
        <w:tblCellMar>
          <w:top w:w="0" w:type="dxa"/>
          <w:left w:w="0" w:type="dxa"/>
          <w:bottom w:w="0" w:type="dxa"/>
          <w:right w:w="0" w:type="dxa"/>
        </w:tblCellMar>
      </w:tblPr>
      <w:tblGrid>
        <w:gridCol w:w="1716"/>
        <w:gridCol w:w="1081"/>
        <w:gridCol w:w="892"/>
        <w:gridCol w:w="2135"/>
        <w:gridCol w:w="932"/>
        <w:gridCol w:w="1284"/>
        <w:gridCol w:w="1230"/>
        <w:gridCol w:w="2783"/>
      </w:tblGrid>
      <w:tr>
        <w:tblPrEx>
          <w:shd w:val="clear"/>
          <w:tblCellMar>
            <w:top w:w="0" w:type="dxa"/>
            <w:left w:w="0" w:type="dxa"/>
            <w:bottom w:w="0" w:type="dxa"/>
            <w:right w:w="0" w:type="dxa"/>
          </w:tblCellMar>
        </w:tblPrEx>
        <w:trPr>
          <w:trHeight w:val="350" w:hRule="atLeast"/>
        </w:trPr>
        <w:tc>
          <w:tcPr>
            <w:tcW w:w="1716" w:type="dxa"/>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bdr w:val="none" w:color="auto" w:sz="0" w:space="0"/>
                <w:lang w:val="en-US" w:eastAsia="zh-CN" w:bidi="ar"/>
              </w:rPr>
              <w:t>附件</w:t>
            </w:r>
          </w:p>
        </w:tc>
        <w:tc>
          <w:tcPr>
            <w:tcW w:w="1081" w:type="dxa"/>
            <w:tcBorders>
              <w:top w:val="nil"/>
              <w:left w:val="nil"/>
              <w:bottom w:val="nil"/>
              <w:right w:val="nil"/>
            </w:tcBorders>
            <w:shd w:val="clear"/>
            <w:tcMar>
              <w:top w:w="10" w:type="dxa"/>
              <w:left w:w="10" w:type="dxa"/>
              <w:right w:w="10" w:type="dxa"/>
            </w:tcMar>
            <w:vAlign w:val="center"/>
          </w:tcPr>
          <w:p>
            <w:pPr>
              <w:rPr>
                <w:rFonts w:hint="eastAsia" w:ascii="黑体" w:hAnsi="宋体" w:eastAsia="黑体" w:cs="黑体"/>
                <w:i w:val="0"/>
                <w:color w:val="000000"/>
                <w:sz w:val="24"/>
                <w:szCs w:val="24"/>
                <w:u w:val="none"/>
              </w:rPr>
            </w:pPr>
          </w:p>
        </w:tc>
        <w:tc>
          <w:tcPr>
            <w:tcW w:w="892" w:type="dxa"/>
            <w:tcBorders>
              <w:top w:val="nil"/>
              <w:left w:val="nil"/>
              <w:bottom w:val="nil"/>
              <w:right w:val="nil"/>
            </w:tcBorders>
            <w:shd w:val="clear"/>
            <w:tcMar>
              <w:top w:w="10" w:type="dxa"/>
              <w:left w:w="10" w:type="dxa"/>
              <w:right w:w="10" w:type="dxa"/>
            </w:tcMar>
            <w:vAlign w:val="center"/>
          </w:tcPr>
          <w:p>
            <w:pPr>
              <w:rPr>
                <w:rFonts w:hint="eastAsia" w:ascii="黑体" w:hAnsi="宋体" w:eastAsia="黑体" w:cs="黑体"/>
                <w:i w:val="0"/>
                <w:color w:val="000000"/>
                <w:sz w:val="24"/>
                <w:szCs w:val="24"/>
                <w:u w:val="none"/>
              </w:rPr>
            </w:pPr>
          </w:p>
        </w:tc>
        <w:tc>
          <w:tcPr>
            <w:tcW w:w="2135" w:type="dxa"/>
            <w:tcBorders>
              <w:top w:val="nil"/>
              <w:left w:val="nil"/>
              <w:bottom w:val="nil"/>
              <w:right w:val="nil"/>
            </w:tcBorders>
            <w:shd w:val="clear"/>
            <w:tcMar>
              <w:top w:w="10" w:type="dxa"/>
              <w:left w:w="10" w:type="dxa"/>
              <w:right w:w="10" w:type="dxa"/>
            </w:tcMar>
            <w:vAlign w:val="center"/>
          </w:tcPr>
          <w:p>
            <w:pPr>
              <w:rPr>
                <w:rFonts w:hint="eastAsia" w:ascii="黑体" w:hAnsi="宋体" w:eastAsia="黑体" w:cs="黑体"/>
                <w:i w:val="0"/>
                <w:color w:val="000000"/>
                <w:sz w:val="24"/>
                <w:szCs w:val="24"/>
                <w:u w:val="none"/>
              </w:rPr>
            </w:pPr>
          </w:p>
        </w:tc>
        <w:tc>
          <w:tcPr>
            <w:tcW w:w="932" w:type="dxa"/>
            <w:tcBorders>
              <w:top w:val="nil"/>
              <w:left w:val="nil"/>
              <w:bottom w:val="nil"/>
              <w:right w:val="nil"/>
            </w:tcBorders>
            <w:shd w:val="clear"/>
            <w:tcMar>
              <w:top w:w="10" w:type="dxa"/>
              <w:left w:w="10" w:type="dxa"/>
              <w:right w:w="10" w:type="dxa"/>
            </w:tcMar>
            <w:vAlign w:val="center"/>
          </w:tcPr>
          <w:p>
            <w:pPr>
              <w:rPr>
                <w:rFonts w:hint="eastAsia" w:ascii="宋体" w:hAnsi="宋体" w:eastAsia="宋体" w:cs="宋体"/>
                <w:i w:val="0"/>
                <w:color w:val="000000"/>
                <w:sz w:val="24"/>
                <w:szCs w:val="24"/>
                <w:u w:val="none"/>
              </w:rPr>
            </w:pPr>
          </w:p>
        </w:tc>
        <w:tc>
          <w:tcPr>
            <w:tcW w:w="1284" w:type="dxa"/>
            <w:tcBorders>
              <w:top w:val="nil"/>
              <w:left w:val="nil"/>
              <w:bottom w:val="nil"/>
              <w:right w:val="nil"/>
            </w:tcBorders>
            <w:shd w:val="clear"/>
            <w:tcMar>
              <w:top w:w="10" w:type="dxa"/>
              <w:left w:w="10" w:type="dxa"/>
              <w:right w:w="10" w:type="dxa"/>
            </w:tcMar>
            <w:vAlign w:val="center"/>
          </w:tcPr>
          <w:p>
            <w:pPr>
              <w:rPr>
                <w:rFonts w:hint="eastAsia" w:ascii="宋体" w:hAnsi="宋体" w:eastAsia="宋体" w:cs="宋体"/>
                <w:i w:val="0"/>
                <w:color w:val="000000"/>
                <w:sz w:val="24"/>
                <w:szCs w:val="24"/>
                <w:u w:val="none"/>
              </w:rPr>
            </w:pPr>
          </w:p>
        </w:tc>
        <w:tc>
          <w:tcPr>
            <w:tcW w:w="1230" w:type="dxa"/>
            <w:tcBorders>
              <w:top w:val="nil"/>
              <w:left w:val="nil"/>
              <w:bottom w:val="nil"/>
              <w:right w:val="nil"/>
            </w:tcBorders>
            <w:shd w:val="clear"/>
            <w:tcMar>
              <w:top w:w="10" w:type="dxa"/>
              <w:left w:w="10" w:type="dxa"/>
              <w:right w:w="10" w:type="dxa"/>
            </w:tcMar>
            <w:vAlign w:val="center"/>
          </w:tcPr>
          <w:p>
            <w:pPr>
              <w:rPr>
                <w:rFonts w:hint="eastAsia" w:ascii="宋体" w:hAnsi="宋体" w:eastAsia="宋体" w:cs="宋体"/>
                <w:i w:val="0"/>
                <w:color w:val="000000"/>
                <w:sz w:val="24"/>
                <w:szCs w:val="24"/>
                <w:u w:val="none"/>
              </w:rPr>
            </w:pPr>
          </w:p>
        </w:tc>
        <w:tc>
          <w:tcPr>
            <w:tcW w:w="2783" w:type="dxa"/>
            <w:tcBorders>
              <w:top w:val="nil"/>
              <w:left w:val="nil"/>
              <w:bottom w:val="nil"/>
              <w:right w:val="nil"/>
            </w:tcBorders>
            <w:shd w:val="clear"/>
            <w:tcMar>
              <w:top w:w="10" w:type="dxa"/>
              <w:left w:w="10" w:type="dxa"/>
              <w:right w:w="10" w:type="dxa"/>
            </w:tcMar>
            <w:vAlign w:val="center"/>
          </w:tcPr>
          <w:p>
            <w:pPr>
              <w:rPr>
                <w:rFonts w:hint="eastAsia" w:ascii="宋体" w:hAnsi="宋体" w:eastAsia="宋体" w:cs="宋体"/>
                <w:i w:val="0"/>
                <w:color w:val="000000"/>
                <w:sz w:val="24"/>
                <w:szCs w:val="24"/>
                <w:u w:val="none"/>
              </w:rPr>
            </w:pPr>
          </w:p>
        </w:tc>
      </w:tr>
      <w:tr>
        <w:tblPrEx>
          <w:shd w:val="clear"/>
          <w:tblCellMar>
            <w:top w:w="0" w:type="dxa"/>
            <w:left w:w="0" w:type="dxa"/>
            <w:bottom w:w="0" w:type="dxa"/>
            <w:right w:w="0" w:type="dxa"/>
          </w:tblCellMar>
        </w:tblPrEx>
        <w:trPr>
          <w:trHeight w:val="680" w:hRule="atLeast"/>
        </w:trPr>
        <w:tc>
          <w:tcPr>
            <w:tcW w:w="12053" w:type="dxa"/>
            <w:gridSpan w:val="8"/>
            <w:tcBorders>
              <w:top w:val="nil"/>
              <w:left w:val="nil"/>
              <w:bottom w:val="nil"/>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bdr w:val="none" w:color="auto" w:sz="0" w:space="0"/>
                <w:lang w:val="en-US" w:eastAsia="zh-CN" w:bidi="ar"/>
              </w:rPr>
              <w:t xml:space="preserve">安徽省XX市义务教育薄弱环节改善与能力提升补助转移支付区域（项目）绩效目标自评表 </w:t>
            </w:r>
          </w:p>
        </w:tc>
      </w:tr>
      <w:tr>
        <w:tblPrEx>
          <w:tblCellMar>
            <w:top w:w="0" w:type="dxa"/>
            <w:left w:w="0" w:type="dxa"/>
            <w:bottom w:w="0" w:type="dxa"/>
            <w:right w:w="0" w:type="dxa"/>
          </w:tblCellMar>
        </w:tblPrEx>
        <w:trPr>
          <w:trHeight w:val="360" w:hRule="atLeast"/>
        </w:trPr>
        <w:tc>
          <w:tcPr>
            <w:tcW w:w="12053" w:type="dxa"/>
            <w:gridSpan w:val="8"/>
            <w:tcBorders>
              <w:top w:val="nil"/>
              <w:left w:val="nil"/>
              <w:bottom w:val="single" w:color="000000" w:sz="4" w:space="0"/>
              <w:right w:val="nil"/>
            </w:tcBorders>
            <w:shd w:val="clear"/>
            <w:tcMar>
              <w:top w:w="10" w:type="dxa"/>
              <w:left w:w="10" w:type="dxa"/>
              <w:right w:w="10" w:type="dxa"/>
            </w:tcMar>
            <w:vAlign w:val="top"/>
          </w:tcPr>
          <w:p>
            <w:pPr>
              <w:keepNext w:val="0"/>
              <w:keepLines w:val="0"/>
              <w:widowControl/>
              <w:suppressLineNumbers w:val="0"/>
              <w:jc w:val="center"/>
              <w:textAlignment w:val="top"/>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（2024年度）</w:t>
            </w:r>
          </w:p>
        </w:tc>
      </w:tr>
      <w:tr>
        <w:tblPrEx>
          <w:shd w:val="clear"/>
          <w:tblCellMar>
            <w:top w:w="0" w:type="dxa"/>
            <w:left w:w="0" w:type="dxa"/>
            <w:bottom w:w="0" w:type="dxa"/>
            <w:right w:w="0" w:type="dxa"/>
          </w:tblCellMar>
        </w:tblPrEx>
        <w:trPr>
          <w:trHeight w:val="520" w:hRule="atLeast"/>
        </w:trPr>
        <w:tc>
          <w:tcPr>
            <w:tcW w:w="3689"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转移支付（项目）名称</w:t>
            </w:r>
          </w:p>
        </w:tc>
        <w:tc>
          <w:tcPr>
            <w:tcW w:w="8364" w:type="dxa"/>
            <w:gridSpan w:val="5"/>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义务教育薄弱环节改善与能力提升补助</w:t>
            </w:r>
          </w:p>
        </w:tc>
      </w:tr>
      <w:tr>
        <w:tblPrEx>
          <w:shd w:val="clear"/>
          <w:tblCellMar>
            <w:top w:w="0" w:type="dxa"/>
            <w:left w:w="0" w:type="dxa"/>
            <w:bottom w:w="0" w:type="dxa"/>
            <w:right w:w="0" w:type="dxa"/>
          </w:tblCellMar>
        </w:tblPrEx>
        <w:trPr>
          <w:trHeight w:val="280" w:hRule="atLeast"/>
        </w:trPr>
        <w:tc>
          <w:tcPr>
            <w:tcW w:w="3689"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中央主管部门</w:t>
            </w:r>
          </w:p>
        </w:tc>
        <w:tc>
          <w:tcPr>
            <w:tcW w:w="8364" w:type="dxa"/>
            <w:gridSpan w:val="5"/>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教育部</w:t>
            </w:r>
          </w:p>
        </w:tc>
      </w:tr>
      <w:tr>
        <w:tblPrEx>
          <w:shd w:val="clear"/>
          <w:tblCellMar>
            <w:top w:w="0" w:type="dxa"/>
            <w:left w:w="0" w:type="dxa"/>
            <w:bottom w:w="0" w:type="dxa"/>
            <w:right w:w="0" w:type="dxa"/>
          </w:tblCellMar>
        </w:tblPrEx>
        <w:trPr>
          <w:trHeight w:val="280" w:hRule="atLeast"/>
        </w:trPr>
        <w:tc>
          <w:tcPr>
            <w:tcW w:w="3689"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地方主管部门</w:t>
            </w:r>
          </w:p>
        </w:tc>
        <w:tc>
          <w:tcPr>
            <w:tcW w:w="3067"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财政厅  教育厅</w:t>
            </w:r>
          </w:p>
        </w:tc>
        <w:tc>
          <w:tcPr>
            <w:tcW w:w="128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资金使用单位</w:t>
            </w:r>
          </w:p>
        </w:tc>
        <w:tc>
          <w:tcPr>
            <w:tcW w:w="4013"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520" w:hRule="atLeast"/>
        </w:trPr>
        <w:tc>
          <w:tcPr>
            <w:tcW w:w="3689" w:type="dxa"/>
            <w:gridSpan w:val="3"/>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资金投入情况</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（万元）</w:t>
            </w:r>
          </w:p>
        </w:tc>
        <w:tc>
          <w:tcPr>
            <w:tcW w:w="21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全年预算数（A）</w:t>
            </w:r>
          </w:p>
        </w:tc>
        <w:tc>
          <w:tcPr>
            <w:tcW w:w="2514"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全年执行数（B）</w:t>
            </w:r>
          </w:p>
        </w:tc>
        <w:tc>
          <w:tcPr>
            <w:tcW w:w="278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预算执行率</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（B/A×100%)</w:t>
            </w:r>
          </w:p>
        </w:tc>
      </w:tr>
      <w:tr>
        <w:tblPrEx>
          <w:shd w:val="clear"/>
          <w:tblCellMar>
            <w:top w:w="0" w:type="dxa"/>
            <w:left w:w="0" w:type="dxa"/>
            <w:bottom w:w="0" w:type="dxa"/>
            <w:right w:w="0" w:type="dxa"/>
          </w:tblCellMar>
        </w:tblPrEx>
        <w:trPr>
          <w:trHeight w:val="280" w:hRule="atLeast"/>
        </w:trPr>
        <w:tc>
          <w:tcPr>
            <w:tcW w:w="3689" w:type="dxa"/>
            <w:gridSpan w:val="3"/>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年度资金总额：</w:t>
            </w:r>
          </w:p>
        </w:tc>
        <w:tc>
          <w:tcPr>
            <w:tcW w:w="93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2408</w:t>
            </w:r>
          </w:p>
        </w:tc>
        <w:tc>
          <w:tcPr>
            <w:tcW w:w="2514"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598</w:t>
            </w:r>
          </w:p>
        </w:tc>
        <w:tc>
          <w:tcPr>
            <w:tcW w:w="278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280" w:hRule="atLeast"/>
        </w:trPr>
        <w:tc>
          <w:tcPr>
            <w:tcW w:w="3689" w:type="dxa"/>
            <w:gridSpan w:val="3"/>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4"/>
                <w:bdr w:val="none" w:color="auto" w:sz="0" w:space="0"/>
                <w:lang w:val="en-US" w:eastAsia="zh-CN" w:bidi="ar"/>
              </w:rPr>
              <w:t xml:space="preserve"> </w:t>
            </w:r>
            <w:r>
              <w:rPr>
                <w:rStyle w:val="5"/>
                <w:bdr w:val="none" w:color="auto" w:sz="0" w:space="0"/>
                <w:lang w:val="en-US" w:eastAsia="zh-CN" w:bidi="ar"/>
              </w:rPr>
              <w:t>其中：中央财政资金</w:t>
            </w:r>
          </w:p>
        </w:tc>
        <w:tc>
          <w:tcPr>
            <w:tcW w:w="93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2408</w:t>
            </w:r>
          </w:p>
        </w:tc>
        <w:tc>
          <w:tcPr>
            <w:tcW w:w="2514"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598</w:t>
            </w:r>
          </w:p>
        </w:tc>
        <w:tc>
          <w:tcPr>
            <w:tcW w:w="278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24.83%</w:t>
            </w:r>
          </w:p>
        </w:tc>
      </w:tr>
      <w:tr>
        <w:tblPrEx>
          <w:tblCellMar>
            <w:top w:w="0" w:type="dxa"/>
            <w:left w:w="0" w:type="dxa"/>
            <w:bottom w:w="0" w:type="dxa"/>
            <w:right w:w="0" w:type="dxa"/>
          </w:tblCellMar>
        </w:tblPrEx>
        <w:trPr>
          <w:trHeight w:val="280" w:hRule="atLeast"/>
        </w:trPr>
        <w:tc>
          <w:tcPr>
            <w:tcW w:w="3689" w:type="dxa"/>
            <w:gridSpan w:val="3"/>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bdr w:val="none" w:color="auto" w:sz="0" w:space="0"/>
                <w:lang w:val="en-US" w:eastAsia="zh-CN" w:bidi="ar"/>
              </w:rPr>
              <w:t>省级</w:t>
            </w:r>
            <w:r>
              <w:rPr>
                <w:rStyle w:val="5"/>
                <w:bdr w:val="none" w:color="auto" w:sz="0" w:space="0"/>
                <w:lang w:val="en-US" w:eastAsia="zh-CN" w:bidi="ar"/>
              </w:rPr>
              <w:t>资金</w:t>
            </w:r>
          </w:p>
        </w:tc>
        <w:tc>
          <w:tcPr>
            <w:tcW w:w="93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78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280" w:hRule="atLeast"/>
        </w:trPr>
        <w:tc>
          <w:tcPr>
            <w:tcW w:w="3689" w:type="dxa"/>
            <w:gridSpan w:val="3"/>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市级资金</w:t>
            </w:r>
          </w:p>
        </w:tc>
        <w:tc>
          <w:tcPr>
            <w:tcW w:w="93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78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280" w:hRule="atLeast"/>
        </w:trPr>
        <w:tc>
          <w:tcPr>
            <w:tcW w:w="3689" w:type="dxa"/>
            <w:gridSpan w:val="3"/>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县（市、区）资金</w:t>
            </w:r>
          </w:p>
        </w:tc>
        <w:tc>
          <w:tcPr>
            <w:tcW w:w="93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78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280" w:hRule="atLeast"/>
        </w:trPr>
        <w:tc>
          <w:tcPr>
            <w:tcW w:w="3689" w:type="dxa"/>
            <w:gridSpan w:val="3"/>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bdr w:val="none" w:color="auto" w:sz="0" w:space="0"/>
                <w:lang w:val="en-US" w:eastAsia="zh-CN" w:bidi="ar"/>
              </w:rPr>
              <w:t xml:space="preserve">      </w:t>
            </w:r>
            <w:r>
              <w:rPr>
                <w:rStyle w:val="5"/>
                <w:bdr w:val="none" w:color="auto" w:sz="0" w:space="0"/>
                <w:lang w:val="en-US" w:eastAsia="zh-CN" w:bidi="ar"/>
              </w:rPr>
              <w:t xml:space="preserve">  其他资金</w:t>
            </w:r>
          </w:p>
        </w:tc>
        <w:tc>
          <w:tcPr>
            <w:tcW w:w="93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78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560" w:hRule="atLeast"/>
        </w:trPr>
        <w:tc>
          <w:tcPr>
            <w:tcW w:w="3689" w:type="dxa"/>
            <w:gridSpan w:val="3"/>
            <w:vMerge w:val="restart"/>
            <w:tcBorders>
              <w:top w:val="single" w:color="000000" w:sz="4" w:space="0"/>
              <w:left w:val="single" w:color="000000" w:sz="4" w:space="0"/>
              <w:bottom w:val="single" w:color="000000" w:sz="4" w:space="0"/>
              <w:right w:val="nil"/>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资金管理情况</w:t>
            </w:r>
          </w:p>
        </w:tc>
        <w:tc>
          <w:tcPr>
            <w:tcW w:w="21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rPr>
                <w:rFonts w:hint="eastAsia" w:ascii="宋体" w:hAnsi="宋体" w:eastAsia="宋体" w:cs="宋体"/>
                <w:i w:val="0"/>
                <w:color w:val="000000"/>
                <w:sz w:val="18"/>
                <w:szCs w:val="18"/>
                <w:u w:val="none"/>
              </w:rPr>
            </w:pPr>
          </w:p>
        </w:tc>
        <w:tc>
          <w:tcPr>
            <w:tcW w:w="3446"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情况说明</w:t>
            </w:r>
          </w:p>
        </w:tc>
        <w:tc>
          <w:tcPr>
            <w:tcW w:w="278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存在问题和改进措施</w:t>
            </w:r>
          </w:p>
        </w:tc>
      </w:tr>
      <w:tr>
        <w:tblPrEx>
          <w:shd w:val="clear"/>
          <w:tblCellMar>
            <w:top w:w="0" w:type="dxa"/>
            <w:left w:w="0" w:type="dxa"/>
            <w:bottom w:w="0" w:type="dxa"/>
            <w:right w:w="0" w:type="dxa"/>
          </w:tblCellMar>
        </w:tblPrEx>
        <w:trPr>
          <w:trHeight w:val="280" w:hRule="atLeast"/>
        </w:trPr>
        <w:tc>
          <w:tcPr>
            <w:tcW w:w="3689" w:type="dxa"/>
            <w:gridSpan w:val="3"/>
            <w:vMerge w:val="continue"/>
            <w:tcBorders>
              <w:top w:val="single" w:color="000000" w:sz="4" w:space="0"/>
              <w:left w:val="single" w:color="000000" w:sz="4" w:space="0"/>
              <w:bottom w:val="single" w:color="000000" w:sz="4" w:space="0"/>
              <w:right w:val="nil"/>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分配科学性</w:t>
            </w:r>
          </w:p>
        </w:tc>
        <w:tc>
          <w:tcPr>
            <w:tcW w:w="3446"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资金分配合理</w:t>
            </w:r>
          </w:p>
        </w:tc>
        <w:tc>
          <w:tcPr>
            <w:tcW w:w="278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0" w:hRule="atLeast"/>
        </w:trPr>
        <w:tc>
          <w:tcPr>
            <w:tcW w:w="3689" w:type="dxa"/>
            <w:gridSpan w:val="3"/>
            <w:vMerge w:val="continue"/>
            <w:tcBorders>
              <w:top w:val="single" w:color="000000" w:sz="4" w:space="0"/>
              <w:left w:val="single" w:color="000000" w:sz="4" w:space="0"/>
              <w:bottom w:val="single" w:color="000000" w:sz="4" w:space="0"/>
              <w:right w:val="nil"/>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下达及时性</w:t>
            </w:r>
          </w:p>
        </w:tc>
        <w:tc>
          <w:tcPr>
            <w:tcW w:w="3446"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资金能够及时足额下达</w:t>
            </w:r>
          </w:p>
        </w:tc>
        <w:tc>
          <w:tcPr>
            <w:tcW w:w="278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280" w:hRule="atLeast"/>
        </w:trPr>
        <w:tc>
          <w:tcPr>
            <w:tcW w:w="3689" w:type="dxa"/>
            <w:gridSpan w:val="3"/>
            <w:vMerge w:val="continue"/>
            <w:tcBorders>
              <w:top w:val="single" w:color="000000" w:sz="4" w:space="0"/>
              <w:left w:val="single" w:color="000000" w:sz="4" w:space="0"/>
              <w:bottom w:val="single" w:color="000000" w:sz="4" w:space="0"/>
              <w:right w:val="nil"/>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拨付合规性</w:t>
            </w:r>
          </w:p>
        </w:tc>
        <w:tc>
          <w:tcPr>
            <w:tcW w:w="3446"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按照拨付单及时拨付</w:t>
            </w:r>
          </w:p>
        </w:tc>
        <w:tc>
          <w:tcPr>
            <w:tcW w:w="278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640" w:hRule="atLeast"/>
        </w:trPr>
        <w:tc>
          <w:tcPr>
            <w:tcW w:w="3689" w:type="dxa"/>
            <w:gridSpan w:val="3"/>
            <w:vMerge w:val="continue"/>
            <w:tcBorders>
              <w:top w:val="single" w:color="000000" w:sz="4" w:space="0"/>
              <w:left w:val="single" w:color="000000" w:sz="4" w:space="0"/>
              <w:bottom w:val="single" w:color="000000" w:sz="4" w:space="0"/>
              <w:right w:val="nil"/>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使用规范性</w:t>
            </w:r>
          </w:p>
        </w:tc>
        <w:tc>
          <w:tcPr>
            <w:tcW w:w="3446"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严格按照义务教育薄弱环节改善与能力提升资金使用办法规范使用</w:t>
            </w:r>
          </w:p>
        </w:tc>
        <w:tc>
          <w:tcPr>
            <w:tcW w:w="278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280" w:hRule="atLeast"/>
        </w:trPr>
        <w:tc>
          <w:tcPr>
            <w:tcW w:w="3689" w:type="dxa"/>
            <w:gridSpan w:val="3"/>
            <w:vMerge w:val="continue"/>
            <w:tcBorders>
              <w:top w:val="single" w:color="000000" w:sz="4" w:space="0"/>
              <w:left w:val="single" w:color="000000" w:sz="4" w:space="0"/>
              <w:bottom w:val="single" w:color="000000" w:sz="4" w:space="0"/>
              <w:right w:val="nil"/>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执行准确性</w:t>
            </w:r>
          </w:p>
        </w:tc>
        <w:tc>
          <w:tcPr>
            <w:tcW w:w="3446"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全部用于义务教育支出</w:t>
            </w:r>
          </w:p>
        </w:tc>
        <w:tc>
          <w:tcPr>
            <w:tcW w:w="278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280" w:hRule="atLeast"/>
        </w:trPr>
        <w:tc>
          <w:tcPr>
            <w:tcW w:w="3689" w:type="dxa"/>
            <w:gridSpan w:val="3"/>
            <w:vMerge w:val="continue"/>
            <w:tcBorders>
              <w:top w:val="single" w:color="000000" w:sz="4" w:space="0"/>
              <w:left w:val="single" w:color="000000" w:sz="4" w:space="0"/>
              <w:bottom w:val="single" w:color="000000" w:sz="4" w:space="0"/>
              <w:right w:val="nil"/>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预算绩效管理情况</w:t>
            </w:r>
          </w:p>
        </w:tc>
        <w:tc>
          <w:tcPr>
            <w:tcW w:w="3446"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做到事前、事中、事后的预算绩效评价管理</w:t>
            </w:r>
          </w:p>
        </w:tc>
        <w:tc>
          <w:tcPr>
            <w:tcW w:w="278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20" w:hRule="atLeast"/>
        </w:trPr>
        <w:tc>
          <w:tcPr>
            <w:tcW w:w="3689" w:type="dxa"/>
            <w:gridSpan w:val="3"/>
            <w:vMerge w:val="continue"/>
            <w:tcBorders>
              <w:top w:val="single" w:color="000000" w:sz="4" w:space="0"/>
              <w:left w:val="single" w:color="000000" w:sz="4" w:space="0"/>
              <w:bottom w:val="single" w:color="000000" w:sz="4" w:space="0"/>
              <w:right w:val="nil"/>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3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支出责任履行情况</w:t>
            </w:r>
          </w:p>
        </w:tc>
        <w:tc>
          <w:tcPr>
            <w:tcW w:w="3446"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由财政下达预算指标，各项目实施学校按照规定支出</w:t>
            </w:r>
          </w:p>
        </w:tc>
        <w:tc>
          <w:tcPr>
            <w:tcW w:w="278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1716"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总体目标完成情况</w:t>
            </w:r>
          </w:p>
        </w:tc>
        <w:tc>
          <w:tcPr>
            <w:tcW w:w="5040" w:type="dxa"/>
            <w:gridSpan w:val="4"/>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总体目标</w:t>
            </w:r>
          </w:p>
        </w:tc>
        <w:tc>
          <w:tcPr>
            <w:tcW w:w="5297"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全年实际完成情况</w:t>
            </w:r>
          </w:p>
        </w:tc>
      </w:tr>
      <w:tr>
        <w:tblPrEx>
          <w:tblCellMar>
            <w:top w:w="0" w:type="dxa"/>
            <w:left w:w="0" w:type="dxa"/>
            <w:bottom w:w="0" w:type="dxa"/>
            <w:right w:w="0" w:type="dxa"/>
          </w:tblCellMar>
        </w:tblPrEx>
        <w:trPr>
          <w:trHeight w:val="2100" w:hRule="atLeast"/>
        </w:trPr>
        <w:tc>
          <w:tcPr>
            <w:tcW w:w="1716"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040" w:type="dxa"/>
            <w:gridSpan w:val="4"/>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目标1：持续改善农村基本办学条件。</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目标2：有序扩大城镇学位供给。</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目标3：稳步提升学校办学能力。</w:t>
            </w:r>
          </w:p>
        </w:tc>
        <w:tc>
          <w:tcPr>
            <w:tcW w:w="5297"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已完成总体目标，重点改善农村学校基本办学条件</w:t>
            </w:r>
          </w:p>
        </w:tc>
      </w:tr>
      <w:tr>
        <w:tblPrEx>
          <w:tblCellMar>
            <w:top w:w="0" w:type="dxa"/>
            <w:left w:w="0" w:type="dxa"/>
            <w:bottom w:w="0" w:type="dxa"/>
            <w:right w:w="0" w:type="dxa"/>
          </w:tblCellMar>
        </w:tblPrEx>
        <w:trPr>
          <w:trHeight w:val="520" w:hRule="atLeast"/>
        </w:trPr>
        <w:tc>
          <w:tcPr>
            <w:tcW w:w="1716" w:type="dxa"/>
            <w:vMerge w:val="restart"/>
            <w:tcBorders>
              <w:top w:val="single" w:color="000000" w:sz="4" w:space="0"/>
              <w:left w:val="single" w:color="000000" w:sz="4" w:space="0"/>
              <w:bottom w:val="nil"/>
              <w:right w:val="single" w:color="000000" w:sz="4" w:space="0"/>
            </w:tcBorders>
            <w:shd w:val="clear"/>
            <w:tcMar>
              <w:top w:w="10" w:type="dxa"/>
              <w:left w:w="10" w:type="dxa"/>
              <w:right w:w="10"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绩效指标</w:t>
            </w:r>
          </w:p>
        </w:tc>
        <w:tc>
          <w:tcPr>
            <w:tcW w:w="108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一级</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指标</w:t>
            </w:r>
          </w:p>
        </w:tc>
        <w:tc>
          <w:tcPr>
            <w:tcW w:w="892"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二级指标</w:t>
            </w:r>
          </w:p>
        </w:tc>
        <w:tc>
          <w:tcPr>
            <w:tcW w:w="3067"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三级指标</w:t>
            </w:r>
          </w:p>
        </w:tc>
        <w:tc>
          <w:tcPr>
            <w:tcW w:w="128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指标值</w:t>
            </w:r>
          </w:p>
        </w:tc>
        <w:tc>
          <w:tcPr>
            <w:tcW w:w="123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全年实际完成值</w:t>
            </w:r>
          </w:p>
        </w:tc>
        <w:tc>
          <w:tcPr>
            <w:tcW w:w="278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未完成原因和改进措施</w:t>
            </w:r>
          </w:p>
        </w:tc>
      </w:tr>
      <w:tr>
        <w:tblPrEx>
          <w:shd w:val="clear"/>
          <w:tblCellMar>
            <w:top w:w="0" w:type="dxa"/>
            <w:left w:w="0" w:type="dxa"/>
            <w:bottom w:w="0" w:type="dxa"/>
            <w:right w:w="0" w:type="dxa"/>
          </w:tblCellMar>
        </w:tblPrEx>
        <w:trPr>
          <w:trHeight w:val="280" w:hRule="atLeast"/>
        </w:trPr>
        <w:tc>
          <w:tcPr>
            <w:tcW w:w="1716"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产出指标</w:t>
            </w:r>
          </w:p>
        </w:tc>
        <w:tc>
          <w:tcPr>
            <w:tcW w:w="892"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质量指标</w:t>
            </w:r>
          </w:p>
        </w:tc>
        <w:tc>
          <w:tcPr>
            <w:tcW w:w="3067"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建设项目合格率</w:t>
            </w:r>
          </w:p>
        </w:tc>
        <w:tc>
          <w:tcPr>
            <w:tcW w:w="128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23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278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bookmarkStart w:id="0" w:name="_GoBack"/>
            <w:bookmarkEnd w:id="0"/>
          </w:p>
        </w:tc>
      </w:tr>
      <w:tr>
        <w:tblPrEx>
          <w:shd w:val="clear"/>
          <w:tblCellMar>
            <w:top w:w="0" w:type="dxa"/>
            <w:left w:w="0" w:type="dxa"/>
            <w:bottom w:w="0" w:type="dxa"/>
            <w:right w:w="0" w:type="dxa"/>
          </w:tblCellMar>
        </w:tblPrEx>
        <w:trPr>
          <w:trHeight w:val="280" w:hRule="atLeast"/>
        </w:trPr>
        <w:tc>
          <w:tcPr>
            <w:tcW w:w="1716"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067"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设备采购质量合格率</w:t>
            </w:r>
          </w:p>
        </w:tc>
        <w:tc>
          <w:tcPr>
            <w:tcW w:w="128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23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278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280" w:hRule="atLeast"/>
        </w:trPr>
        <w:tc>
          <w:tcPr>
            <w:tcW w:w="1716"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892"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时效指标</w:t>
            </w:r>
          </w:p>
        </w:tc>
        <w:tc>
          <w:tcPr>
            <w:tcW w:w="3067"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校舍建设年度计划完成率</w:t>
            </w:r>
          </w:p>
        </w:tc>
        <w:tc>
          <w:tcPr>
            <w:tcW w:w="128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≥90%</w:t>
            </w:r>
          </w:p>
        </w:tc>
        <w:tc>
          <w:tcPr>
            <w:tcW w:w="123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278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280" w:hRule="atLeast"/>
        </w:trPr>
        <w:tc>
          <w:tcPr>
            <w:tcW w:w="1716"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067"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设备采购年度计划完成率</w:t>
            </w:r>
          </w:p>
        </w:tc>
        <w:tc>
          <w:tcPr>
            <w:tcW w:w="128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≥90%</w:t>
            </w:r>
          </w:p>
        </w:tc>
        <w:tc>
          <w:tcPr>
            <w:tcW w:w="123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278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280" w:hRule="atLeast"/>
        </w:trPr>
        <w:tc>
          <w:tcPr>
            <w:tcW w:w="1716"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效益指标</w:t>
            </w:r>
          </w:p>
        </w:tc>
        <w:tc>
          <w:tcPr>
            <w:tcW w:w="892" w:type="dxa"/>
            <w:vMerge w:val="restart"/>
            <w:tcBorders>
              <w:top w:val="nil"/>
              <w:left w:val="single" w:color="000000" w:sz="4" w:space="0"/>
              <w:bottom w:val="nil"/>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社会效益</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指标</w:t>
            </w:r>
          </w:p>
        </w:tc>
        <w:tc>
          <w:tcPr>
            <w:tcW w:w="3067"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56人以上大班额比例</w:t>
            </w:r>
          </w:p>
        </w:tc>
        <w:tc>
          <w:tcPr>
            <w:tcW w:w="128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全面消除</w:t>
            </w:r>
          </w:p>
        </w:tc>
        <w:tc>
          <w:tcPr>
            <w:tcW w:w="123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已消除</w:t>
            </w:r>
          </w:p>
        </w:tc>
        <w:tc>
          <w:tcPr>
            <w:tcW w:w="278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280" w:hRule="atLeast"/>
        </w:trPr>
        <w:tc>
          <w:tcPr>
            <w:tcW w:w="1716"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892" w:type="dxa"/>
            <w:vMerge w:val="continue"/>
            <w:tcBorders>
              <w:top w:val="nil"/>
              <w:left w:val="single" w:color="000000" w:sz="4" w:space="0"/>
              <w:bottom w:val="nil"/>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067"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学校教学质量</w:t>
            </w:r>
          </w:p>
        </w:tc>
        <w:tc>
          <w:tcPr>
            <w:tcW w:w="128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进一步提升</w:t>
            </w:r>
          </w:p>
        </w:tc>
        <w:tc>
          <w:tcPr>
            <w:tcW w:w="123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进一步提升</w:t>
            </w:r>
          </w:p>
        </w:tc>
        <w:tc>
          <w:tcPr>
            <w:tcW w:w="278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0" w:hRule="atLeast"/>
        </w:trPr>
        <w:tc>
          <w:tcPr>
            <w:tcW w:w="1716"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满意度指标</w:t>
            </w:r>
          </w:p>
        </w:tc>
        <w:tc>
          <w:tcPr>
            <w:tcW w:w="892"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服务对象</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满意度指标</w:t>
            </w:r>
          </w:p>
        </w:tc>
        <w:tc>
          <w:tcPr>
            <w:tcW w:w="3067"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学校和老师满意度</w:t>
            </w:r>
          </w:p>
        </w:tc>
        <w:tc>
          <w:tcPr>
            <w:tcW w:w="128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≥85%</w:t>
            </w:r>
          </w:p>
        </w:tc>
        <w:tc>
          <w:tcPr>
            <w:tcW w:w="123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278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280" w:hRule="atLeast"/>
        </w:trPr>
        <w:tc>
          <w:tcPr>
            <w:tcW w:w="1716"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067"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家长和学生满意度</w:t>
            </w:r>
          </w:p>
        </w:tc>
        <w:tc>
          <w:tcPr>
            <w:tcW w:w="128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≥85%</w:t>
            </w:r>
          </w:p>
        </w:tc>
        <w:tc>
          <w:tcPr>
            <w:tcW w:w="123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278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540" w:hRule="atLeast"/>
        </w:trPr>
        <w:tc>
          <w:tcPr>
            <w:tcW w:w="17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说明</w:t>
            </w:r>
          </w:p>
        </w:tc>
        <w:tc>
          <w:tcPr>
            <w:tcW w:w="10337" w:type="dxa"/>
            <w:gridSpan w:val="7"/>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请在此处简要说明中央巡视、各级审计和财政监督中发现的问题及其所涉及的金额，如没有请填无。</w:t>
            </w:r>
          </w:p>
        </w:tc>
      </w:tr>
      <w:tr>
        <w:tblPrEx>
          <w:tblCellMar>
            <w:top w:w="0" w:type="dxa"/>
            <w:left w:w="0" w:type="dxa"/>
            <w:bottom w:w="0" w:type="dxa"/>
            <w:right w:w="0" w:type="dxa"/>
          </w:tblCellMar>
        </w:tblPrEx>
        <w:trPr>
          <w:trHeight w:val="280" w:hRule="atLeast"/>
        </w:trPr>
        <w:tc>
          <w:tcPr>
            <w:tcW w:w="12053" w:type="dxa"/>
            <w:gridSpan w:val="8"/>
            <w:tcBorders>
              <w:top w:val="nil"/>
              <w:left w:val="nil"/>
              <w:bottom w:val="nil"/>
              <w:right w:val="nil"/>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注：1.资金使用单位按项目绩效目标填报，主管部门汇总时按区域绩效目标填报。</w:t>
            </w:r>
          </w:p>
        </w:tc>
      </w:tr>
      <w:tr>
        <w:tblPrEx>
          <w:shd w:val="clear"/>
          <w:tblCellMar>
            <w:top w:w="0" w:type="dxa"/>
            <w:left w:w="0" w:type="dxa"/>
            <w:bottom w:w="0" w:type="dxa"/>
            <w:right w:w="0" w:type="dxa"/>
          </w:tblCellMar>
        </w:tblPrEx>
        <w:trPr>
          <w:trHeight w:val="280" w:hRule="atLeast"/>
        </w:trPr>
        <w:tc>
          <w:tcPr>
            <w:tcW w:w="12053" w:type="dxa"/>
            <w:gridSpan w:val="8"/>
            <w:tcBorders>
              <w:top w:val="nil"/>
              <w:left w:val="nil"/>
              <w:bottom w:val="nil"/>
              <w:right w:val="nil"/>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2.其他资金包括与中央财政资金、地方财政资金共同投入到同一项目的自有资金、社会资金，以及以前年度的结转结余资金等。</w:t>
            </w:r>
          </w:p>
        </w:tc>
      </w:tr>
      <w:tr>
        <w:tblPrEx>
          <w:shd w:val="clear"/>
          <w:tblCellMar>
            <w:top w:w="0" w:type="dxa"/>
            <w:left w:w="0" w:type="dxa"/>
            <w:bottom w:w="0" w:type="dxa"/>
            <w:right w:w="0" w:type="dxa"/>
          </w:tblCellMar>
        </w:tblPrEx>
        <w:trPr>
          <w:trHeight w:val="280" w:hRule="atLeast"/>
        </w:trPr>
        <w:tc>
          <w:tcPr>
            <w:tcW w:w="12053" w:type="dxa"/>
            <w:gridSpan w:val="8"/>
            <w:tcBorders>
              <w:top w:val="nil"/>
              <w:left w:val="nil"/>
              <w:bottom w:val="nil"/>
              <w:right w:val="nil"/>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3.全年执行数是指按照国库集中支付制度要求形成的实际支出。</w:t>
            </w:r>
          </w:p>
        </w:tc>
      </w:tr>
    </w:tbl>
    <w:p>
      <w:pPr>
        <w:ind w:firstLine="5440" w:firstLineChars="1700"/>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jMDZmYzcyMDk5ZDZhMWQ3MjI5NGE5OTNiNGU1MWQifQ=="/>
  </w:docVars>
  <w:rsids>
    <w:rsidRoot w:val="01061ABB"/>
    <w:rsid w:val="01061ABB"/>
    <w:rsid w:val="040914D8"/>
    <w:rsid w:val="0C400033"/>
    <w:rsid w:val="2D5908D8"/>
    <w:rsid w:val="361F2896"/>
    <w:rsid w:val="38CA0225"/>
    <w:rsid w:val="47BA6667"/>
    <w:rsid w:val="55CE639E"/>
    <w:rsid w:val="63573862"/>
    <w:rsid w:val="6AD21593"/>
    <w:rsid w:val="73A65826"/>
    <w:rsid w:val="7E2B3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uiPriority w:val="0"/>
    <w:rPr>
      <w:rFonts w:hint="eastAsia" w:ascii="宋体" w:hAnsi="宋体" w:eastAsia="宋体" w:cs="宋体"/>
      <w:color w:val="000000"/>
      <w:sz w:val="20"/>
      <w:szCs w:val="20"/>
      <w:u w:val="none"/>
    </w:rPr>
  </w:style>
  <w:style w:type="character" w:customStyle="1" w:styleId="5">
    <w:name w:val="font71"/>
    <w:basedOn w:val="3"/>
    <w:uiPriority w:val="0"/>
    <w:rPr>
      <w:rFonts w:hint="eastAsia" w:ascii="宋体" w:hAnsi="宋体" w:eastAsia="宋体" w:cs="宋体"/>
      <w:color w:val="000000"/>
      <w:sz w:val="20"/>
      <w:szCs w:val="20"/>
      <w:u w:val="none"/>
    </w:rPr>
  </w:style>
  <w:style w:type="character" w:customStyle="1" w:styleId="6">
    <w:name w:val="font21"/>
    <w:basedOn w:val="3"/>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776</Words>
  <Characters>824</Characters>
  <Lines>0</Lines>
  <Paragraphs>0</Paragraphs>
  <TotalTime>25</TotalTime>
  <ScaleCrop>false</ScaleCrop>
  <LinksUpToDate>false</LinksUpToDate>
  <CharactersWithSpaces>858</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2024-03-10T00:45:00Z</dcterms:created>
  <dc:creator>Zz</dc:creator>
  <cp:lastModifiedBy>lenovo</cp:lastModifiedBy>
  <dcterms:modified xsi:type="dcterms:W3CDTF">2025-04-17T07:07:28Z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A2793C36B4784D1382896740EDA43597_11</vt:lpwstr>
  </property>
  <property fmtid="{D5CDD505-2E9C-101B-9397-08002B2CF9AE}" pid="4" name="KSOTemplateDocerSaveRecord">
    <vt:lpwstr>eyJoZGlkIjoiMjJjMDZmYzcyMDk5ZDZhMWQ3MjI5NGE5OTNiNGU1MWQifQ==</vt:lpwstr>
  </property>
</Properties>
</file>