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63B313">
      <w:pPr>
        <w:rPr>
          <w:rFonts w:ascii="仿宋_GB2312" w:hAnsi="仿宋_GB2312" w:eastAsia="仿宋_GB2312" w:cs="仿宋_GB2312"/>
          <w:sz w:val="36"/>
          <w:szCs w:val="36"/>
        </w:rPr>
      </w:pPr>
    </w:p>
    <w:p w14:paraId="34BBFD2D">
      <w:pPr>
        <w:rPr>
          <w:rFonts w:ascii="仿宋_GB2312" w:hAnsi="仿宋_GB2312" w:eastAsia="仿宋_GB2312" w:cs="仿宋_GB2312"/>
          <w:sz w:val="36"/>
          <w:szCs w:val="36"/>
        </w:rPr>
      </w:pPr>
    </w:p>
    <w:p w14:paraId="276A488A">
      <w:pPr>
        <w:rPr>
          <w:rFonts w:ascii="仿宋_GB2312" w:hAnsi="仿宋_GB2312" w:eastAsia="仿宋_GB2312" w:cs="仿宋_GB2312"/>
          <w:sz w:val="36"/>
          <w:szCs w:val="36"/>
        </w:rPr>
      </w:pPr>
    </w:p>
    <w:p w14:paraId="53E43491">
      <w:pPr>
        <w:rPr>
          <w:rFonts w:ascii="仿宋_GB2312" w:hAnsi="仿宋_GB2312" w:eastAsia="仿宋_GB2312" w:cs="仿宋_GB2312"/>
          <w:sz w:val="36"/>
          <w:szCs w:val="36"/>
        </w:rPr>
      </w:pPr>
    </w:p>
    <w:p w14:paraId="10B7FBFA">
      <w:pPr>
        <w:rPr>
          <w:rFonts w:hint="eastAsia" w:ascii="仿宋_GB2312" w:hAnsi="仿宋_GB2312" w:eastAsia="仿宋_GB2312" w:cs="仿宋_GB2312"/>
          <w:sz w:val="36"/>
          <w:szCs w:val="36"/>
        </w:rPr>
      </w:pPr>
    </w:p>
    <w:p w14:paraId="1B00BB66">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5B2AE766">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7BECEEC2">
      <w:pPr>
        <w:adjustRightInd w:val="0"/>
        <w:snapToGrid w:val="0"/>
        <w:spacing w:line="288" w:lineRule="auto"/>
        <w:jc w:val="center"/>
        <w:outlineLvl w:val="9"/>
        <w:rPr>
          <w:rFonts w:ascii="华文仿宋" w:hAnsi="华文仿宋" w:eastAsia="华文仿宋" w:cs="华文仿宋"/>
          <w:color w:val="000000"/>
          <w:kern w:val="44"/>
          <w:sz w:val="44"/>
          <w:szCs w:val="44"/>
        </w:rPr>
      </w:pPr>
    </w:p>
    <w:p w14:paraId="35B0B356">
      <w:pPr>
        <w:jc w:val="center"/>
        <w:rPr>
          <w:rFonts w:eastAsia="仿宋"/>
          <w:sz w:val="52"/>
          <w:szCs w:val="52"/>
        </w:rPr>
      </w:pPr>
    </w:p>
    <w:p w14:paraId="1F1C844C">
      <w:pPr>
        <w:ind w:firstLine="1040"/>
        <w:rPr>
          <w:rFonts w:eastAsia="仿宋"/>
          <w:sz w:val="44"/>
          <w:szCs w:val="44"/>
        </w:rPr>
      </w:pPr>
    </w:p>
    <w:p w14:paraId="568226CC">
      <w:pPr>
        <w:ind w:firstLine="1040"/>
        <w:rPr>
          <w:rFonts w:eastAsia="仿宋"/>
          <w:sz w:val="44"/>
          <w:szCs w:val="44"/>
        </w:rPr>
      </w:pPr>
    </w:p>
    <w:p w14:paraId="7EA01F64">
      <w:pPr>
        <w:ind w:firstLine="1040"/>
        <w:rPr>
          <w:rFonts w:eastAsia="仿宋"/>
          <w:sz w:val="44"/>
          <w:szCs w:val="44"/>
        </w:rPr>
      </w:pPr>
    </w:p>
    <w:p w14:paraId="430902B9">
      <w:pPr>
        <w:ind w:firstLine="1040"/>
        <w:rPr>
          <w:rFonts w:eastAsia="仿宋"/>
          <w:sz w:val="44"/>
          <w:szCs w:val="44"/>
        </w:rPr>
      </w:pPr>
    </w:p>
    <w:p w14:paraId="395D477E">
      <w:pPr>
        <w:adjustRightInd w:val="0"/>
        <w:snapToGrid w:val="0"/>
        <w:spacing w:line="288" w:lineRule="auto"/>
        <w:rPr>
          <w:rFonts w:hint="eastAsia" w:ascii="仿宋_GB2312" w:eastAsia="仿宋_GB2312"/>
          <w:sz w:val="36"/>
          <w:szCs w:val="36"/>
          <w:u w:val="single"/>
        </w:rPr>
      </w:pPr>
      <w:r>
        <w:rPr>
          <w:rFonts w:hint="eastAsia" w:ascii="仿宋_GB2312" w:eastAsia="仿宋_GB2312"/>
          <w:sz w:val="36"/>
          <w:szCs w:val="36"/>
        </w:rPr>
        <w:t xml:space="preserve">项目名称： </w:t>
      </w:r>
      <w:r>
        <w:rPr>
          <w:rFonts w:ascii="仿宋_GB2312" w:eastAsia="仿宋_GB2312"/>
          <w:sz w:val="36"/>
          <w:szCs w:val="36"/>
        </w:rPr>
        <w:t xml:space="preserve"> </w:t>
      </w:r>
      <w:r>
        <w:rPr>
          <w:rFonts w:hint="eastAsia" w:ascii="仿宋_GB2312" w:eastAsia="仿宋_GB2312"/>
          <w:sz w:val="36"/>
          <w:szCs w:val="36"/>
          <w:u w:val="single"/>
        </w:rPr>
        <w:t xml:space="preserve">休闲食品及婴幼儿食品加工项目         </w:t>
      </w:r>
    </w:p>
    <w:p w14:paraId="31F4E7B9">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 xml:space="preserve">建设单位（盖章）： </w:t>
      </w:r>
      <w:r>
        <w:rPr>
          <w:rFonts w:hint="eastAsia" w:ascii="仿宋_GB2312" w:eastAsia="仿宋_GB2312"/>
          <w:sz w:val="36"/>
          <w:szCs w:val="36"/>
          <w:u w:val="single"/>
        </w:rPr>
        <w:t xml:space="preserve">安徽马培德食品科技有限公司    </w:t>
      </w:r>
    </w:p>
    <w:p w14:paraId="5CF713F8">
      <w:pPr>
        <w:adjustRightInd w:val="0"/>
        <w:snapToGrid w:val="0"/>
        <w:spacing w:line="288" w:lineRule="auto"/>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eastAsia="仿宋_GB2312"/>
          <w:sz w:val="36"/>
          <w:szCs w:val="36"/>
          <w:u w:val="single"/>
        </w:rPr>
        <w:t xml:space="preserve">  2025年</w:t>
      </w:r>
      <w:r>
        <w:rPr>
          <w:rFonts w:hint="eastAsia" w:eastAsia="仿宋_GB2312"/>
          <w:sz w:val="36"/>
          <w:szCs w:val="36"/>
          <w:u w:val="single"/>
          <w:lang w:val="en-US" w:eastAsia="zh-CN"/>
        </w:rPr>
        <w:t>4</w:t>
      </w:r>
      <w:r>
        <w:rPr>
          <w:rFonts w:eastAsia="仿宋_GB2312"/>
          <w:sz w:val="36"/>
          <w:szCs w:val="36"/>
          <w:u w:val="single"/>
        </w:rPr>
        <w:t xml:space="preserve">月   </w:t>
      </w:r>
      <w:r>
        <w:rPr>
          <w:rFonts w:ascii="仿宋_GB2312" w:eastAsia="仿宋_GB2312"/>
          <w:sz w:val="36"/>
          <w:szCs w:val="36"/>
          <w:u w:val="single"/>
        </w:rPr>
        <w:t xml:space="preserve">               </w:t>
      </w:r>
    </w:p>
    <w:p w14:paraId="5A3B06B8">
      <w:pPr>
        <w:adjustRightInd w:val="0"/>
        <w:snapToGrid w:val="0"/>
        <w:spacing w:line="288" w:lineRule="auto"/>
        <w:ind w:firstLine="1040"/>
        <w:rPr>
          <w:rFonts w:ascii="仿宋_GB2312" w:eastAsia="仿宋_GB2312"/>
          <w:sz w:val="36"/>
          <w:szCs w:val="36"/>
          <w:u w:val="single"/>
        </w:rPr>
      </w:pPr>
      <w:bookmarkStart w:id="0" w:name="_Hlk57884087"/>
    </w:p>
    <w:p w14:paraId="514DCF6C">
      <w:pPr>
        <w:adjustRightInd w:val="0"/>
        <w:snapToGrid w:val="0"/>
        <w:spacing w:line="288" w:lineRule="auto"/>
        <w:ind w:firstLine="1040"/>
        <w:rPr>
          <w:rFonts w:ascii="仿宋_GB2312" w:eastAsia="仿宋_GB2312"/>
          <w:sz w:val="36"/>
          <w:szCs w:val="36"/>
        </w:rPr>
      </w:pPr>
    </w:p>
    <w:p w14:paraId="6B8CC0DB">
      <w:pPr>
        <w:adjustRightInd w:val="0"/>
        <w:snapToGrid w:val="0"/>
        <w:spacing w:line="288" w:lineRule="auto"/>
        <w:ind w:firstLine="1040"/>
        <w:rPr>
          <w:rFonts w:ascii="仿宋_GB2312" w:eastAsia="仿宋_GB2312"/>
          <w:sz w:val="36"/>
          <w:szCs w:val="36"/>
        </w:rPr>
      </w:pPr>
    </w:p>
    <w:p w14:paraId="465B85C0">
      <w:pPr>
        <w:adjustRightInd w:val="0"/>
        <w:snapToGrid w:val="0"/>
        <w:spacing w:line="288" w:lineRule="auto"/>
        <w:ind w:firstLine="1040"/>
        <w:rPr>
          <w:rFonts w:hint="eastAsia" w:ascii="仿宋_GB2312" w:eastAsia="仿宋_GB2312"/>
          <w:sz w:val="36"/>
          <w:szCs w:val="36"/>
        </w:rPr>
      </w:pPr>
    </w:p>
    <w:p w14:paraId="317A9142">
      <w:pPr>
        <w:adjustRightInd w:val="0"/>
        <w:snapToGrid w:val="0"/>
        <w:spacing w:line="288" w:lineRule="auto"/>
        <w:ind w:firstLine="1040"/>
        <w:rPr>
          <w:rFonts w:hint="eastAsia" w:ascii="仿宋_GB2312" w:eastAsia="仿宋_GB2312"/>
          <w:sz w:val="36"/>
          <w:szCs w:val="36"/>
        </w:rPr>
      </w:pPr>
    </w:p>
    <w:bookmarkEnd w:id="0"/>
    <w:p w14:paraId="770C253F">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244B20DB">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FB98659">
      <w:pPr>
        <w:pStyle w:val="25"/>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94"/>
        <w:gridCol w:w="2525"/>
        <w:gridCol w:w="1948"/>
        <w:gridCol w:w="2903"/>
      </w:tblGrid>
      <w:tr w14:paraId="1CDFA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94" w:type="dxa"/>
            <w:noWrap w:val="0"/>
            <w:tcMar>
              <w:top w:w="16" w:type="dxa"/>
              <w:left w:w="16" w:type="dxa"/>
              <w:right w:w="16" w:type="dxa"/>
            </w:tcMar>
            <w:vAlign w:val="center"/>
          </w:tcPr>
          <w:p w14:paraId="625110F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建设项目名称</w:t>
            </w:r>
          </w:p>
        </w:tc>
        <w:tc>
          <w:tcPr>
            <w:tcW w:w="7376" w:type="dxa"/>
            <w:gridSpan w:val="3"/>
            <w:noWrap w:val="0"/>
            <w:vAlign w:val="center"/>
          </w:tcPr>
          <w:p w14:paraId="56E3900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休闲食品及婴幼儿食品加工项目</w:t>
            </w:r>
          </w:p>
        </w:tc>
      </w:tr>
      <w:tr w14:paraId="186A2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94" w:type="dxa"/>
            <w:noWrap w:val="0"/>
            <w:tcMar>
              <w:top w:w="16" w:type="dxa"/>
              <w:left w:w="16" w:type="dxa"/>
              <w:right w:w="16" w:type="dxa"/>
            </w:tcMar>
            <w:vAlign w:val="center"/>
          </w:tcPr>
          <w:p w14:paraId="407F1E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项目代码</w:t>
            </w:r>
          </w:p>
        </w:tc>
        <w:tc>
          <w:tcPr>
            <w:tcW w:w="7376" w:type="dxa"/>
            <w:gridSpan w:val="3"/>
            <w:noWrap w:val="0"/>
            <w:vAlign w:val="center"/>
          </w:tcPr>
          <w:p w14:paraId="5027F6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w:t>
            </w:r>
          </w:p>
        </w:tc>
      </w:tr>
      <w:tr w14:paraId="22DA2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94" w:type="dxa"/>
            <w:noWrap w:val="0"/>
            <w:tcMar>
              <w:top w:w="16" w:type="dxa"/>
              <w:left w:w="16" w:type="dxa"/>
              <w:right w:w="16" w:type="dxa"/>
            </w:tcMar>
            <w:vAlign w:val="center"/>
          </w:tcPr>
          <w:p w14:paraId="4436634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建设单位联系人</w:t>
            </w:r>
          </w:p>
        </w:tc>
        <w:tc>
          <w:tcPr>
            <w:tcW w:w="2525" w:type="dxa"/>
            <w:noWrap w:val="0"/>
            <w:vAlign w:val="center"/>
          </w:tcPr>
          <w:p w14:paraId="5BFB1D8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宫大鹏</w:t>
            </w:r>
          </w:p>
        </w:tc>
        <w:tc>
          <w:tcPr>
            <w:tcW w:w="1948" w:type="dxa"/>
            <w:noWrap w:val="0"/>
            <w:vAlign w:val="center"/>
          </w:tcPr>
          <w:p w14:paraId="4E27BF2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联系方式</w:t>
            </w:r>
          </w:p>
        </w:tc>
        <w:tc>
          <w:tcPr>
            <w:tcW w:w="2903" w:type="dxa"/>
            <w:noWrap w:val="0"/>
            <w:vAlign w:val="center"/>
          </w:tcPr>
          <w:p w14:paraId="473B6A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18658123289</w:t>
            </w:r>
          </w:p>
        </w:tc>
      </w:tr>
      <w:tr w14:paraId="619D5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94" w:type="dxa"/>
            <w:noWrap w:val="0"/>
            <w:tcMar>
              <w:top w:w="16" w:type="dxa"/>
              <w:left w:w="16" w:type="dxa"/>
              <w:right w:w="16" w:type="dxa"/>
            </w:tcMar>
            <w:vAlign w:val="center"/>
          </w:tcPr>
          <w:p w14:paraId="6E70000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建设地点</w:t>
            </w:r>
          </w:p>
        </w:tc>
        <w:tc>
          <w:tcPr>
            <w:tcW w:w="7376" w:type="dxa"/>
            <w:gridSpan w:val="3"/>
            <w:noWrap w:val="0"/>
            <w:vAlign w:val="center"/>
          </w:tcPr>
          <w:p w14:paraId="2D7AF9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u w:val="single"/>
              </w:rPr>
              <w:t>安徽省淮北市相山经济开发区凤凰路16号2幢</w:t>
            </w:r>
          </w:p>
        </w:tc>
      </w:tr>
      <w:tr w14:paraId="2FD31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94" w:type="dxa"/>
            <w:noWrap w:val="0"/>
            <w:tcMar>
              <w:top w:w="16" w:type="dxa"/>
              <w:left w:w="16" w:type="dxa"/>
              <w:right w:w="16" w:type="dxa"/>
            </w:tcMar>
            <w:vAlign w:val="center"/>
          </w:tcPr>
          <w:p w14:paraId="40CAC5A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地理坐标</w:t>
            </w:r>
          </w:p>
        </w:tc>
        <w:tc>
          <w:tcPr>
            <w:tcW w:w="7376" w:type="dxa"/>
            <w:gridSpan w:val="3"/>
            <w:noWrap w:val="0"/>
            <w:vAlign w:val="center"/>
          </w:tcPr>
          <w:p w14:paraId="1E29AB87">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w:t>
            </w:r>
            <w:r>
              <w:rPr>
                <w:rFonts w:hint="default" w:ascii="Times New Roman" w:hAnsi="Times New Roman" w:cs="Times New Roman"/>
                <w:sz w:val="24"/>
                <w:u w:val="single"/>
              </w:rPr>
              <w:t>116</w:t>
            </w:r>
            <w:r>
              <w:rPr>
                <w:rFonts w:hint="default" w:ascii="Times New Roman" w:hAnsi="Times New Roman" w:cs="Times New Roman"/>
                <w:sz w:val="24"/>
              </w:rPr>
              <w:t>度</w:t>
            </w:r>
            <w:r>
              <w:rPr>
                <w:rFonts w:hint="eastAsia" w:cs="Times New Roman"/>
                <w:sz w:val="24"/>
                <w:u w:val="single"/>
                <w:lang w:val="en-US" w:eastAsia="zh-CN"/>
              </w:rPr>
              <w:t>44</w:t>
            </w:r>
            <w:r>
              <w:rPr>
                <w:rFonts w:hint="default" w:ascii="Times New Roman" w:hAnsi="Times New Roman" w:cs="Times New Roman"/>
                <w:sz w:val="24"/>
              </w:rPr>
              <w:t>分</w:t>
            </w:r>
            <w:r>
              <w:rPr>
                <w:rFonts w:hint="eastAsia" w:cs="Times New Roman"/>
                <w:sz w:val="24"/>
                <w:u w:val="single"/>
                <w:lang w:val="en-US" w:eastAsia="zh-CN"/>
              </w:rPr>
              <w:t>49</w:t>
            </w:r>
            <w:r>
              <w:rPr>
                <w:rFonts w:hint="default" w:ascii="Times New Roman" w:hAnsi="Times New Roman" w:cs="Times New Roman"/>
                <w:sz w:val="24"/>
              </w:rPr>
              <w:t>秒，</w:t>
            </w:r>
            <w:r>
              <w:rPr>
                <w:rFonts w:hint="default" w:ascii="Times New Roman" w:hAnsi="Times New Roman" w:cs="Times New Roman"/>
                <w:sz w:val="24"/>
                <w:u w:val="single"/>
              </w:rPr>
              <w:t>33</w:t>
            </w:r>
            <w:r>
              <w:rPr>
                <w:rFonts w:hint="default" w:ascii="Times New Roman" w:hAnsi="Times New Roman" w:cs="Times New Roman"/>
                <w:sz w:val="24"/>
              </w:rPr>
              <w:t>度</w:t>
            </w:r>
            <w:r>
              <w:rPr>
                <w:rFonts w:hint="eastAsia" w:cs="Times New Roman"/>
                <w:sz w:val="24"/>
                <w:u w:val="single"/>
                <w:lang w:val="en-US" w:eastAsia="zh-CN"/>
              </w:rPr>
              <w:t>59</w:t>
            </w:r>
            <w:r>
              <w:rPr>
                <w:rFonts w:hint="default" w:ascii="Times New Roman" w:hAnsi="Times New Roman" w:cs="Times New Roman"/>
                <w:sz w:val="24"/>
              </w:rPr>
              <w:t>分</w:t>
            </w:r>
            <w:r>
              <w:rPr>
                <w:rFonts w:hint="eastAsia" w:cs="Times New Roman"/>
                <w:sz w:val="24"/>
                <w:u w:val="single"/>
                <w:lang w:val="en-US" w:eastAsia="zh-CN"/>
              </w:rPr>
              <w:t>54</w:t>
            </w:r>
            <w:r>
              <w:rPr>
                <w:rFonts w:hint="default" w:ascii="Times New Roman" w:hAnsi="Times New Roman" w:cs="Times New Roman"/>
                <w:sz w:val="24"/>
              </w:rPr>
              <w:t>秒）</w:t>
            </w:r>
          </w:p>
        </w:tc>
      </w:tr>
      <w:tr w14:paraId="60294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1494" w:type="dxa"/>
            <w:noWrap w:val="0"/>
            <w:tcMar>
              <w:top w:w="16" w:type="dxa"/>
              <w:left w:w="16" w:type="dxa"/>
              <w:right w:w="16" w:type="dxa"/>
            </w:tcMar>
            <w:vAlign w:val="center"/>
          </w:tcPr>
          <w:p w14:paraId="3CEE922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国民经济</w:t>
            </w:r>
          </w:p>
          <w:p w14:paraId="34D1CB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行业类别</w:t>
            </w:r>
          </w:p>
        </w:tc>
        <w:tc>
          <w:tcPr>
            <w:tcW w:w="2525" w:type="dxa"/>
            <w:noWrap w:val="0"/>
            <w:vAlign w:val="center"/>
          </w:tcPr>
          <w:p w14:paraId="498A4E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C1499 其他未列明食品制造</w:t>
            </w:r>
          </w:p>
        </w:tc>
        <w:tc>
          <w:tcPr>
            <w:tcW w:w="1948" w:type="dxa"/>
            <w:noWrap w:val="0"/>
            <w:vAlign w:val="center"/>
          </w:tcPr>
          <w:p w14:paraId="7D3C2E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bookmarkStart w:id="1" w:name="_Hlk49843745"/>
            <w:r>
              <w:rPr>
                <w:rFonts w:hint="default" w:ascii="Times New Roman" w:hAnsi="Times New Roman" w:cs="Times New Roman"/>
                <w:sz w:val="24"/>
              </w:rPr>
              <w:t>建设项目</w:t>
            </w:r>
          </w:p>
          <w:p w14:paraId="5F33DF3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行业类别</w:t>
            </w:r>
            <w:bookmarkEnd w:id="1"/>
          </w:p>
        </w:tc>
        <w:tc>
          <w:tcPr>
            <w:tcW w:w="2903" w:type="dxa"/>
            <w:noWrap w:val="0"/>
            <w:vAlign w:val="center"/>
          </w:tcPr>
          <w:p w14:paraId="348C7739">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sz w:val="24"/>
                <w:lang w:eastAsia="zh-CN"/>
              </w:rPr>
            </w:pPr>
            <w:r>
              <w:rPr>
                <w:rFonts w:hint="eastAsia" w:ascii="Times New Roman" w:hAnsi="Times New Roman" w:cs="Times New Roman"/>
                <w:sz w:val="24"/>
                <w:lang w:eastAsia="zh-CN"/>
              </w:rPr>
              <w:t>“</w:t>
            </w:r>
            <w:r>
              <w:rPr>
                <w:rFonts w:hint="default" w:ascii="Times New Roman" w:hAnsi="Times New Roman" w:cs="Times New Roman"/>
                <w:sz w:val="24"/>
              </w:rPr>
              <w:t>十一、食品制造业</w:t>
            </w:r>
            <w:r>
              <w:rPr>
                <w:rFonts w:hint="eastAsia" w:ascii="Times New Roman" w:hAnsi="Times New Roman" w:cs="Times New Roman"/>
                <w:sz w:val="24"/>
                <w:lang w:eastAsia="zh-CN"/>
              </w:rPr>
              <w:t>”</w:t>
            </w:r>
            <w:r>
              <w:rPr>
                <w:rFonts w:hint="default" w:ascii="Times New Roman" w:hAnsi="Times New Roman" w:cs="Times New Roman"/>
                <w:sz w:val="24"/>
              </w:rPr>
              <w:t xml:space="preserve">中 </w:t>
            </w:r>
            <w:r>
              <w:rPr>
                <w:rFonts w:hint="eastAsia" w:ascii="Times New Roman" w:hAnsi="Times New Roman" w:cs="Times New Roman"/>
                <w:sz w:val="24"/>
                <w:lang w:eastAsia="zh-CN"/>
              </w:rPr>
              <w:t>“</w:t>
            </w:r>
            <w:r>
              <w:rPr>
                <w:rFonts w:hint="default" w:ascii="Times New Roman" w:hAnsi="Times New Roman" w:cs="Times New Roman"/>
                <w:sz w:val="24"/>
              </w:rPr>
              <w:t>14 其他食品制造 149*</w:t>
            </w:r>
            <w:r>
              <w:rPr>
                <w:rFonts w:hint="eastAsia" w:ascii="Times New Roman" w:hAnsi="Times New Roman" w:cs="Times New Roman"/>
                <w:sz w:val="24"/>
                <w:lang w:eastAsia="zh-CN"/>
              </w:rPr>
              <w:t>”</w:t>
            </w:r>
            <w:r>
              <w:rPr>
                <w:rFonts w:hint="default" w:ascii="Times New Roman" w:hAnsi="Times New Roman" w:cs="Times New Roman"/>
                <w:sz w:val="24"/>
              </w:rPr>
              <w:t xml:space="preserve">中 </w:t>
            </w:r>
            <w:r>
              <w:rPr>
                <w:rFonts w:hint="eastAsia" w:ascii="Times New Roman" w:hAnsi="Times New Roman" w:cs="Times New Roman"/>
                <w:sz w:val="24"/>
                <w:lang w:eastAsia="zh-CN"/>
              </w:rPr>
              <w:t>“</w:t>
            </w:r>
            <w:r>
              <w:rPr>
                <w:rFonts w:hint="default" w:ascii="Times New Roman" w:hAnsi="Times New Roman" w:cs="Times New Roman"/>
                <w:sz w:val="24"/>
              </w:rPr>
              <w:t>其他未列明食品制造</w:t>
            </w:r>
            <w:r>
              <w:rPr>
                <w:rFonts w:hint="eastAsia" w:ascii="Times New Roman" w:hAnsi="Times New Roman" w:cs="Times New Roman"/>
                <w:sz w:val="24"/>
                <w:lang w:eastAsia="zh-CN"/>
              </w:rPr>
              <w:t>”</w:t>
            </w:r>
          </w:p>
        </w:tc>
      </w:tr>
      <w:tr w14:paraId="5265D2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494" w:type="dxa"/>
            <w:noWrap w:val="0"/>
            <w:tcMar>
              <w:top w:w="16" w:type="dxa"/>
              <w:left w:w="16" w:type="dxa"/>
              <w:right w:w="16" w:type="dxa"/>
            </w:tcMar>
            <w:vAlign w:val="center"/>
          </w:tcPr>
          <w:p w14:paraId="4B580F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建设性质</w:t>
            </w:r>
          </w:p>
        </w:tc>
        <w:tc>
          <w:tcPr>
            <w:tcW w:w="2525" w:type="dxa"/>
            <w:noWrap w:val="0"/>
            <w:vAlign w:val="center"/>
          </w:tcPr>
          <w:p w14:paraId="0A1326ED">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新建（迁建）</w:t>
            </w:r>
          </w:p>
          <w:p w14:paraId="1F3EFC1E">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改建</w:t>
            </w:r>
          </w:p>
          <w:p w14:paraId="79024357">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52"/>
            </w:r>
            <w:r>
              <w:rPr>
                <w:rFonts w:hint="default" w:ascii="Times New Roman" w:hAnsi="Times New Roman" w:cs="Times New Roman"/>
                <w:sz w:val="24"/>
              </w:rPr>
              <w:t>扩建</w:t>
            </w:r>
          </w:p>
          <w:p w14:paraId="2E9B7B87">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技术改造</w:t>
            </w:r>
          </w:p>
        </w:tc>
        <w:tc>
          <w:tcPr>
            <w:tcW w:w="1948" w:type="dxa"/>
            <w:noWrap w:val="0"/>
            <w:vAlign w:val="center"/>
          </w:tcPr>
          <w:p w14:paraId="4E043E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建设项目</w:t>
            </w:r>
          </w:p>
          <w:p w14:paraId="63168F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申报情形</w:t>
            </w:r>
          </w:p>
        </w:tc>
        <w:tc>
          <w:tcPr>
            <w:tcW w:w="2903" w:type="dxa"/>
            <w:noWrap w:val="0"/>
            <w:vAlign w:val="center"/>
          </w:tcPr>
          <w:p w14:paraId="5615F661">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52"/>
            </w:r>
            <w:r>
              <w:rPr>
                <w:rFonts w:hint="default" w:ascii="Times New Roman" w:hAnsi="Times New Roman" w:cs="Times New Roman"/>
                <w:sz w:val="24"/>
              </w:rPr>
              <w:t xml:space="preserve">首次申报项目             </w:t>
            </w:r>
          </w:p>
          <w:p w14:paraId="30B8EACA">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不予批准后再次申报项目</w:t>
            </w:r>
          </w:p>
          <w:p w14:paraId="6903633F">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 xml:space="preserve">超五年重新审核项目     </w:t>
            </w:r>
          </w:p>
          <w:p w14:paraId="08E878B6">
            <w:pPr>
              <w:keepNext w:val="0"/>
              <w:keepLines w:val="0"/>
              <w:suppressLineNumbers w:val="0"/>
              <w:spacing w:before="0" w:beforeAutospacing="0" w:after="0" w:afterAutospacing="0"/>
              <w:ind w:left="0" w:right="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重大变动重新报批项目</w:t>
            </w:r>
          </w:p>
        </w:tc>
      </w:tr>
      <w:tr w14:paraId="47C36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494" w:type="dxa"/>
            <w:noWrap w:val="0"/>
            <w:tcMar>
              <w:top w:w="16" w:type="dxa"/>
              <w:left w:w="16" w:type="dxa"/>
              <w:right w:w="16" w:type="dxa"/>
            </w:tcMar>
            <w:vAlign w:val="center"/>
          </w:tcPr>
          <w:p w14:paraId="74D46F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项目审批（核准/</w:t>
            </w:r>
          </w:p>
          <w:p w14:paraId="7A44765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备案）部门（选填）</w:t>
            </w:r>
          </w:p>
        </w:tc>
        <w:tc>
          <w:tcPr>
            <w:tcW w:w="2525" w:type="dxa"/>
            <w:noWrap w:val="0"/>
            <w:vAlign w:val="center"/>
          </w:tcPr>
          <w:p w14:paraId="7AE32D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安徽淮北相山经济开发区管理委员会</w:t>
            </w:r>
          </w:p>
        </w:tc>
        <w:tc>
          <w:tcPr>
            <w:tcW w:w="1948" w:type="dxa"/>
            <w:noWrap w:val="0"/>
            <w:vAlign w:val="center"/>
          </w:tcPr>
          <w:p w14:paraId="6F3882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项目审批（核准/</w:t>
            </w:r>
          </w:p>
          <w:p w14:paraId="77D7E5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备案）文号（选填）</w:t>
            </w:r>
          </w:p>
        </w:tc>
        <w:tc>
          <w:tcPr>
            <w:tcW w:w="2903" w:type="dxa"/>
            <w:noWrap w:val="0"/>
            <w:vAlign w:val="center"/>
          </w:tcPr>
          <w:p w14:paraId="7AF9FE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经开区技改[2025]1号</w:t>
            </w:r>
          </w:p>
        </w:tc>
      </w:tr>
      <w:tr w14:paraId="12418C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94" w:type="dxa"/>
            <w:noWrap w:val="0"/>
            <w:tcMar>
              <w:top w:w="16" w:type="dxa"/>
              <w:left w:w="16" w:type="dxa"/>
              <w:right w:w="16" w:type="dxa"/>
            </w:tcMar>
            <w:vAlign w:val="center"/>
          </w:tcPr>
          <w:p w14:paraId="48984B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总投资（万元）</w:t>
            </w:r>
          </w:p>
        </w:tc>
        <w:tc>
          <w:tcPr>
            <w:tcW w:w="2525" w:type="dxa"/>
            <w:noWrap w:val="0"/>
            <w:vAlign w:val="center"/>
          </w:tcPr>
          <w:p w14:paraId="55BD67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lang w:val="en-US"/>
              </w:rPr>
            </w:pPr>
            <w:r>
              <w:rPr>
                <w:rFonts w:hint="eastAsia" w:ascii="Times New Roman" w:hAnsi="Times New Roman" w:cs="Times New Roman"/>
                <w:sz w:val="24"/>
                <w:lang w:val="en-US" w:eastAsia="zh-CN"/>
              </w:rPr>
              <w:t>500</w:t>
            </w:r>
          </w:p>
        </w:tc>
        <w:tc>
          <w:tcPr>
            <w:tcW w:w="1948" w:type="dxa"/>
            <w:noWrap w:val="0"/>
            <w:tcMar>
              <w:top w:w="16" w:type="dxa"/>
              <w:left w:w="16" w:type="dxa"/>
              <w:right w:w="16" w:type="dxa"/>
            </w:tcMar>
            <w:vAlign w:val="center"/>
          </w:tcPr>
          <w:p w14:paraId="1D65DE2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环保投资（万元）</w:t>
            </w:r>
          </w:p>
        </w:tc>
        <w:tc>
          <w:tcPr>
            <w:tcW w:w="2903" w:type="dxa"/>
            <w:noWrap w:val="0"/>
            <w:vAlign w:val="center"/>
          </w:tcPr>
          <w:p w14:paraId="5BD99D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lang w:val="en-US"/>
              </w:rPr>
            </w:pPr>
            <w:r>
              <w:rPr>
                <w:rFonts w:hint="eastAsia" w:ascii="Times New Roman" w:hAnsi="Times New Roman" w:cs="Times New Roman"/>
                <w:sz w:val="24"/>
                <w:lang w:val="en-US" w:eastAsia="zh-CN"/>
              </w:rPr>
              <w:t>20</w:t>
            </w:r>
          </w:p>
        </w:tc>
      </w:tr>
      <w:tr w14:paraId="4682E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94" w:type="dxa"/>
            <w:noWrap w:val="0"/>
            <w:tcMar>
              <w:top w:w="16" w:type="dxa"/>
              <w:left w:w="16" w:type="dxa"/>
              <w:right w:w="16" w:type="dxa"/>
            </w:tcMar>
            <w:vAlign w:val="center"/>
          </w:tcPr>
          <w:p w14:paraId="22469D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环保投资占比（%）</w:t>
            </w:r>
          </w:p>
        </w:tc>
        <w:tc>
          <w:tcPr>
            <w:tcW w:w="2525" w:type="dxa"/>
            <w:noWrap w:val="0"/>
            <w:vAlign w:val="center"/>
          </w:tcPr>
          <w:p w14:paraId="6BC95C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4</w:t>
            </w:r>
            <w:r>
              <w:rPr>
                <w:rFonts w:hint="default" w:ascii="Times New Roman" w:hAnsi="Times New Roman" w:cs="Times New Roman"/>
                <w:sz w:val="24"/>
                <w:lang w:val="en-US" w:eastAsia="zh-CN"/>
              </w:rPr>
              <w:t>%</w:t>
            </w:r>
          </w:p>
        </w:tc>
        <w:tc>
          <w:tcPr>
            <w:tcW w:w="1948" w:type="dxa"/>
            <w:noWrap w:val="0"/>
            <w:tcMar>
              <w:top w:w="16" w:type="dxa"/>
              <w:left w:w="16" w:type="dxa"/>
              <w:right w:w="16" w:type="dxa"/>
            </w:tcMar>
            <w:vAlign w:val="center"/>
          </w:tcPr>
          <w:p w14:paraId="1FCFD7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施工工期</w:t>
            </w:r>
          </w:p>
        </w:tc>
        <w:tc>
          <w:tcPr>
            <w:tcW w:w="2903" w:type="dxa"/>
            <w:noWrap w:val="0"/>
            <w:vAlign w:val="center"/>
          </w:tcPr>
          <w:p w14:paraId="0C4AC5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2</w:t>
            </w:r>
          </w:p>
        </w:tc>
      </w:tr>
      <w:tr w14:paraId="676D9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494" w:type="dxa"/>
            <w:noWrap w:val="0"/>
            <w:tcMar>
              <w:top w:w="16" w:type="dxa"/>
              <w:left w:w="16" w:type="dxa"/>
              <w:right w:w="16" w:type="dxa"/>
            </w:tcMar>
            <w:vAlign w:val="center"/>
          </w:tcPr>
          <w:p w14:paraId="3E0C26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是否开工建设</w:t>
            </w:r>
          </w:p>
        </w:tc>
        <w:tc>
          <w:tcPr>
            <w:tcW w:w="2525" w:type="dxa"/>
            <w:noWrap w:val="0"/>
            <w:vAlign w:val="center"/>
          </w:tcPr>
          <w:p w14:paraId="76B1548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否</w:t>
            </w:r>
          </w:p>
          <w:p w14:paraId="11D65C6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 w:val="24"/>
                <w:u w:val="single"/>
              </w:rPr>
            </w:pPr>
            <w:r>
              <w:rPr>
                <w:rFonts w:hint="default" w:ascii="Times New Roman" w:hAnsi="Times New Roman" w:cs="Times New Roman"/>
                <w:sz w:val="24"/>
              </w:rPr>
              <w:sym w:font="Wingdings 2" w:char="0052"/>
            </w:r>
            <w:r>
              <w:rPr>
                <w:rFonts w:hint="default" w:ascii="Times New Roman" w:hAnsi="Times New Roman" w:cs="Times New Roman"/>
                <w:sz w:val="24"/>
              </w:rPr>
              <w:t>是：</w:t>
            </w:r>
            <w:r>
              <w:rPr>
                <w:rFonts w:hint="default" w:ascii="Times New Roman" w:hAnsi="Times New Roman" w:cs="Times New Roman"/>
                <w:sz w:val="24"/>
                <w:u w:val="single"/>
              </w:rPr>
              <w:t xml:space="preserve">         </w:t>
            </w:r>
          </w:p>
          <w:p w14:paraId="217289A5">
            <w:pPr>
              <w:keepNext w:val="0"/>
              <w:keepLines w:val="0"/>
              <w:suppressLineNumbers w:val="0"/>
              <w:adjustRightInd w:val="0"/>
              <w:snapToGrid w:val="0"/>
              <w:spacing w:before="0" w:beforeAutospacing="0" w:after="0" w:afterAutospacing="0"/>
              <w:ind w:left="0" w:right="0"/>
              <w:rPr>
                <w:rFonts w:hint="eastAsia" w:cs="Times New Roman"/>
                <w:sz w:val="24"/>
                <w:u w:val="none"/>
                <w:lang w:val="en-US" w:eastAsia="zh-CN"/>
              </w:rPr>
            </w:pPr>
            <w:r>
              <w:rPr>
                <w:rFonts w:hint="eastAsia" w:cs="Times New Roman"/>
                <w:sz w:val="24"/>
                <w:u w:val="none"/>
                <w:lang w:val="en-US" w:eastAsia="zh-CN"/>
              </w:rPr>
              <w:t>已建内容：净化车间内新增2条半自动化烘烤机薄饼生产线、4条全自动烘烤机薄饼生产线，6条薄饼生产线已全部建设安装完成，未进行生产。</w:t>
            </w:r>
          </w:p>
          <w:p w14:paraId="544AEF2E">
            <w:pPr>
              <w:keepNext w:val="0"/>
              <w:keepLines w:val="0"/>
              <w:suppressLineNumbers w:val="0"/>
              <w:adjustRightInd w:val="0"/>
              <w:snapToGrid w:val="0"/>
              <w:spacing w:before="0" w:beforeAutospacing="0" w:after="0" w:afterAutospacing="0"/>
              <w:ind w:left="0" w:right="0"/>
              <w:rPr>
                <w:rFonts w:hint="default" w:cs="Times New Roman"/>
                <w:sz w:val="24"/>
                <w:u w:val="single"/>
                <w:lang w:val="en-US" w:eastAsia="zh-CN"/>
              </w:rPr>
            </w:pPr>
            <w:r>
              <w:rPr>
                <w:rFonts w:hint="eastAsia" w:cs="Times New Roman"/>
                <w:sz w:val="24"/>
                <w:u w:val="none"/>
                <w:lang w:val="en-US" w:eastAsia="zh-CN"/>
              </w:rPr>
              <w:t>处罚及执行情况：2025年3月14日</w:t>
            </w:r>
            <w:r>
              <w:rPr>
                <w:rFonts w:hint="eastAsia" w:ascii="Times New Roman" w:hAnsi="Times New Roman" w:cs="Times New Roman"/>
                <w:color w:val="000000"/>
                <w:sz w:val="24"/>
                <w:u w:val="none"/>
                <w:lang w:val="en-US" w:eastAsia="zh-CN"/>
              </w:rPr>
              <w:t>淮北</w:t>
            </w:r>
            <w:r>
              <w:rPr>
                <w:rFonts w:hint="default" w:ascii="Times New Roman" w:hAnsi="Times New Roman" w:cs="Times New Roman"/>
                <w:color w:val="000000"/>
                <w:sz w:val="24"/>
                <w:u w:val="none"/>
                <w:lang w:val="en-US" w:eastAsia="zh-CN"/>
              </w:rPr>
              <w:t>市生态环境局出具晥</w:t>
            </w:r>
            <w:r>
              <w:rPr>
                <w:rFonts w:hint="eastAsia" w:ascii="Times New Roman" w:hAnsi="Times New Roman" w:cs="Times New Roman"/>
                <w:color w:val="000000"/>
                <w:sz w:val="24"/>
                <w:u w:val="none"/>
                <w:lang w:val="en-US" w:eastAsia="zh-CN"/>
              </w:rPr>
              <w:t>淮北</w:t>
            </w:r>
            <w:r>
              <w:rPr>
                <w:rFonts w:hint="default" w:ascii="Times New Roman" w:hAnsi="Times New Roman" w:cs="Times New Roman"/>
                <w:color w:val="000000"/>
                <w:sz w:val="24"/>
                <w:u w:val="none"/>
                <w:lang w:val="en-US" w:eastAsia="zh-CN"/>
              </w:rPr>
              <w:t>环（</w:t>
            </w:r>
            <w:r>
              <w:rPr>
                <w:rFonts w:hint="eastAsia" w:ascii="Times New Roman" w:hAnsi="Times New Roman" w:cs="Times New Roman"/>
                <w:color w:val="000000"/>
                <w:sz w:val="24"/>
                <w:u w:val="none"/>
                <w:lang w:val="en-US" w:eastAsia="zh-CN"/>
              </w:rPr>
              <w:t>相</w:t>
            </w:r>
            <w:r>
              <w:rPr>
                <w:rFonts w:hint="default" w:ascii="Times New Roman" w:hAnsi="Times New Roman" w:cs="Times New Roman"/>
                <w:color w:val="000000"/>
                <w:sz w:val="24"/>
                <w:u w:val="none"/>
                <w:lang w:val="en-US" w:eastAsia="zh-CN"/>
              </w:rPr>
              <w:t>）不罚[202</w:t>
            </w:r>
            <w:r>
              <w:rPr>
                <w:rFonts w:hint="eastAsia" w:ascii="Times New Roman" w:hAnsi="Times New Roman" w:cs="Times New Roman"/>
                <w:color w:val="000000"/>
                <w:sz w:val="24"/>
                <w:u w:val="none"/>
                <w:lang w:val="en-US" w:eastAsia="zh-CN"/>
              </w:rPr>
              <w:t>5</w:t>
            </w:r>
            <w:r>
              <w:rPr>
                <w:rFonts w:hint="default" w:ascii="Times New Roman" w:hAnsi="Times New Roman" w:cs="Times New Roman"/>
                <w:color w:val="000000"/>
                <w:sz w:val="24"/>
                <w:u w:val="none"/>
                <w:lang w:val="en-US" w:eastAsia="zh-CN"/>
              </w:rPr>
              <w:t>]1号文不予行政处罚</w:t>
            </w:r>
            <w:r>
              <w:rPr>
                <w:rFonts w:hint="eastAsia" w:ascii="Times New Roman" w:hAnsi="Times New Roman" w:cs="Times New Roman"/>
                <w:color w:val="000000"/>
                <w:sz w:val="24"/>
                <w:u w:val="none"/>
                <w:lang w:val="en-US" w:eastAsia="zh-CN"/>
              </w:rPr>
              <w:t>。</w:t>
            </w:r>
          </w:p>
        </w:tc>
        <w:tc>
          <w:tcPr>
            <w:tcW w:w="1948" w:type="dxa"/>
            <w:noWrap w:val="0"/>
            <w:tcMar>
              <w:top w:w="16" w:type="dxa"/>
              <w:left w:w="16" w:type="dxa"/>
              <w:right w:w="16" w:type="dxa"/>
            </w:tcMar>
            <w:vAlign w:val="center"/>
          </w:tcPr>
          <w:p w14:paraId="3B1FEA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pacing w:val="-6"/>
                <w:sz w:val="24"/>
              </w:rPr>
              <w:t>用地（用海）</w:t>
            </w:r>
          </w:p>
          <w:p w14:paraId="7BE7B1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pacing w:val="-6"/>
                <w:sz w:val="24"/>
              </w:rPr>
              <w:t>面积</w:t>
            </w:r>
            <w:bookmarkStart w:id="34" w:name="_GoBack"/>
            <w:bookmarkEnd w:id="34"/>
            <w:r>
              <w:rPr>
                <w:rFonts w:hint="default" w:ascii="Times New Roman" w:hAnsi="Times New Roman" w:cs="Times New Roman"/>
                <w:spacing w:val="-6"/>
                <w:sz w:val="24"/>
              </w:rPr>
              <w:t>（m</w:t>
            </w:r>
            <w:r>
              <w:rPr>
                <w:rFonts w:hint="default" w:ascii="Times New Roman" w:hAnsi="Times New Roman" w:cs="Times New Roman"/>
                <w:spacing w:val="-6"/>
                <w:sz w:val="24"/>
                <w:vertAlign w:val="superscript"/>
              </w:rPr>
              <w:t>2</w:t>
            </w:r>
            <w:r>
              <w:rPr>
                <w:rFonts w:hint="default" w:ascii="Times New Roman" w:hAnsi="Times New Roman" w:cs="Times New Roman"/>
                <w:spacing w:val="-6"/>
                <w:sz w:val="24"/>
              </w:rPr>
              <w:t>）</w:t>
            </w:r>
          </w:p>
        </w:tc>
        <w:tc>
          <w:tcPr>
            <w:tcW w:w="2903" w:type="dxa"/>
            <w:noWrap w:val="0"/>
            <w:vAlign w:val="center"/>
          </w:tcPr>
          <w:p w14:paraId="54186C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6460</w:t>
            </w:r>
          </w:p>
        </w:tc>
      </w:tr>
      <w:tr w14:paraId="28664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494" w:type="dxa"/>
            <w:noWrap w:val="0"/>
            <w:vAlign w:val="center"/>
          </w:tcPr>
          <w:p w14:paraId="5AA2E1B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专项评价设置情况</w:t>
            </w:r>
          </w:p>
        </w:tc>
        <w:tc>
          <w:tcPr>
            <w:tcW w:w="7376" w:type="dxa"/>
            <w:gridSpan w:val="3"/>
            <w:noWrap w:val="0"/>
            <w:vAlign w:val="center"/>
          </w:tcPr>
          <w:p w14:paraId="2200E2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kern w:val="0"/>
                <w:sz w:val="24"/>
              </w:rPr>
            </w:pPr>
            <w:r>
              <w:rPr>
                <w:rFonts w:hint="eastAsia" w:ascii="Times New Roman" w:hAnsi="Times New Roman" w:cs="Times New Roman"/>
                <w:sz w:val="24"/>
                <w:szCs w:val="24"/>
                <w:lang w:val="en-US" w:eastAsia="zh-CN"/>
              </w:rPr>
              <w:t>无</w:t>
            </w:r>
          </w:p>
        </w:tc>
      </w:tr>
      <w:tr w14:paraId="2478F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494" w:type="dxa"/>
            <w:noWrap w:val="0"/>
            <w:vAlign w:val="center"/>
          </w:tcPr>
          <w:p w14:paraId="4E77B47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sz w:val="24"/>
              </w:rPr>
              <w:t>规划情况</w:t>
            </w:r>
          </w:p>
        </w:tc>
        <w:tc>
          <w:tcPr>
            <w:tcW w:w="7376" w:type="dxa"/>
            <w:gridSpan w:val="3"/>
            <w:noWrap w:val="0"/>
            <w:vAlign w:val="center"/>
          </w:tcPr>
          <w:p w14:paraId="02229B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eastAsia" w:ascii="Times New Roman" w:hAnsi="Times New Roman" w:eastAsia="宋体" w:cs="Times New Roman"/>
                <w:sz w:val="24"/>
                <w:lang w:eastAsia="zh-CN"/>
              </w:rPr>
            </w:pPr>
            <w:r>
              <w:rPr>
                <w:rFonts w:hint="eastAsia" w:ascii="Times New Roman" w:hAnsi="Times New Roman" w:cs="Times New Roman"/>
                <w:sz w:val="24"/>
              </w:rPr>
              <w:t>规划名称：《安徽淮北相山经济开发区</w:t>
            </w:r>
            <w:r>
              <w:rPr>
                <w:rFonts w:hint="eastAsia" w:cs="Times New Roman"/>
                <w:sz w:val="24"/>
                <w:lang w:val="en-US" w:eastAsia="zh-CN"/>
              </w:rPr>
              <w:t>总体</w:t>
            </w:r>
            <w:r>
              <w:rPr>
                <w:rFonts w:hint="eastAsia" w:ascii="Times New Roman" w:hAnsi="Times New Roman" w:cs="Times New Roman"/>
                <w:sz w:val="24"/>
              </w:rPr>
              <w:t>发展规划（</w:t>
            </w:r>
            <w:r>
              <w:rPr>
                <w:rFonts w:hint="default" w:ascii="Times New Roman" w:hAnsi="Times New Roman" w:cs="Times New Roman"/>
                <w:sz w:val="24"/>
              </w:rPr>
              <w:t>20</w:t>
            </w:r>
            <w:r>
              <w:rPr>
                <w:rFonts w:hint="eastAsia" w:cs="Times New Roman"/>
                <w:sz w:val="24"/>
                <w:lang w:val="en-US" w:eastAsia="zh-CN"/>
              </w:rPr>
              <w:t>24</w:t>
            </w:r>
            <w:r>
              <w:rPr>
                <w:rFonts w:hint="default" w:ascii="Times New Roman" w:hAnsi="Times New Roman" w:cs="Times New Roman"/>
                <w:sz w:val="24"/>
              </w:rPr>
              <w:t>-203</w:t>
            </w:r>
            <w:r>
              <w:rPr>
                <w:rFonts w:hint="eastAsia" w:cs="Times New Roman"/>
                <w:sz w:val="24"/>
                <w:lang w:val="en-US" w:eastAsia="zh-CN"/>
              </w:rPr>
              <w:t>5</w:t>
            </w:r>
            <w:r>
              <w:rPr>
                <w:rFonts w:hint="eastAsia" w:ascii="Times New Roman" w:hAnsi="Times New Roman" w:cs="Times New Roman"/>
                <w:sz w:val="24"/>
              </w:rPr>
              <w:t>年）》</w:t>
            </w:r>
          </w:p>
          <w:p w14:paraId="1C956C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eastAsia" w:ascii="Times New Roman" w:hAnsi="Times New Roman" w:eastAsia="宋体" w:cs="Times New Roman"/>
                <w:sz w:val="24"/>
                <w:lang w:eastAsia="zh-CN"/>
              </w:rPr>
            </w:pPr>
            <w:r>
              <w:rPr>
                <w:rFonts w:hint="eastAsia" w:ascii="Times New Roman" w:hAnsi="Times New Roman" w:cs="Times New Roman"/>
                <w:sz w:val="24"/>
              </w:rPr>
              <w:t>规划审批机关：</w:t>
            </w:r>
            <w:r>
              <w:rPr>
                <w:rFonts w:hint="eastAsia"/>
                <w:sz w:val="24"/>
              </w:rPr>
              <w:t>安徽省人民政府</w:t>
            </w:r>
          </w:p>
          <w:p w14:paraId="362920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kern w:val="0"/>
                <w:sz w:val="24"/>
              </w:rPr>
            </w:pPr>
            <w:r>
              <w:rPr>
                <w:rFonts w:hint="eastAsia" w:ascii="Times New Roman" w:hAnsi="Times New Roman" w:cs="Times New Roman"/>
                <w:sz w:val="24"/>
              </w:rPr>
              <w:t>规划审批文件</w:t>
            </w:r>
            <w:r>
              <w:rPr>
                <w:rFonts w:hint="eastAsia" w:ascii="Times New Roman" w:hAnsi="Times New Roman" w:cs="Times New Roman"/>
                <w:sz w:val="24"/>
                <w:lang w:eastAsia="zh-CN"/>
              </w:rPr>
              <w:t>：</w:t>
            </w:r>
            <w:r>
              <w:rPr>
                <w:rFonts w:hint="eastAsia"/>
                <w:sz w:val="24"/>
              </w:rPr>
              <w:t>《</w:t>
            </w:r>
            <w:r>
              <w:rPr>
                <w:rFonts w:hint="eastAsia"/>
                <w:sz w:val="24"/>
                <w:lang w:val="en-US" w:eastAsia="zh-CN"/>
              </w:rPr>
              <w:t>安徽省人民政府关于同意安徽肥西经济技术开发区等调（扩）区的批复</w:t>
            </w:r>
            <w:r>
              <w:rPr>
                <w:rFonts w:hint="eastAsia"/>
                <w:sz w:val="24"/>
              </w:rPr>
              <w:t>》（皖政秘〔20</w:t>
            </w:r>
            <w:r>
              <w:rPr>
                <w:rFonts w:hint="eastAsia"/>
                <w:sz w:val="24"/>
                <w:lang w:val="en-US" w:eastAsia="zh-CN"/>
              </w:rPr>
              <w:t>25</w:t>
            </w:r>
            <w:r>
              <w:rPr>
                <w:rFonts w:hint="eastAsia"/>
                <w:sz w:val="24"/>
              </w:rPr>
              <w:t>〕</w:t>
            </w:r>
            <w:r>
              <w:rPr>
                <w:rFonts w:hint="eastAsia"/>
                <w:sz w:val="24"/>
                <w:lang w:val="en-US" w:eastAsia="zh-CN"/>
              </w:rPr>
              <w:t>29</w:t>
            </w:r>
            <w:r>
              <w:rPr>
                <w:rFonts w:hint="eastAsia"/>
                <w:sz w:val="24"/>
              </w:rPr>
              <w:t>号）</w:t>
            </w:r>
          </w:p>
        </w:tc>
      </w:tr>
      <w:tr w14:paraId="01AE0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494" w:type="dxa"/>
            <w:noWrap w:val="0"/>
            <w:vAlign w:val="center"/>
          </w:tcPr>
          <w:p w14:paraId="3873E3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sz w:val="24"/>
              </w:rPr>
              <w:t>规划环境影响评价情况</w:t>
            </w:r>
          </w:p>
        </w:tc>
        <w:tc>
          <w:tcPr>
            <w:tcW w:w="7376" w:type="dxa"/>
            <w:gridSpan w:val="3"/>
            <w:noWrap w:val="0"/>
            <w:vAlign w:val="center"/>
          </w:tcPr>
          <w:p w14:paraId="01C88B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kern w:val="0"/>
                <w:sz w:val="24"/>
              </w:rPr>
            </w:pPr>
            <w:r>
              <w:rPr>
                <w:rFonts w:hint="default" w:ascii="Times New Roman" w:hAnsi="Times New Roman" w:cs="Times New Roman"/>
                <w:kern w:val="0"/>
                <w:sz w:val="24"/>
              </w:rPr>
              <w:t>规划环境影响评价文件名称：《安徽淮北相山经济开发区</w:t>
            </w:r>
            <w:r>
              <w:rPr>
                <w:rFonts w:hint="eastAsia" w:cs="Times New Roman"/>
                <w:kern w:val="0"/>
                <w:sz w:val="24"/>
                <w:lang w:val="en-US" w:eastAsia="zh-CN"/>
              </w:rPr>
              <w:t>总体</w:t>
            </w:r>
            <w:r>
              <w:rPr>
                <w:rFonts w:hint="default" w:ascii="Times New Roman" w:hAnsi="Times New Roman" w:cs="Times New Roman"/>
                <w:kern w:val="0"/>
                <w:sz w:val="24"/>
              </w:rPr>
              <w:t>发展规划（20</w:t>
            </w:r>
            <w:r>
              <w:rPr>
                <w:rFonts w:hint="eastAsia" w:cs="Times New Roman"/>
                <w:kern w:val="0"/>
                <w:sz w:val="24"/>
                <w:lang w:val="en-US" w:eastAsia="zh-CN"/>
              </w:rPr>
              <w:t>24</w:t>
            </w:r>
            <w:r>
              <w:rPr>
                <w:rFonts w:hint="default" w:ascii="Times New Roman" w:hAnsi="Times New Roman" w:cs="Times New Roman"/>
                <w:kern w:val="0"/>
                <w:sz w:val="24"/>
              </w:rPr>
              <w:t>-203</w:t>
            </w:r>
            <w:r>
              <w:rPr>
                <w:rFonts w:hint="eastAsia" w:cs="Times New Roman"/>
                <w:kern w:val="0"/>
                <w:sz w:val="24"/>
                <w:lang w:val="en-US" w:eastAsia="zh-CN"/>
              </w:rPr>
              <w:t>5</w:t>
            </w:r>
            <w:r>
              <w:rPr>
                <w:rFonts w:hint="default" w:ascii="Times New Roman" w:hAnsi="Times New Roman" w:cs="Times New Roman"/>
                <w:kern w:val="0"/>
                <w:sz w:val="24"/>
              </w:rPr>
              <w:t>年）环境影响报告书》</w:t>
            </w:r>
          </w:p>
          <w:p w14:paraId="534FE3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kern w:val="0"/>
                <w:sz w:val="24"/>
              </w:rPr>
            </w:pPr>
            <w:r>
              <w:rPr>
                <w:rFonts w:hint="default" w:ascii="Times New Roman" w:hAnsi="Times New Roman" w:cs="Times New Roman"/>
                <w:kern w:val="0"/>
                <w:sz w:val="24"/>
              </w:rPr>
              <w:t>召集审查机关：安徽省</w:t>
            </w:r>
            <w:r>
              <w:rPr>
                <w:rFonts w:hint="eastAsia" w:ascii="Times New Roman" w:hAnsi="Times New Roman" w:cs="Times New Roman"/>
                <w:kern w:val="0"/>
                <w:sz w:val="24"/>
                <w:lang w:val="en-US" w:eastAsia="zh-CN"/>
              </w:rPr>
              <w:t>生态环境</w:t>
            </w:r>
            <w:r>
              <w:rPr>
                <w:rFonts w:hint="default" w:ascii="Times New Roman" w:hAnsi="Times New Roman" w:cs="Times New Roman"/>
                <w:kern w:val="0"/>
                <w:sz w:val="24"/>
              </w:rPr>
              <w:t>厅</w:t>
            </w:r>
          </w:p>
          <w:p w14:paraId="57F11D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kern w:val="0"/>
                <w:sz w:val="24"/>
              </w:rPr>
            </w:pPr>
            <w:r>
              <w:rPr>
                <w:rFonts w:hint="default" w:ascii="Times New Roman" w:hAnsi="Times New Roman" w:cs="Times New Roman"/>
                <w:kern w:val="0"/>
                <w:sz w:val="24"/>
              </w:rPr>
              <w:t>审查文件名称及文号：安徽省生态环境厅关于印</w:t>
            </w:r>
            <w:r>
              <w:rPr>
                <w:rFonts w:hint="eastAsia" w:cs="Times New Roman"/>
                <w:kern w:val="0"/>
                <w:sz w:val="24"/>
                <w:lang w:val="en-US" w:eastAsia="zh-CN"/>
              </w:rPr>
              <w:t>送</w:t>
            </w:r>
            <w:r>
              <w:rPr>
                <w:rFonts w:hint="eastAsia" w:cs="Times New Roman"/>
                <w:kern w:val="0"/>
                <w:sz w:val="24"/>
                <w:lang w:eastAsia="zh-CN"/>
              </w:rPr>
              <w:t>《</w:t>
            </w:r>
            <w:r>
              <w:rPr>
                <w:rFonts w:hint="default" w:ascii="Times New Roman" w:hAnsi="Times New Roman" w:cs="Times New Roman"/>
                <w:kern w:val="0"/>
                <w:sz w:val="24"/>
              </w:rPr>
              <w:t>安徽淮北相山经济开发区</w:t>
            </w:r>
            <w:r>
              <w:rPr>
                <w:rFonts w:hint="eastAsia" w:cs="Times New Roman"/>
                <w:kern w:val="0"/>
                <w:sz w:val="24"/>
                <w:lang w:val="en-US" w:eastAsia="zh-CN"/>
              </w:rPr>
              <w:t>总体</w:t>
            </w:r>
            <w:r>
              <w:rPr>
                <w:rFonts w:hint="default" w:ascii="Times New Roman" w:hAnsi="Times New Roman" w:cs="Times New Roman"/>
                <w:kern w:val="0"/>
                <w:sz w:val="24"/>
              </w:rPr>
              <w:t>发展规划（20</w:t>
            </w:r>
            <w:r>
              <w:rPr>
                <w:rFonts w:hint="eastAsia" w:cs="Times New Roman"/>
                <w:kern w:val="0"/>
                <w:sz w:val="24"/>
                <w:lang w:val="en-US" w:eastAsia="zh-CN"/>
              </w:rPr>
              <w:t>24</w:t>
            </w:r>
            <w:r>
              <w:rPr>
                <w:rFonts w:hint="default" w:ascii="Times New Roman" w:hAnsi="Times New Roman" w:cs="Times New Roman"/>
                <w:kern w:val="0"/>
                <w:sz w:val="24"/>
              </w:rPr>
              <w:t>-203</w:t>
            </w:r>
            <w:r>
              <w:rPr>
                <w:rFonts w:hint="eastAsia" w:cs="Times New Roman"/>
                <w:kern w:val="0"/>
                <w:sz w:val="24"/>
                <w:lang w:val="en-US" w:eastAsia="zh-CN"/>
              </w:rPr>
              <w:t>5</w:t>
            </w:r>
            <w:r>
              <w:rPr>
                <w:rFonts w:hint="default" w:ascii="Times New Roman" w:hAnsi="Times New Roman" w:cs="Times New Roman"/>
                <w:kern w:val="0"/>
                <w:sz w:val="24"/>
              </w:rPr>
              <w:t>年）环境影响报告书</w:t>
            </w:r>
            <w:r>
              <w:rPr>
                <w:rFonts w:hint="eastAsia" w:cs="Times New Roman"/>
                <w:kern w:val="0"/>
                <w:sz w:val="24"/>
                <w:lang w:eastAsia="zh-CN"/>
              </w:rPr>
              <w:t>》</w:t>
            </w:r>
            <w:r>
              <w:rPr>
                <w:rFonts w:hint="default" w:ascii="Times New Roman" w:hAnsi="Times New Roman" w:cs="Times New Roman"/>
                <w:kern w:val="0"/>
                <w:sz w:val="24"/>
              </w:rPr>
              <w:t>审查意见的函，皖环函[</w:t>
            </w:r>
            <w:r>
              <w:rPr>
                <w:rFonts w:hint="eastAsia" w:cs="Times New Roman"/>
                <w:kern w:val="0"/>
                <w:sz w:val="24"/>
                <w:lang w:val="en-US" w:eastAsia="zh-CN"/>
              </w:rPr>
              <w:t>2024</w:t>
            </w:r>
            <w:r>
              <w:rPr>
                <w:rFonts w:hint="default" w:ascii="Times New Roman" w:hAnsi="Times New Roman" w:cs="Times New Roman"/>
                <w:kern w:val="0"/>
                <w:sz w:val="24"/>
              </w:rPr>
              <w:t>]</w:t>
            </w:r>
            <w:r>
              <w:rPr>
                <w:rFonts w:hint="eastAsia" w:cs="Times New Roman"/>
                <w:kern w:val="0"/>
                <w:sz w:val="24"/>
                <w:lang w:val="en-US" w:eastAsia="zh-CN"/>
              </w:rPr>
              <w:t>1034</w:t>
            </w:r>
            <w:r>
              <w:rPr>
                <w:rFonts w:hint="default" w:ascii="Times New Roman" w:hAnsi="Times New Roman" w:cs="Times New Roman"/>
                <w:kern w:val="0"/>
                <w:sz w:val="24"/>
              </w:rPr>
              <w:t>号</w:t>
            </w:r>
          </w:p>
        </w:tc>
      </w:tr>
      <w:tr w14:paraId="63856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1" w:hRule="atLeast"/>
        </w:trPr>
        <w:tc>
          <w:tcPr>
            <w:tcW w:w="1494" w:type="dxa"/>
            <w:noWrap w:val="0"/>
            <w:vAlign w:val="center"/>
          </w:tcPr>
          <w:p w14:paraId="5E5807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kern w:val="0"/>
                <w:sz w:val="24"/>
              </w:rPr>
            </w:pPr>
            <w:r>
              <w:rPr>
                <w:rFonts w:hint="default" w:ascii="Times New Roman" w:hAnsi="Times New Roman" w:cs="Times New Roman"/>
                <w:kern w:val="0"/>
                <w:sz w:val="24"/>
              </w:rPr>
              <w:t>规划及规划环境影响评价符合性分析</w:t>
            </w:r>
          </w:p>
        </w:tc>
        <w:tc>
          <w:tcPr>
            <w:tcW w:w="7376" w:type="dxa"/>
            <w:gridSpan w:val="3"/>
            <w:noWrap w:val="0"/>
            <w:vAlign w:val="center"/>
          </w:tcPr>
          <w:p w14:paraId="5AD34FFB">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b/>
                <w:sz w:val="24"/>
              </w:rPr>
            </w:pPr>
            <w:r>
              <w:rPr>
                <w:rFonts w:hint="default" w:ascii="Times New Roman" w:hAnsi="Times New Roman" w:cs="Times New Roman"/>
                <w:b/>
                <w:bCs/>
                <w:sz w:val="24"/>
              </w:rPr>
              <w:t>与</w:t>
            </w:r>
            <w:r>
              <w:rPr>
                <w:rFonts w:hint="default" w:ascii="Times New Roman" w:hAnsi="Times New Roman" w:cs="Times New Roman"/>
                <w:b/>
                <w:sz w:val="24"/>
              </w:rPr>
              <w:t>《安徽淮北相山经济开发区</w:t>
            </w:r>
            <w:r>
              <w:rPr>
                <w:rFonts w:hint="eastAsia" w:cs="Times New Roman"/>
                <w:b/>
                <w:sz w:val="24"/>
                <w:lang w:val="en-US" w:eastAsia="zh-CN"/>
              </w:rPr>
              <w:t>总体</w:t>
            </w:r>
            <w:r>
              <w:rPr>
                <w:rFonts w:hint="default" w:ascii="Times New Roman" w:hAnsi="Times New Roman" w:cs="Times New Roman"/>
                <w:b/>
                <w:sz w:val="24"/>
              </w:rPr>
              <w:t>发展规划（</w:t>
            </w:r>
            <w:r>
              <w:rPr>
                <w:rFonts w:hint="eastAsia" w:cs="Times New Roman"/>
                <w:b/>
                <w:sz w:val="24"/>
                <w:lang w:val="en-US" w:eastAsia="zh-CN"/>
              </w:rPr>
              <w:t>2024-2035</w:t>
            </w:r>
            <w:r>
              <w:rPr>
                <w:rFonts w:hint="default" w:ascii="Times New Roman" w:hAnsi="Times New Roman" w:cs="Times New Roman"/>
                <w:b/>
                <w:sz w:val="24"/>
              </w:rPr>
              <w:t>）》的符合性分析</w:t>
            </w:r>
          </w:p>
          <w:p w14:paraId="2D3FFC04">
            <w:pPr>
              <w:keepNext w:val="0"/>
              <w:keepLines w:val="0"/>
              <w:suppressLineNumbers w:val="0"/>
              <w:topLinePunct/>
              <w:spacing w:before="0" w:beforeAutospacing="0" w:after="0" w:afterAutospacing="0" w:line="360" w:lineRule="auto"/>
              <w:ind w:left="0" w:right="0" w:firstLine="480" w:firstLineChars="200"/>
              <w:rPr>
                <w:rFonts w:hint="eastAsia" w:ascii="Times New Roman" w:hAnsi="Times New Roman" w:cs="Times New Roman"/>
                <w:b w:val="0"/>
                <w:bCs w:val="0"/>
                <w:sz w:val="24"/>
                <w:lang w:val="en-US" w:eastAsia="zh-CN"/>
              </w:rPr>
            </w:pPr>
            <w:r>
              <w:rPr>
                <w:rFonts w:hint="eastAsia" w:ascii="Times New Roman" w:hAnsi="Times New Roman" w:cs="Times New Roman"/>
                <w:sz w:val="24"/>
              </w:rPr>
              <w:t>根据</w:t>
            </w:r>
            <w:r>
              <w:rPr>
                <w:rFonts w:hint="eastAsia"/>
                <w:sz w:val="24"/>
              </w:rPr>
              <w:t>《安徽省人民政府关于同意安徽肥西经济技术开发区等调（扩）区的批复》（皖政秘〔2025〕29号）</w:t>
            </w:r>
            <w:r>
              <w:rPr>
                <w:rFonts w:hint="eastAsia" w:ascii="Times New Roman" w:hAnsi="Times New Roman" w:cs="Times New Roman"/>
                <w:sz w:val="24"/>
              </w:rPr>
              <w:t>文件，</w:t>
            </w:r>
            <w:r>
              <w:rPr>
                <w:rFonts w:hint="eastAsia" w:cs="Times New Roman"/>
                <w:sz w:val="24"/>
                <w:lang w:val="en-US" w:eastAsia="zh-CN"/>
              </w:rPr>
              <w:t>2025</w:t>
            </w:r>
            <w:r>
              <w:rPr>
                <w:rFonts w:hint="eastAsia" w:ascii="Times New Roman" w:hAnsi="Times New Roman" w:cs="Times New Roman"/>
                <w:sz w:val="24"/>
              </w:rPr>
              <w:t>年</w:t>
            </w:r>
            <w:r>
              <w:rPr>
                <w:rFonts w:hint="eastAsia" w:cs="Times New Roman"/>
                <w:sz w:val="24"/>
                <w:lang w:val="en-US" w:eastAsia="zh-CN"/>
              </w:rPr>
              <w:t>3</w:t>
            </w:r>
            <w:r>
              <w:rPr>
                <w:rFonts w:hint="eastAsia" w:ascii="Times New Roman" w:hAnsi="Times New Roman" w:cs="Times New Roman"/>
                <w:sz w:val="24"/>
              </w:rPr>
              <w:t>月</w:t>
            </w:r>
            <w:r>
              <w:rPr>
                <w:rFonts w:hint="eastAsia" w:cs="Times New Roman"/>
                <w:sz w:val="24"/>
                <w:lang w:val="en-US" w:eastAsia="zh-CN"/>
              </w:rPr>
              <w:t>3</w:t>
            </w:r>
            <w:r>
              <w:rPr>
                <w:rFonts w:hint="eastAsia" w:ascii="Times New Roman" w:hAnsi="Times New Roman" w:cs="Times New Roman"/>
                <w:sz w:val="24"/>
              </w:rPr>
              <w:t>日同意安徽淮北相山经济开发区</w:t>
            </w:r>
            <w:r>
              <w:rPr>
                <w:rFonts w:hint="eastAsia" w:cs="Times New Roman"/>
                <w:sz w:val="24"/>
                <w:lang w:val="en-US" w:eastAsia="zh-CN"/>
              </w:rPr>
              <w:t>调区</w:t>
            </w:r>
            <w:r>
              <w:rPr>
                <w:rFonts w:hint="eastAsia" w:ascii="Times New Roman" w:hAnsi="Times New Roman" w:cs="Times New Roman"/>
                <w:sz w:val="24"/>
              </w:rPr>
              <w:t>。</w:t>
            </w:r>
            <w:r>
              <w:rPr>
                <w:rFonts w:hint="eastAsia"/>
                <w:sz w:val="24"/>
              </w:rPr>
              <w:t>根据安徽省自然资源厅出具的《关于相山经开区拟调区四至范围初核意见》，安徽淮北相山经济开发区拟调区总面积为1502.09公顷，分为三个区块，其中区块一面积为786.11公顷，四至范围东至河北路，南至洪碱河，西至洪碱河，北至凤竹路、S411北270米</w:t>
            </w:r>
            <w:r>
              <w:rPr>
                <w:rFonts w:hint="eastAsia"/>
                <w:sz w:val="24"/>
                <w:lang w:eastAsia="zh-CN"/>
              </w:rPr>
              <w:t>；</w:t>
            </w:r>
            <w:r>
              <w:rPr>
                <w:rFonts w:hint="eastAsia"/>
                <w:sz w:val="24"/>
              </w:rPr>
              <w:t>区块二面积为656.70公顷</w:t>
            </w:r>
            <w:r>
              <w:rPr>
                <w:rFonts w:hint="eastAsia"/>
                <w:sz w:val="24"/>
                <w:lang w:eastAsia="zh-CN"/>
              </w:rPr>
              <w:t>，</w:t>
            </w:r>
            <w:r>
              <w:rPr>
                <w:rFonts w:hint="eastAsia"/>
                <w:sz w:val="24"/>
              </w:rPr>
              <w:t>四至范围东至洪碱河，南至金桥家园，西至S411，北至凤竹路</w:t>
            </w:r>
            <w:r>
              <w:rPr>
                <w:rFonts w:hint="eastAsia"/>
                <w:sz w:val="24"/>
                <w:lang w:eastAsia="zh-CN"/>
              </w:rPr>
              <w:t>；</w:t>
            </w:r>
            <w:r>
              <w:rPr>
                <w:rFonts w:hint="eastAsia"/>
                <w:sz w:val="24"/>
              </w:rPr>
              <w:t>区块三面积为59.28公顷，四至范围东至梁钟路，南至237国道</w:t>
            </w:r>
            <w:r>
              <w:rPr>
                <w:rFonts w:hint="eastAsia"/>
                <w:sz w:val="24"/>
                <w:lang w:eastAsia="zh-CN"/>
              </w:rPr>
              <w:t>，</w:t>
            </w:r>
            <w:r>
              <w:rPr>
                <w:rFonts w:hint="eastAsia"/>
                <w:sz w:val="24"/>
              </w:rPr>
              <w:t>西至园区西路，北至黄桃路</w:t>
            </w:r>
            <w:r>
              <w:rPr>
                <w:rFonts w:hint="eastAsia"/>
                <w:sz w:val="24"/>
                <w:lang w:eastAsia="zh-CN"/>
              </w:rPr>
              <w:t>。</w:t>
            </w:r>
            <w:r>
              <w:rPr>
                <w:rFonts w:hint="eastAsia"/>
                <w:sz w:val="24"/>
                <w:lang w:val="en-US" w:eastAsia="zh-CN"/>
              </w:rPr>
              <w:t>本次规划不涉及主导产业变更，</w:t>
            </w:r>
            <w:r>
              <w:rPr>
                <w:rFonts w:hint="eastAsia"/>
                <w:sz w:val="24"/>
              </w:rPr>
              <w:t>以食品制造和信息产业为主导产业。</w:t>
            </w:r>
          </w:p>
          <w:p w14:paraId="46612F77">
            <w:pPr>
              <w:keepNext w:val="0"/>
              <w:keepLines w:val="0"/>
              <w:suppressLineNumbers w:val="0"/>
              <w:topLinePunct/>
              <w:spacing w:before="0" w:beforeAutospacing="0" w:after="0" w:afterAutospacing="0" w:line="360" w:lineRule="auto"/>
              <w:ind w:left="0" w:right="0" w:firstLine="482" w:firstLineChars="200"/>
              <w:rPr>
                <w:rFonts w:hint="eastAsia"/>
                <w:b/>
                <w:bCs/>
                <w:sz w:val="24"/>
              </w:rPr>
            </w:pPr>
            <w:r>
              <w:rPr>
                <w:rFonts w:hint="eastAsia"/>
                <w:b/>
                <w:bCs/>
                <w:sz w:val="24"/>
              </w:rPr>
              <w:t>◆规划产业定位</w:t>
            </w:r>
          </w:p>
          <w:p w14:paraId="60DAEF78">
            <w:pPr>
              <w:keepNext w:val="0"/>
              <w:keepLines w:val="0"/>
              <w:suppressLineNumbers w:val="0"/>
              <w:topLinePunct/>
              <w:spacing w:before="0" w:beforeAutospacing="0" w:after="0" w:afterAutospacing="0" w:line="360" w:lineRule="auto"/>
              <w:ind w:left="0" w:right="0" w:firstLine="482" w:firstLineChars="20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（1）食品制造</w:t>
            </w:r>
          </w:p>
          <w:p w14:paraId="45EB0DD3">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巩固已有的食品制造业优势，围绕食品消费安全化、健康化、多样化、营养化、方便化的需求，提升产业链竞争力，推动食品制造业向高端化转型。在</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大健康</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产业背景下，聚焦功能性食品和营养食品，运用发酵工程、酶工程等现代生物技术，积极发展膳食补充剂、食品添加剂等功能性食品，加速壮大健康食品和生物科技产业，打造长三角地区大健康产业基地。</w:t>
            </w:r>
          </w:p>
          <w:p w14:paraId="59A9602B">
            <w:pPr>
              <w:keepNext w:val="0"/>
              <w:keepLines w:val="0"/>
              <w:suppressLineNumbers w:val="0"/>
              <w:topLinePunct/>
              <w:spacing w:before="0" w:beforeAutospacing="0" w:after="0" w:afterAutospacing="0" w:line="360" w:lineRule="auto"/>
              <w:ind w:left="0" w:right="0" w:firstLine="482" w:firstLineChars="200"/>
              <w:rPr>
                <w:rFonts w:hint="default" w:ascii="Times New Roman" w:hAnsi="Times New Roman" w:eastAsia="宋体" w:cs="Times New Roman"/>
                <w:sz w:val="24"/>
              </w:rPr>
            </w:pPr>
            <w:r>
              <w:rPr>
                <w:rFonts w:hint="default" w:ascii="Times New Roman" w:hAnsi="Times New Roman" w:eastAsia="宋体" w:cs="Times New Roman"/>
                <w:b/>
                <w:bCs/>
                <w:sz w:val="24"/>
              </w:rPr>
              <w:t>农产品精深加工。</w:t>
            </w:r>
            <w:r>
              <w:rPr>
                <w:rFonts w:hint="default" w:ascii="Times New Roman" w:hAnsi="Times New Roman" w:eastAsia="宋体" w:cs="Times New Roman"/>
                <w:sz w:val="24"/>
              </w:rPr>
              <w:t>重点发展小麦等粮食加工、果蔬深加工和肉制品。充分发挥优质小麦资源优势，推动现有农产品加工企业技术革新和产业转型，大力发展高端小麦专用粉、低GI（血糖生成指数）和全谷物面包面条、小麦胚芽粉、胚芽油等高端小麦制品。积极发展低温脱水蔬菜、多维蔬菜汁、天然蔬菜粉、水果汁、罐头等有机果蔬和绿色果蔬深加工产品。充分发挥皖北肉牛和黑猪产业优势，依托安徽味知轩食品有限公司等骨干企业，提升肉制品精深加工能力，加大腌制、卤制肉类等中式熟食制品的研发，开发冷鲜肉制品、低温肉制品、营养保健肉制品、熟制品、火锅涮品、即食产品和烧烤产品等，建立溯源体系，全面提升肉产品品牌价值。</w:t>
            </w:r>
          </w:p>
          <w:p w14:paraId="13F44DD4">
            <w:pPr>
              <w:keepNext w:val="0"/>
              <w:keepLines w:val="0"/>
              <w:suppressLineNumbers w:val="0"/>
              <w:spacing w:before="0" w:beforeAutospacing="0" w:after="0" w:afterAutospacing="0" w:line="360" w:lineRule="auto"/>
              <w:ind w:left="0" w:right="0" w:firstLine="502" w:firstLineChars="200"/>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休闲食品。</w:t>
            </w:r>
            <w:r>
              <w:rPr>
                <w:rFonts w:hint="default" w:ascii="Times New Roman" w:hAnsi="Times New Roman" w:eastAsia="宋体" w:cs="Times New Roman"/>
                <w:spacing w:val="5"/>
                <w:sz w:val="24"/>
                <w:szCs w:val="24"/>
              </w:rPr>
              <w:t>依托思朗等企业发展基础，重点发展饼干等烘焙类</w:t>
            </w:r>
            <w:r>
              <w:rPr>
                <w:rFonts w:hint="default" w:ascii="Times New Roman" w:hAnsi="Times New Roman" w:eastAsia="宋体" w:cs="Times New Roman"/>
                <w:spacing w:val="4"/>
                <w:sz w:val="24"/>
                <w:szCs w:val="24"/>
              </w:rPr>
              <w:t>食品，围绕消费需求多样化的趋势，积极开发低糖、低脂肪、低热量烘焙食品，推广冷链烘焙技术，大</w:t>
            </w:r>
            <w:r>
              <w:rPr>
                <w:rFonts w:hint="default" w:ascii="Times New Roman" w:hAnsi="Times New Roman" w:eastAsia="宋体" w:cs="Times New Roman"/>
                <w:spacing w:val="5"/>
                <w:sz w:val="24"/>
                <w:szCs w:val="24"/>
              </w:rPr>
              <w:t>力开发</w:t>
            </w:r>
            <w:r>
              <w:rPr>
                <w:rFonts w:hint="eastAsia" w:ascii="Times New Roman" w:hAnsi="Times New Roman" w:eastAsia="宋体" w:cs="Times New Roman"/>
                <w:spacing w:val="5"/>
                <w:sz w:val="24"/>
                <w:szCs w:val="24"/>
                <w:lang w:eastAsia="zh-CN"/>
              </w:rPr>
              <w:t>“</w:t>
            </w:r>
            <w:r>
              <w:rPr>
                <w:rFonts w:hint="default" w:ascii="Times New Roman" w:hAnsi="Times New Roman" w:eastAsia="宋体" w:cs="Times New Roman"/>
                <w:spacing w:val="5"/>
                <w:sz w:val="24"/>
                <w:szCs w:val="24"/>
              </w:rPr>
              <w:t>代餐</w:t>
            </w:r>
            <w:r>
              <w:rPr>
                <w:rFonts w:hint="eastAsia" w:ascii="Times New Roman" w:hAnsi="Times New Roman" w:eastAsia="宋体" w:cs="Times New Roman"/>
                <w:spacing w:val="5"/>
                <w:sz w:val="24"/>
                <w:szCs w:val="24"/>
                <w:lang w:eastAsia="zh-CN"/>
              </w:rPr>
              <w:t>”</w:t>
            </w:r>
            <w:r>
              <w:rPr>
                <w:rFonts w:hint="default" w:ascii="Times New Roman" w:hAnsi="Times New Roman" w:eastAsia="宋体" w:cs="Times New Roman"/>
                <w:spacing w:val="5"/>
                <w:sz w:val="24"/>
                <w:szCs w:val="24"/>
              </w:rPr>
              <w:t>类烘焙食品，推动烘焙类食</w:t>
            </w:r>
            <w:r>
              <w:rPr>
                <w:rFonts w:hint="default" w:ascii="Times New Roman" w:hAnsi="Times New Roman" w:eastAsia="宋体" w:cs="Times New Roman"/>
                <w:spacing w:val="4"/>
                <w:sz w:val="24"/>
                <w:szCs w:val="24"/>
              </w:rPr>
              <w:t>品向多样化、高品质方向发展。加快发展</w:t>
            </w:r>
            <w:r>
              <w:rPr>
                <w:rFonts w:hint="default" w:ascii="Times New Roman" w:hAnsi="Times New Roman" w:eastAsia="宋体" w:cs="Times New Roman"/>
                <w:spacing w:val="-1"/>
                <w:sz w:val="24"/>
                <w:szCs w:val="24"/>
              </w:rPr>
              <w:t>坚果、豆干、蛋黄酥、素食肉等食品，开发布</w:t>
            </w:r>
            <w:r>
              <w:rPr>
                <w:rFonts w:hint="default" w:ascii="Times New Roman" w:hAnsi="Times New Roman" w:eastAsia="宋体" w:cs="Times New Roman"/>
                <w:spacing w:val="-2"/>
                <w:sz w:val="24"/>
                <w:szCs w:val="24"/>
              </w:rPr>
              <w:t>局多元化、复合型休闲食品。</w:t>
            </w:r>
          </w:p>
          <w:p w14:paraId="50FC94F2">
            <w:pPr>
              <w:keepNext w:val="0"/>
              <w:keepLines w:val="0"/>
              <w:suppressLineNumbers w:val="0"/>
              <w:spacing w:before="0" w:beforeAutospacing="0" w:after="0" w:afterAutospacing="0" w:line="360" w:lineRule="auto"/>
              <w:ind w:left="0" w:right="0" w:firstLine="502" w:firstLineChars="200"/>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软饮料。</w:t>
            </w:r>
            <w:r>
              <w:rPr>
                <w:rFonts w:hint="default" w:ascii="Times New Roman" w:hAnsi="Times New Roman" w:eastAsia="宋体" w:cs="Times New Roman"/>
                <w:spacing w:val="5"/>
                <w:sz w:val="24"/>
                <w:szCs w:val="24"/>
              </w:rPr>
              <w:t>围绕今麦郎等骨干企业，壮大瓶装水产业</w:t>
            </w:r>
            <w:r>
              <w:rPr>
                <w:rFonts w:hint="default" w:ascii="Times New Roman" w:hAnsi="Times New Roman" w:eastAsia="宋体" w:cs="Times New Roman"/>
                <w:spacing w:val="4"/>
                <w:sz w:val="24"/>
                <w:szCs w:val="24"/>
              </w:rPr>
              <w:t>，主推饮用天然矿泉水、天然苏打水高端产品。夯实传统果蔬饮料的产业基础，大力发展运动员饮料、复合饮料、茶饮料、谷物饮料和咖啡饮料等。积极发展植物蛋白饮</w:t>
            </w:r>
            <w:r>
              <w:rPr>
                <w:rFonts w:hint="default" w:ascii="Times New Roman" w:hAnsi="Times New Roman" w:eastAsia="宋体" w:cs="Times New Roman"/>
                <w:spacing w:val="3"/>
                <w:sz w:val="24"/>
                <w:szCs w:val="24"/>
              </w:rPr>
              <w:t>料，开发绿色、营养、功能型、</w:t>
            </w:r>
            <w:r>
              <w:rPr>
                <w:rFonts w:hint="default" w:ascii="Times New Roman" w:hAnsi="Times New Roman" w:eastAsia="宋体" w:cs="Times New Roman"/>
                <w:spacing w:val="-7"/>
                <w:sz w:val="24"/>
                <w:szCs w:val="24"/>
              </w:rPr>
              <w:t>健康型饮料。</w:t>
            </w:r>
          </w:p>
          <w:p w14:paraId="65BC6C01">
            <w:pPr>
              <w:keepNext w:val="0"/>
              <w:keepLines w:val="0"/>
              <w:suppressLineNumbers w:val="0"/>
              <w:spacing w:before="0" w:beforeAutospacing="0" w:after="0" w:afterAutospacing="0" w:line="360" w:lineRule="auto"/>
              <w:ind w:left="0" w:right="0" w:firstLine="502" w:firstLineChars="200"/>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乳制品。</w:t>
            </w:r>
            <w:r>
              <w:rPr>
                <w:rFonts w:hint="default" w:ascii="Times New Roman" w:hAnsi="Times New Roman" w:eastAsia="宋体" w:cs="Times New Roman"/>
                <w:spacing w:val="5"/>
                <w:sz w:val="24"/>
                <w:szCs w:val="24"/>
              </w:rPr>
              <w:t>巩固传统乳制品领域优势，积极推动乳制品多</w:t>
            </w:r>
            <w:r>
              <w:rPr>
                <w:rFonts w:hint="default" w:ascii="Times New Roman" w:hAnsi="Times New Roman" w:eastAsia="宋体" w:cs="Times New Roman"/>
                <w:spacing w:val="4"/>
                <w:sz w:val="24"/>
                <w:szCs w:val="24"/>
              </w:rPr>
              <w:t>元化布局，加快发展巴氏杀菌奶、酸奶、乳饮料等产品。构建产学研相结合的乳业技术创新和产品创新体系，</w:t>
            </w:r>
            <w:r>
              <w:rPr>
                <w:rFonts w:hint="default" w:ascii="Times New Roman" w:hAnsi="Times New Roman" w:eastAsia="宋体" w:cs="Times New Roman"/>
                <w:spacing w:val="5"/>
                <w:sz w:val="24"/>
                <w:szCs w:val="24"/>
              </w:rPr>
              <w:t>重点开发脱盐乳清粉、酪蛋白、乳铁蛋白、稀</w:t>
            </w:r>
            <w:r>
              <w:rPr>
                <w:rFonts w:hint="default" w:ascii="Times New Roman" w:hAnsi="Times New Roman" w:eastAsia="宋体" w:cs="Times New Roman"/>
                <w:spacing w:val="4"/>
                <w:sz w:val="24"/>
                <w:szCs w:val="24"/>
              </w:rPr>
              <w:t>奶油、牛初乳等新型精深加工制品，招</w:t>
            </w:r>
            <w:r>
              <w:rPr>
                <w:rFonts w:hint="default" w:ascii="Times New Roman" w:hAnsi="Times New Roman" w:eastAsia="宋体" w:cs="Times New Roman"/>
                <w:spacing w:val="5"/>
                <w:sz w:val="24"/>
                <w:szCs w:val="24"/>
              </w:rPr>
              <w:t>大引强推进发酵乳制品行业技术突破，推动发</w:t>
            </w:r>
            <w:r>
              <w:rPr>
                <w:rFonts w:hint="default" w:ascii="Times New Roman" w:hAnsi="Times New Roman" w:eastAsia="宋体" w:cs="Times New Roman"/>
                <w:spacing w:val="4"/>
                <w:sz w:val="24"/>
                <w:szCs w:val="24"/>
              </w:rPr>
              <w:t>酵乳产业和后生元（灭活益生菌）产业</w:t>
            </w:r>
            <w:r>
              <w:rPr>
                <w:rFonts w:hint="default" w:ascii="Times New Roman" w:hAnsi="Times New Roman" w:eastAsia="宋体" w:cs="Times New Roman"/>
                <w:spacing w:val="-8"/>
                <w:sz w:val="24"/>
                <w:szCs w:val="24"/>
              </w:rPr>
              <w:t>加快发展。</w:t>
            </w:r>
          </w:p>
          <w:p w14:paraId="31B86A29">
            <w:pPr>
              <w:keepNext w:val="0"/>
              <w:keepLines w:val="0"/>
              <w:suppressLineNumbers w:val="0"/>
              <w:spacing w:before="0" w:beforeAutospacing="0" w:after="0" w:afterAutospacing="0" w:line="360" w:lineRule="auto"/>
              <w:ind w:left="0" w:right="0" w:firstLine="494" w:firstLineChars="200"/>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营养保健食品。</w:t>
            </w:r>
            <w:r>
              <w:rPr>
                <w:rFonts w:hint="default" w:ascii="Times New Roman" w:hAnsi="Times New Roman" w:eastAsia="宋体" w:cs="Times New Roman"/>
                <w:spacing w:val="3"/>
                <w:sz w:val="24"/>
                <w:szCs w:val="24"/>
              </w:rPr>
              <w:t>依托盛美诺生物等产业基础，以功能性</w:t>
            </w:r>
            <w:r>
              <w:rPr>
                <w:rFonts w:hint="default" w:ascii="Times New Roman" w:hAnsi="Times New Roman" w:eastAsia="宋体" w:cs="Times New Roman"/>
                <w:spacing w:val="2"/>
                <w:sz w:val="24"/>
                <w:szCs w:val="24"/>
              </w:rPr>
              <w:t>低聚糖、多肽为切入点，</w:t>
            </w:r>
            <w:r>
              <w:rPr>
                <w:rFonts w:hint="default" w:ascii="Times New Roman" w:hAnsi="Times New Roman" w:eastAsia="宋体" w:cs="Times New Roman"/>
                <w:spacing w:val="5"/>
                <w:sz w:val="24"/>
                <w:szCs w:val="24"/>
              </w:rPr>
              <w:t>开发氨基酸系列、补充维生素、矿物质、肽与</w:t>
            </w:r>
            <w:r>
              <w:rPr>
                <w:rFonts w:hint="default" w:ascii="Times New Roman" w:hAnsi="Times New Roman" w:eastAsia="宋体" w:cs="Times New Roman"/>
                <w:spacing w:val="4"/>
                <w:sz w:val="24"/>
                <w:szCs w:val="24"/>
              </w:rPr>
              <w:t>蛋白质、活性菌、微量元素等功能性保</w:t>
            </w:r>
            <w:r>
              <w:rPr>
                <w:rFonts w:hint="default" w:ascii="Times New Roman" w:hAnsi="Times New Roman" w:eastAsia="宋体" w:cs="Times New Roman"/>
                <w:spacing w:val="5"/>
                <w:sz w:val="24"/>
                <w:szCs w:val="24"/>
              </w:rPr>
              <w:t>健食品和营养补充剂。着重研究婴幼儿、孕妇</w:t>
            </w:r>
            <w:r>
              <w:rPr>
                <w:rFonts w:hint="default" w:ascii="Times New Roman" w:hAnsi="Times New Roman" w:eastAsia="宋体" w:cs="Times New Roman"/>
                <w:spacing w:val="4"/>
                <w:sz w:val="24"/>
                <w:szCs w:val="24"/>
              </w:rPr>
              <w:t>、运动员等特殊人群的营养需求，大力</w:t>
            </w:r>
            <w:r>
              <w:rPr>
                <w:rFonts w:hint="default" w:ascii="Times New Roman" w:hAnsi="Times New Roman" w:eastAsia="宋体" w:cs="Times New Roman"/>
                <w:spacing w:val="5"/>
                <w:sz w:val="24"/>
                <w:szCs w:val="24"/>
              </w:rPr>
              <w:t>开发满足婴幼儿、孕妇营养需求的特定全营养配方食品、全</w:t>
            </w:r>
            <w:r>
              <w:rPr>
                <w:rFonts w:hint="default" w:ascii="Times New Roman" w:hAnsi="Times New Roman" w:eastAsia="宋体" w:cs="Times New Roman"/>
                <w:spacing w:val="4"/>
                <w:sz w:val="24"/>
                <w:szCs w:val="24"/>
              </w:rPr>
              <w:t>营养配方食品、非全营养</w:t>
            </w:r>
            <w:r>
              <w:rPr>
                <w:rFonts w:hint="default" w:ascii="Times New Roman" w:hAnsi="Times New Roman" w:eastAsia="宋体" w:cs="Times New Roman"/>
                <w:spacing w:val="-7"/>
                <w:sz w:val="24"/>
                <w:szCs w:val="24"/>
              </w:rPr>
              <w:t>配方食品等。</w:t>
            </w:r>
          </w:p>
          <w:p w14:paraId="42A57A13">
            <w:pPr>
              <w:keepNext w:val="0"/>
              <w:keepLines w:val="0"/>
              <w:suppressLineNumbers w:val="0"/>
              <w:spacing w:before="0" w:beforeAutospacing="0" w:after="0" w:afterAutospacing="0" w:line="360" w:lineRule="auto"/>
              <w:ind w:left="0" w:right="0" w:firstLine="498"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食品添加剂和配料。</w:t>
            </w:r>
            <w:r>
              <w:rPr>
                <w:rFonts w:hint="default" w:ascii="Times New Roman" w:hAnsi="Times New Roman" w:eastAsia="宋体" w:cs="Times New Roman"/>
                <w:spacing w:val="4"/>
                <w:sz w:val="24"/>
                <w:szCs w:val="24"/>
              </w:rPr>
              <w:t>围绕人良科技、阜邦生物等骨干企业，深度开发食品添加</w:t>
            </w:r>
            <w:r>
              <w:rPr>
                <w:rFonts w:hint="default" w:ascii="Times New Roman" w:hAnsi="Times New Roman" w:eastAsia="宋体" w:cs="Times New Roman"/>
                <w:spacing w:val="5"/>
                <w:sz w:val="24"/>
                <w:szCs w:val="24"/>
              </w:rPr>
              <w:t>产品，积极发展生物配料、天然提取物、功能</w:t>
            </w:r>
            <w:r>
              <w:rPr>
                <w:rFonts w:hint="default" w:ascii="Times New Roman" w:hAnsi="Times New Roman" w:eastAsia="宋体" w:cs="Times New Roman"/>
                <w:spacing w:val="4"/>
                <w:sz w:val="24"/>
                <w:szCs w:val="24"/>
              </w:rPr>
              <w:t>性配料、天然配料等食品添加剂。依托</w:t>
            </w:r>
            <w:r>
              <w:rPr>
                <w:rFonts w:hint="default" w:ascii="Times New Roman" w:hAnsi="Times New Roman" w:eastAsia="宋体" w:cs="Times New Roman"/>
                <w:spacing w:val="5"/>
                <w:sz w:val="24"/>
                <w:szCs w:val="24"/>
              </w:rPr>
              <w:t>吉源食品、淮北德兰和创等骨干企业，围绕相</w:t>
            </w:r>
            <w:r>
              <w:rPr>
                <w:rFonts w:hint="default" w:ascii="Times New Roman" w:hAnsi="Times New Roman" w:eastAsia="宋体" w:cs="Times New Roman"/>
                <w:spacing w:val="4"/>
                <w:sz w:val="24"/>
                <w:szCs w:val="24"/>
              </w:rPr>
              <w:t>山经开区食品工业，重点发展植物性天</w:t>
            </w:r>
            <w:r>
              <w:rPr>
                <w:rFonts w:hint="default" w:ascii="Times New Roman" w:hAnsi="Times New Roman" w:eastAsia="宋体" w:cs="Times New Roman"/>
                <w:spacing w:val="5"/>
                <w:sz w:val="24"/>
                <w:szCs w:val="24"/>
              </w:rPr>
              <w:t>然香料、天然单体香料，以及甜味、咸味食品</w:t>
            </w:r>
            <w:r>
              <w:rPr>
                <w:rFonts w:hint="default" w:ascii="Times New Roman" w:hAnsi="Times New Roman" w:eastAsia="宋体" w:cs="Times New Roman"/>
                <w:spacing w:val="4"/>
                <w:sz w:val="24"/>
                <w:szCs w:val="24"/>
              </w:rPr>
              <w:t>用香精等天然香料香精。依托现有食品</w:t>
            </w:r>
            <w:r>
              <w:rPr>
                <w:rFonts w:hint="default" w:ascii="Times New Roman" w:hAnsi="Times New Roman" w:eastAsia="宋体" w:cs="Times New Roman"/>
                <w:spacing w:val="5"/>
                <w:sz w:val="24"/>
                <w:szCs w:val="24"/>
              </w:rPr>
              <w:t>配料与添加剂企业产业基础，开发功能性糖醇</w:t>
            </w:r>
            <w:r>
              <w:rPr>
                <w:rFonts w:hint="default" w:ascii="Times New Roman" w:hAnsi="Times New Roman" w:eastAsia="宋体" w:cs="Times New Roman"/>
                <w:spacing w:val="4"/>
                <w:sz w:val="24"/>
                <w:szCs w:val="24"/>
              </w:rPr>
              <w:t>、营养强化剂、复合营养素、功能性配</w:t>
            </w:r>
            <w:r>
              <w:rPr>
                <w:rFonts w:hint="default" w:ascii="Times New Roman" w:hAnsi="Times New Roman" w:eastAsia="宋体" w:cs="Times New Roman"/>
                <w:spacing w:val="-5"/>
                <w:sz w:val="24"/>
                <w:szCs w:val="24"/>
              </w:rPr>
              <w:t>料等健康添加剂。</w:t>
            </w:r>
          </w:p>
          <w:p w14:paraId="2925C52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lang w:val="en-US" w:eastAsia="zh-CN"/>
              </w:rPr>
              <w:t>（2）</w:t>
            </w:r>
            <w:r>
              <w:rPr>
                <w:rFonts w:hint="default" w:ascii="Times New Roman" w:hAnsi="Times New Roman" w:eastAsia="宋体" w:cs="Times New Roman"/>
                <w:b/>
                <w:bCs/>
                <w:spacing w:val="-4"/>
                <w:sz w:val="24"/>
                <w:szCs w:val="24"/>
              </w:rPr>
              <w:t>信息产业</w:t>
            </w:r>
          </w:p>
          <w:p w14:paraId="5C87FC7E">
            <w:pPr>
              <w:keepNext w:val="0"/>
              <w:keepLines w:val="0"/>
              <w:suppressLineNumbers w:val="0"/>
              <w:spacing w:before="0" w:beforeAutospacing="0" w:after="0" w:afterAutospacing="0" w:line="360" w:lineRule="auto"/>
              <w:ind w:left="0" w:right="0" w:firstLine="496"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以人工智能、移动通信、工业互联网、量子信息、区块链等新一代信息技术加速</w:t>
            </w:r>
            <w:r>
              <w:rPr>
                <w:rFonts w:hint="default" w:ascii="Times New Roman" w:hAnsi="Times New Roman" w:eastAsia="宋体" w:cs="Times New Roman"/>
                <w:spacing w:val="-1"/>
                <w:sz w:val="24"/>
                <w:szCs w:val="24"/>
              </w:rPr>
              <w:t>突破应用为契机，引导PCB产业向高端化发展。围绕打造皖北承接信息产业转移集聚区，以PCB制造业为突破口，积极布局</w:t>
            </w:r>
            <w:r>
              <w:rPr>
                <w:rFonts w:hint="default" w:ascii="Times New Roman" w:hAnsi="Times New Roman" w:eastAsia="宋体" w:cs="Times New Roman"/>
                <w:spacing w:val="-2"/>
                <w:sz w:val="24"/>
                <w:szCs w:val="24"/>
              </w:rPr>
              <w:t>集成电路、电子元器件、芯片制造、虚拟现实、高速高频电路板等行业，力争建设国家级电子信息产业基地。</w:t>
            </w:r>
          </w:p>
          <w:p w14:paraId="0B25931C">
            <w:pPr>
              <w:keepNext w:val="0"/>
              <w:keepLines w:val="0"/>
              <w:suppressLineNumbers w:val="0"/>
              <w:spacing w:before="0" w:beforeAutospacing="0" w:after="0" w:afterAutospacing="0" w:line="360" w:lineRule="auto"/>
              <w:ind w:left="0" w:right="0" w:firstLine="498" w:firstLineChars="200"/>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印制电路板。</w:t>
            </w:r>
            <w:r>
              <w:rPr>
                <w:rFonts w:hint="default" w:ascii="Times New Roman" w:hAnsi="Times New Roman" w:eastAsia="宋体" w:cs="Times New Roman"/>
                <w:spacing w:val="4"/>
                <w:sz w:val="24"/>
                <w:szCs w:val="24"/>
              </w:rPr>
              <w:t>抢抓新一代移动通信、下一代互联网核心设备、特高压、智能汽车</w:t>
            </w:r>
            <w:r>
              <w:rPr>
                <w:rFonts w:hint="default" w:ascii="Times New Roman" w:hAnsi="Times New Roman" w:eastAsia="宋体" w:cs="Times New Roman"/>
                <w:spacing w:val="6"/>
                <w:sz w:val="24"/>
                <w:szCs w:val="24"/>
              </w:rPr>
              <w:t>等新技术新产品发展机遇，壮大现有印刷电路板（</w:t>
            </w:r>
            <w:r>
              <w:rPr>
                <w:rFonts w:hint="default" w:ascii="Times New Roman" w:hAnsi="Times New Roman" w:eastAsia="宋体" w:cs="Times New Roman"/>
                <w:sz w:val="24"/>
                <w:szCs w:val="24"/>
              </w:rPr>
              <w:t>PCB</w:t>
            </w:r>
            <w:r>
              <w:rPr>
                <w:rFonts w:hint="default" w:ascii="Times New Roman" w:hAnsi="Times New Roman" w:eastAsia="宋体" w:cs="Times New Roman"/>
                <w:spacing w:val="6"/>
                <w:sz w:val="24"/>
                <w:szCs w:val="24"/>
              </w:rPr>
              <w:t>）产业基础，加大技</w:t>
            </w:r>
            <w:r>
              <w:rPr>
                <w:rFonts w:hint="default" w:ascii="Times New Roman" w:hAnsi="Times New Roman" w:eastAsia="宋体" w:cs="Times New Roman"/>
                <w:spacing w:val="5"/>
                <w:sz w:val="24"/>
                <w:szCs w:val="24"/>
              </w:rPr>
              <w:t>术研发力度，积极发展高频高速、高层高精度印制电路板</w:t>
            </w:r>
            <w:r>
              <w:rPr>
                <w:rFonts w:hint="default" w:ascii="Times New Roman" w:hAnsi="Times New Roman" w:eastAsia="宋体" w:cs="Times New Roman"/>
                <w:spacing w:val="4"/>
                <w:sz w:val="24"/>
                <w:szCs w:val="24"/>
              </w:rPr>
              <w:t>。面向消费电子、汽车电子、工业电</w:t>
            </w:r>
            <w:r>
              <w:rPr>
                <w:rFonts w:hint="default" w:ascii="Times New Roman" w:hAnsi="Times New Roman" w:eastAsia="宋体" w:cs="Times New Roman"/>
                <w:spacing w:val="5"/>
                <w:sz w:val="24"/>
                <w:szCs w:val="24"/>
              </w:rPr>
              <w:t>源等领域，重点发展普通多层板、高速多层板、</w:t>
            </w:r>
            <w:r>
              <w:rPr>
                <w:rFonts w:hint="default" w:ascii="Times New Roman" w:hAnsi="Times New Roman" w:eastAsia="宋体" w:cs="Times New Roman"/>
                <w:spacing w:val="4"/>
                <w:sz w:val="24"/>
                <w:szCs w:val="24"/>
              </w:rPr>
              <w:t>厚铜板多层板、背板多层板等；面向</w:t>
            </w:r>
            <w:r>
              <w:rPr>
                <w:rFonts w:hint="default" w:ascii="Times New Roman" w:hAnsi="Times New Roman" w:eastAsia="宋体" w:cs="Times New Roman"/>
                <w:spacing w:val="5"/>
                <w:sz w:val="24"/>
                <w:szCs w:val="24"/>
              </w:rPr>
              <w:t>智能手机、平板电脑、可穿戴设备、通信设备、工</w:t>
            </w:r>
            <w:r>
              <w:rPr>
                <w:rFonts w:hint="default" w:ascii="Times New Roman" w:hAnsi="Times New Roman" w:eastAsia="宋体" w:cs="Times New Roman"/>
                <w:spacing w:val="4"/>
                <w:sz w:val="24"/>
                <w:szCs w:val="24"/>
              </w:rPr>
              <w:t>控医疗、航空航天等方向，重点发</w:t>
            </w:r>
            <w:r>
              <w:rPr>
                <w:rFonts w:hint="default" w:ascii="Times New Roman" w:hAnsi="Times New Roman" w:eastAsia="宋体" w:cs="Times New Roman"/>
                <w:spacing w:val="5"/>
                <w:sz w:val="24"/>
                <w:szCs w:val="24"/>
              </w:rPr>
              <w:t>展高速、高密度和高精度多层电路板；面向微波</w:t>
            </w:r>
            <w:r>
              <w:rPr>
                <w:rFonts w:hint="default" w:ascii="Times New Roman" w:hAnsi="Times New Roman" w:eastAsia="宋体" w:cs="Times New Roman"/>
                <w:spacing w:val="4"/>
                <w:sz w:val="24"/>
                <w:szCs w:val="24"/>
              </w:rPr>
              <w:t>通信、通信无线基站等方向，重点发</w:t>
            </w:r>
            <w:r>
              <w:rPr>
                <w:rFonts w:hint="default" w:ascii="Times New Roman" w:hAnsi="Times New Roman" w:eastAsia="宋体" w:cs="Times New Roman"/>
                <w:spacing w:val="-1"/>
                <w:sz w:val="24"/>
                <w:szCs w:val="24"/>
              </w:rPr>
              <w:t>展金属基板多层板；面向半导体芯片封装，重点发展IC封装基板；面向智能手机、平</w:t>
            </w:r>
            <w:r>
              <w:rPr>
                <w:rFonts w:hint="default" w:ascii="Times New Roman" w:hAnsi="Times New Roman" w:eastAsia="宋体" w:cs="Times New Roman"/>
                <w:spacing w:val="5"/>
                <w:sz w:val="24"/>
                <w:szCs w:val="24"/>
              </w:rPr>
              <w:t>板电脑、可穿戴设备、其他触控设备等设备，重</w:t>
            </w:r>
            <w:r>
              <w:rPr>
                <w:rFonts w:hint="default" w:ascii="Times New Roman" w:hAnsi="Times New Roman" w:eastAsia="宋体" w:cs="Times New Roman"/>
                <w:spacing w:val="4"/>
                <w:sz w:val="24"/>
                <w:szCs w:val="24"/>
              </w:rPr>
              <w:t>点发展柔性板；面向通信设备、医疗</w:t>
            </w:r>
            <w:r>
              <w:rPr>
                <w:rFonts w:hint="default" w:ascii="Times New Roman" w:hAnsi="Times New Roman" w:eastAsia="宋体" w:cs="Times New Roman"/>
                <w:spacing w:val="5"/>
                <w:sz w:val="24"/>
                <w:szCs w:val="24"/>
              </w:rPr>
              <w:t>设备、航空航天、消费电子等产品，重点发展刚挠结合板。其中，印刷电路板（</w:t>
            </w:r>
            <w:r>
              <w:rPr>
                <w:rFonts w:hint="default" w:ascii="Times New Roman" w:hAnsi="Times New Roman" w:eastAsia="宋体" w:cs="Times New Roman"/>
                <w:sz w:val="24"/>
                <w:szCs w:val="24"/>
              </w:rPr>
              <w:t>PCB</w:t>
            </w:r>
            <w:r>
              <w:rPr>
                <w:rFonts w:hint="default" w:ascii="Times New Roman" w:hAnsi="Times New Roman" w:eastAsia="宋体" w:cs="Times New Roman"/>
                <w:spacing w:val="5"/>
                <w:sz w:val="24"/>
                <w:szCs w:val="24"/>
              </w:rPr>
              <w:t>）</w:t>
            </w:r>
            <w:r>
              <w:rPr>
                <w:rFonts w:hint="default" w:ascii="Times New Roman" w:hAnsi="Times New Roman" w:eastAsia="宋体" w:cs="Times New Roman"/>
                <w:spacing w:val="-3"/>
                <w:sz w:val="24"/>
                <w:szCs w:val="24"/>
              </w:rPr>
              <w:t>生产规模参照园区上轮规划，为1000万</w:t>
            </w:r>
            <w:r>
              <w:rPr>
                <w:rFonts w:hint="default" w:ascii="Times New Roman" w:hAnsi="Times New Roman" w:eastAsia="宋体" w:cs="Times New Roman"/>
                <w:spacing w:val="-58"/>
                <w:sz w:val="24"/>
                <w:szCs w:val="24"/>
              </w:rPr>
              <w:t xml:space="preserve"> </w:t>
            </w:r>
            <w:r>
              <w:rPr>
                <w:rFonts w:hint="default" w:ascii="Times New Roman" w:hAnsi="Times New Roman" w:eastAsia="宋体" w:cs="Times New Roman"/>
                <w:spacing w:val="-3"/>
                <w:sz w:val="24"/>
                <w:szCs w:val="24"/>
              </w:rPr>
              <w:t>m</w:t>
            </w:r>
            <w:r>
              <w:rPr>
                <w:rFonts w:hint="eastAsia" w:ascii="Times New Roman" w:hAnsi="Times New Roman" w:eastAsia="宋体" w:cs="Times New Roman"/>
                <w:spacing w:val="-3"/>
                <w:sz w:val="24"/>
                <w:szCs w:val="24"/>
                <w:vertAlign w:val="superscript"/>
                <w:lang w:val="en-US" w:eastAsia="zh-CN"/>
              </w:rPr>
              <w:t>2</w:t>
            </w:r>
            <w:r>
              <w:rPr>
                <w:rFonts w:hint="default" w:ascii="Times New Roman" w:hAnsi="Times New Roman" w:eastAsia="宋体" w:cs="Times New Roman"/>
                <w:spacing w:val="-3"/>
                <w:sz w:val="24"/>
                <w:szCs w:val="24"/>
              </w:rPr>
              <w:t>/年。</w:t>
            </w:r>
          </w:p>
          <w:p w14:paraId="2B30AF2A">
            <w:pPr>
              <w:keepNext w:val="0"/>
              <w:keepLines w:val="0"/>
              <w:suppressLineNumbers w:val="0"/>
              <w:spacing w:before="0" w:beforeAutospacing="0" w:after="0" w:afterAutospacing="0" w:line="360" w:lineRule="auto"/>
              <w:ind w:left="0" w:right="0" w:firstLine="494"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智能终端。</w:t>
            </w:r>
            <w:r>
              <w:rPr>
                <w:rFonts w:hint="default" w:ascii="Times New Roman" w:hAnsi="Times New Roman" w:eastAsia="宋体" w:cs="Times New Roman"/>
                <w:spacing w:val="-69"/>
                <w:sz w:val="24"/>
                <w:szCs w:val="24"/>
              </w:rPr>
              <w:t xml:space="preserve"> </w:t>
            </w:r>
            <w:r>
              <w:rPr>
                <w:rFonts w:hint="default" w:ascii="Times New Roman" w:hAnsi="Times New Roman" w:eastAsia="宋体" w:cs="Times New Roman"/>
                <w:spacing w:val="3"/>
                <w:sz w:val="24"/>
                <w:szCs w:val="24"/>
              </w:rPr>
              <w:t>以果力智能为切入点，大力发展特种机器人，重点发展特种机器人在</w:t>
            </w:r>
            <w:r>
              <w:rPr>
                <w:rFonts w:hint="default" w:ascii="Times New Roman" w:hAnsi="Times New Roman" w:eastAsia="宋体" w:cs="Times New Roman"/>
                <w:spacing w:val="5"/>
                <w:sz w:val="24"/>
                <w:szCs w:val="24"/>
              </w:rPr>
              <w:t>安防、消防、农业、排爆等领域的实际应用；积极发展</w:t>
            </w:r>
            <w:r>
              <w:rPr>
                <w:rFonts w:hint="default" w:ascii="Times New Roman" w:hAnsi="Times New Roman" w:eastAsia="宋体" w:cs="Times New Roman"/>
                <w:spacing w:val="4"/>
                <w:sz w:val="24"/>
                <w:szCs w:val="24"/>
              </w:rPr>
              <w:t>服务机器人，重点研制家用机</w:t>
            </w:r>
            <w:r>
              <w:rPr>
                <w:rFonts w:hint="default" w:ascii="Times New Roman" w:hAnsi="Times New Roman" w:eastAsia="宋体" w:cs="Times New Roman"/>
                <w:spacing w:val="5"/>
                <w:sz w:val="24"/>
                <w:szCs w:val="24"/>
              </w:rPr>
              <w:t>器人、教育机器人、养老助残机器人等，突出服</w:t>
            </w:r>
            <w:r>
              <w:rPr>
                <w:rFonts w:hint="default" w:ascii="Times New Roman" w:hAnsi="Times New Roman" w:eastAsia="宋体" w:cs="Times New Roman"/>
                <w:spacing w:val="4"/>
                <w:sz w:val="24"/>
                <w:szCs w:val="24"/>
              </w:rPr>
              <w:t>务机器人在更多场景下的应用。加强</w:t>
            </w:r>
            <w:r>
              <w:rPr>
                <w:rFonts w:hint="default" w:ascii="Times New Roman" w:hAnsi="Times New Roman" w:eastAsia="宋体" w:cs="Times New Roman"/>
                <w:spacing w:val="5"/>
                <w:sz w:val="24"/>
                <w:szCs w:val="24"/>
              </w:rPr>
              <w:t>机器人推广应用力度，逐步形成涵盖设计研发、</w:t>
            </w:r>
            <w:r>
              <w:rPr>
                <w:rFonts w:hint="default" w:ascii="Times New Roman" w:hAnsi="Times New Roman" w:eastAsia="宋体" w:cs="Times New Roman"/>
                <w:spacing w:val="4"/>
                <w:sz w:val="24"/>
                <w:szCs w:val="24"/>
              </w:rPr>
              <w:t>零部件生产、机器人本体制造、系统</w:t>
            </w:r>
            <w:r>
              <w:rPr>
                <w:rFonts w:hint="default" w:ascii="Times New Roman" w:hAnsi="Times New Roman" w:eastAsia="宋体" w:cs="Times New Roman"/>
                <w:spacing w:val="-3"/>
                <w:sz w:val="24"/>
                <w:szCs w:val="24"/>
              </w:rPr>
              <w:t>集成等完整产业链的智能机器人产业集群。</w:t>
            </w:r>
          </w:p>
          <w:p w14:paraId="501B6192">
            <w:pPr>
              <w:keepNext w:val="0"/>
              <w:keepLines w:val="0"/>
              <w:suppressLineNumbers w:val="0"/>
              <w:spacing w:before="0" w:beforeAutospacing="0" w:after="0" w:afterAutospacing="0" w:line="360" w:lineRule="auto"/>
              <w:ind w:left="0" w:right="0" w:firstLine="494"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集成电路。</w:t>
            </w:r>
            <w:r>
              <w:rPr>
                <w:rFonts w:hint="default" w:ascii="Times New Roman" w:hAnsi="Times New Roman" w:eastAsia="宋体" w:cs="Times New Roman"/>
                <w:spacing w:val="3"/>
                <w:sz w:val="24"/>
                <w:szCs w:val="24"/>
              </w:rPr>
              <w:t>抢抓长三角一体化发展契机，</w:t>
            </w:r>
            <w:r>
              <w:rPr>
                <w:rFonts w:hint="default" w:ascii="Times New Roman" w:hAnsi="Times New Roman" w:eastAsia="宋体" w:cs="Times New Roman"/>
                <w:spacing w:val="-55"/>
                <w:sz w:val="24"/>
                <w:szCs w:val="24"/>
              </w:rPr>
              <w:t xml:space="preserve"> </w:t>
            </w:r>
            <w:r>
              <w:rPr>
                <w:rFonts w:hint="default" w:ascii="Times New Roman" w:hAnsi="Times New Roman" w:eastAsia="宋体" w:cs="Times New Roman"/>
                <w:spacing w:val="3"/>
                <w:sz w:val="24"/>
                <w:szCs w:val="24"/>
              </w:rPr>
              <w:t>以发展芯片封装测试</w:t>
            </w:r>
            <w:r>
              <w:rPr>
                <w:rFonts w:hint="default" w:ascii="Times New Roman" w:hAnsi="Times New Roman" w:eastAsia="宋体" w:cs="Times New Roman"/>
                <w:spacing w:val="2"/>
                <w:sz w:val="24"/>
                <w:szCs w:val="24"/>
              </w:rPr>
              <w:t>及相关材料的产业</w:t>
            </w:r>
            <w:r>
              <w:rPr>
                <w:rFonts w:hint="default" w:ascii="Times New Roman" w:hAnsi="Times New Roman" w:eastAsia="宋体" w:cs="Times New Roman"/>
                <w:spacing w:val="5"/>
                <w:sz w:val="24"/>
                <w:szCs w:val="24"/>
              </w:rPr>
              <w:t>集群为重点，探索引进一批芯片测试、封装环</w:t>
            </w:r>
            <w:r>
              <w:rPr>
                <w:rFonts w:hint="default" w:ascii="Times New Roman" w:hAnsi="Times New Roman" w:eastAsia="宋体" w:cs="Times New Roman"/>
                <w:spacing w:val="4"/>
                <w:sz w:val="24"/>
                <w:szCs w:val="24"/>
              </w:rPr>
              <w:t>节企业入驻。鼓励发展晶圆级封装、硅</w:t>
            </w:r>
            <w:r>
              <w:rPr>
                <w:rFonts w:hint="default" w:ascii="Times New Roman" w:hAnsi="Times New Roman" w:eastAsia="宋体" w:cs="Times New Roman"/>
                <w:spacing w:val="5"/>
                <w:sz w:val="24"/>
                <w:szCs w:val="24"/>
              </w:rPr>
              <w:t>通孔、系统封装、高密度三维封装等先进封装</w:t>
            </w:r>
            <w:r>
              <w:rPr>
                <w:rFonts w:hint="default" w:ascii="Times New Roman" w:hAnsi="Times New Roman" w:eastAsia="宋体" w:cs="Times New Roman"/>
                <w:spacing w:val="4"/>
                <w:sz w:val="24"/>
                <w:szCs w:val="24"/>
              </w:rPr>
              <w:t>技术和产业化，建设显示芯片测试、检</w:t>
            </w:r>
            <w:r>
              <w:rPr>
                <w:rFonts w:hint="default" w:ascii="Times New Roman" w:hAnsi="Times New Roman" w:eastAsia="宋体" w:cs="Times New Roman"/>
                <w:spacing w:val="-1"/>
                <w:sz w:val="24"/>
                <w:szCs w:val="24"/>
              </w:rPr>
              <w:t>测、封装等生产线。发展硅片等集成电路配套材料，支持建设12英寸硅片生产线。以</w:t>
            </w:r>
            <w:r>
              <w:rPr>
                <w:rFonts w:hint="default" w:ascii="Times New Roman" w:hAnsi="Times New Roman" w:eastAsia="宋体" w:cs="Times New Roman"/>
                <w:spacing w:val="5"/>
                <w:sz w:val="24"/>
                <w:szCs w:val="24"/>
              </w:rPr>
              <w:t>发展集成电路配套产业为重点，在硅晶圆（抛</w:t>
            </w:r>
            <w:r>
              <w:rPr>
                <w:rFonts w:hint="default" w:ascii="Times New Roman" w:hAnsi="Times New Roman" w:eastAsia="宋体" w:cs="Times New Roman"/>
                <w:spacing w:val="4"/>
                <w:sz w:val="24"/>
                <w:szCs w:val="24"/>
              </w:rPr>
              <w:t>光片及外延片）等材料领域、半导体装</w:t>
            </w:r>
            <w:r>
              <w:rPr>
                <w:rFonts w:hint="default" w:ascii="Times New Roman" w:hAnsi="Times New Roman" w:eastAsia="宋体" w:cs="Times New Roman"/>
                <w:spacing w:val="-3"/>
                <w:sz w:val="24"/>
                <w:szCs w:val="24"/>
              </w:rPr>
              <w:t>备领域招引或培育一批企业。</w:t>
            </w:r>
          </w:p>
          <w:p w14:paraId="4291D19C">
            <w:pPr>
              <w:keepNext w:val="0"/>
              <w:keepLines w:val="0"/>
              <w:suppressLineNumbers w:val="0"/>
              <w:topLinePunct w:val="0"/>
              <w:spacing w:before="0" w:beforeAutospacing="0" w:after="0" w:afterAutospacing="0" w:line="360" w:lineRule="auto"/>
              <w:ind w:left="0" w:right="0" w:firstLine="486" w:firstLineChars="200"/>
              <w:rPr>
                <w:rFonts w:hint="eastAsia"/>
                <w:sz w:val="24"/>
                <w:lang w:val="en-US" w:eastAsia="zh-CN"/>
              </w:rPr>
            </w:pPr>
            <w:r>
              <w:rPr>
                <w:rFonts w:hint="default" w:ascii="Times New Roman" w:hAnsi="Times New Roman" w:eastAsia="宋体" w:cs="Times New Roman"/>
                <w:b/>
                <w:bCs/>
                <w:spacing w:val="1"/>
                <w:sz w:val="24"/>
                <w:szCs w:val="24"/>
              </w:rPr>
              <w:t>虚拟现实（</w:t>
            </w:r>
            <w:r>
              <w:rPr>
                <w:rFonts w:hint="default" w:ascii="Times New Roman" w:hAnsi="Times New Roman" w:eastAsia="宋体" w:cs="Times New Roman"/>
                <w:b/>
                <w:bCs/>
                <w:sz w:val="24"/>
                <w:szCs w:val="24"/>
              </w:rPr>
              <w:t>VR</w:t>
            </w:r>
            <w:r>
              <w:rPr>
                <w:rFonts w:hint="default" w:ascii="Times New Roman" w:hAnsi="Times New Roman" w:eastAsia="宋体" w:cs="Times New Roman"/>
                <w:b/>
                <w:bCs/>
                <w:spacing w:val="1"/>
                <w:sz w:val="24"/>
                <w:szCs w:val="24"/>
              </w:rPr>
              <w:t>）。</w:t>
            </w:r>
            <w:r>
              <w:rPr>
                <w:rFonts w:hint="default" w:ascii="Times New Roman" w:hAnsi="Times New Roman" w:eastAsia="宋体" w:cs="Times New Roman"/>
                <w:spacing w:val="1"/>
                <w:sz w:val="24"/>
                <w:szCs w:val="24"/>
              </w:rPr>
              <w:t>围绕整机设备、主机、系统平台和内容制作等方面，发展低成</w:t>
            </w:r>
            <w:r>
              <w:rPr>
                <w:rFonts w:hint="default" w:ascii="Times New Roman" w:hAnsi="Times New Roman" w:eastAsia="宋体" w:cs="Times New Roman"/>
                <w:spacing w:val="4"/>
                <w:sz w:val="24"/>
                <w:szCs w:val="24"/>
              </w:rPr>
              <w:t>本、高性能、符合人眼生理特性的虚拟现实整机设</w:t>
            </w:r>
            <w:r>
              <w:rPr>
                <w:rFonts w:hint="default" w:ascii="Times New Roman" w:hAnsi="Times New Roman" w:eastAsia="宋体" w:cs="Times New Roman"/>
                <w:spacing w:val="3"/>
                <w:sz w:val="24"/>
                <w:szCs w:val="24"/>
              </w:rPr>
              <w:t>备。研发面向制造、教育、文化、</w:t>
            </w:r>
            <w:r>
              <w:rPr>
                <w:rFonts w:hint="default" w:ascii="Times New Roman" w:hAnsi="Times New Roman" w:eastAsia="宋体" w:cs="Times New Roman"/>
                <w:spacing w:val="5"/>
                <w:sz w:val="24"/>
                <w:szCs w:val="24"/>
              </w:rPr>
              <w:t>健康、游戏等重点行业领域及特定应用场景的</w:t>
            </w:r>
            <w:r>
              <w:rPr>
                <w:rFonts w:hint="default" w:ascii="Times New Roman" w:hAnsi="Times New Roman" w:eastAsia="宋体" w:cs="Times New Roman"/>
                <w:spacing w:val="4"/>
                <w:sz w:val="24"/>
                <w:szCs w:val="24"/>
              </w:rPr>
              <w:t>虚拟现实行业终端设备，发展端云协同</w:t>
            </w:r>
            <w:r>
              <w:rPr>
                <w:rFonts w:hint="default" w:ascii="Times New Roman" w:hAnsi="Times New Roman" w:eastAsia="宋体" w:cs="Times New Roman"/>
                <w:spacing w:val="5"/>
                <w:sz w:val="24"/>
                <w:szCs w:val="24"/>
              </w:rPr>
              <w:t>的虚拟现实网络分发和应用服务聚合平台，发</w:t>
            </w:r>
            <w:r>
              <w:rPr>
                <w:rFonts w:hint="default" w:ascii="Times New Roman" w:hAnsi="Times New Roman" w:eastAsia="宋体" w:cs="Times New Roman"/>
                <w:spacing w:val="4"/>
                <w:sz w:val="24"/>
                <w:szCs w:val="24"/>
              </w:rPr>
              <w:t>展虚拟现实整机操作系统、三维开发引</w:t>
            </w:r>
            <w:r>
              <w:rPr>
                <w:rFonts w:hint="default" w:ascii="Times New Roman" w:hAnsi="Times New Roman" w:eastAsia="宋体" w:cs="Times New Roman"/>
                <w:spacing w:val="5"/>
                <w:sz w:val="24"/>
                <w:szCs w:val="24"/>
              </w:rPr>
              <w:t>擎、内容制作软件，以及感知交互、渲染处理</w:t>
            </w:r>
            <w:r>
              <w:rPr>
                <w:rFonts w:hint="default" w:ascii="Times New Roman" w:hAnsi="Times New Roman" w:eastAsia="宋体" w:cs="Times New Roman"/>
                <w:spacing w:val="4"/>
                <w:sz w:val="24"/>
                <w:szCs w:val="24"/>
              </w:rPr>
              <w:t>等开发工具软件，推动虚拟现实技术产</w:t>
            </w:r>
            <w:r>
              <w:rPr>
                <w:rFonts w:hint="default" w:ascii="Times New Roman" w:hAnsi="Times New Roman" w:eastAsia="宋体" w:cs="Times New Roman"/>
                <w:spacing w:val="-2"/>
                <w:sz w:val="24"/>
                <w:szCs w:val="24"/>
              </w:rPr>
              <w:t>品在制造、教育、文化、健康、游戏等行业领域的应用。</w:t>
            </w:r>
          </w:p>
          <w:p w14:paraId="2816EF6A">
            <w:pPr>
              <w:keepNext w:val="0"/>
              <w:keepLines w:val="0"/>
              <w:suppressLineNumbers w:val="0"/>
              <w:topLinePunct/>
              <w:spacing w:before="0" w:beforeAutospacing="0" w:after="0" w:afterAutospacing="0" w:line="360" w:lineRule="auto"/>
              <w:ind w:left="0" w:right="0" w:firstLine="482" w:firstLineChars="200"/>
              <w:rPr>
                <w:rFonts w:hint="eastAsia"/>
                <w:b/>
                <w:bCs/>
                <w:sz w:val="24"/>
              </w:rPr>
            </w:pPr>
            <w:r>
              <w:rPr>
                <w:rFonts w:hint="eastAsia"/>
                <w:b/>
                <w:bCs/>
                <w:sz w:val="24"/>
              </w:rPr>
              <w:t>◆用地布局</w:t>
            </w:r>
          </w:p>
          <w:p w14:paraId="7EB87C08">
            <w:pPr>
              <w:keepNext w:val="0"/>
              <w:keepLines w:val="0"/>
              <w:suppressLineNumbers w:val="0"/>
              <w:topLinePunct/>
              <w:spacing w:before="0" w:beforeAutospacing="0" w:after="0" w:afterAutospacing="0" w:line="360" w:lineRule="auto"/>
              <w:ind w:left="0" w:right="0" w:firstLine="480" w:firstLineChars="200"/>
              <w:rPr>
                <w:rFonts w:hint="default" w:ascii="宋体" w:hAnsi="宋体" w:eastAsia="宋体" w:cs="宋体"/>
                <w:sz w:val="24"/>
                <w:szCs w:val="24"/>
              </w:rPr>
            </w:pPr>
            <w:r>
              <w:rPr>
                <w:rFonts w:hint="eastAsia"/>
                <w:sz w:val="24"/>
              </w:rPr>
              <w:t>根据开发区土地利用现状统计，开发区用地现状</w:t>
            </w:r>
            <w:r>
              <w:rPr>
                <w:rFonts w:hint="default" w:ascii="宋体" w:hAnsi="宋体" w:eastAsia="宋体" w:cs="宋体"/>
                <w:spacing w:val="4"/>
                <w:sz w:val="24"/>
                <w:szCs w:val="24"/>
              </w:rPr>
              <w:t>以工业用地、农村宅基地和耕</w:t>
            </w:r>
            <w:r>
              <w:rPr>
                <w:rFonts w:hint="default" w:ascii="宋体" w:hAnsi="宋体" w:eastAsia="宋体" w:cs="宋体"/>
                <w:spacing w:val="-1"/>
                <w:sz w:val="24"/>
                <w:szCs w:val="24"/>
              </w:rPr>
              <w:t>地为主，其中农用地</w:t>
            </w:r>
            <w:r>
              <w:rPr>
                <w:rFonts w:hint="default" w:ascii="宋体" w:hAnsi="宋体" w:eastAsia="宋体" w:cs="宋体"/>
                <w:spacing w:val="-46"/>
                <w:sz w:val="24"/>
                <w:szCs w:val="24"/>
              </w:rPr>
              <w:t xml:space="preserve"> </w:t>
            </w:r>
            <w:r>
              <w:rPr>
                <w:rFonts w:hint="default" w:ascii="Times New Roman" w:hAnsi="Times New Roman" w:eastAsia="Times New Roman" w:cs="Times New Roman"/>
                <w:spacing w:val="-1"/>
                <w:sz w:val="24"/>
                <w:szCs w:val="24"/>
              </w:rPr>
              <w:t>516.36</w:t>
            </w:r>
            <w:r>
              <w:rPr>
                <w:rFonts w:hint="default" w:ascii="宋体" w:hAnsi="宋体" w:eastAsia="宋体" w:cs="宋体"/>
                <w:spacing w:val="-1"/>
                <w:sz w:val="24"/>
                <w:szCs w:val="24"/>
              </w:rPr>
              <w:t>公顷，占园区面积的</w:t>
            </w:r>
            <w:r>
              <w:rPr>
                <w:rFonts w:hint="default" w:ascii="宋体" w:hAnsi="宋体" w:eastAsia="宋体" w:cs="宋体"/>
                <w:spacing w:val="-47"/>
                <w:sz w:val="24"/>
                <w:szCs w:val="24"/>
              </w:rPr>
              <w:t xml:space="preserve"> </w:t>
            </w:r>
            <w:r>
              <w:rPr>
                <w:rFonts w:hint="default" w:ascii="Times New Roman" w:hAnsi="Times New Roman" w:eastAsia="Times New Roman" w:cs="Times New Roman"/>
                <w:spacing w:val="-1"/>
                <w:sz w:val="24"/>
                <w:szCs w:val="24"/>
              </w:rPr>
              <w:t>34.38%</w:t>
            </w:r>
            <w:r>
              <w:rPr>
                <w:rFonts w:hint="default" w:ascii="宋体" w:hAnsi="宋体" w:eastAsia="宋体" w:cs="宋体"/>
                <w:spacing w:val="-1"/>
                <w:sz w:val="24"/>
                <w:szCs w:val="24"/>
              </w:rPr>
              <w:t>；现状建设</w:t>
            </w:r>
            <w:r>
              <w:rPr>
                <w:rFonts w:hint="default" w:ascii="宋体" w:hAnsi="宋体" w:eastAsia="宋体" w:cs="宋体"/>
                <w:spacing w:val="-2"/>
                <w:sz w:val="24"/>
                <w:szCs w:val="24"/>
              </w:rPr>
              <w:t>用地</w:t>
            </w:r>
            <w:r>
              <w:rPr>
                <w:rFonts w:hint="default" w:ascii="宋体" w:hAnsi="宋体" w:eastAsia="宋体" w:cs="宋体"/>
                <w:spacing w:val="-47"/>
                <w:sz w:val="24"/>
                <w:szCs w:val="24"/>
              </w:rPr>
              <w:t xml:space="preserve"> </w:t>
            </w:r>
            <w:r>
              <w:rPr>
                <w:rFonts w:hint="default" w:ascii="Times New Roman" w:hAnsi="Times New Roman" w:eastAsia="Times New Roman" w:cs="Times New Roman"/>
                <w:spacing w:val="-2"/>
                <w:sz w:val="24"/>
                <w:szCs w:val="24"/>
              </w:rPr>
              <w:t>946.52</w:t>
            </w:r>
            <w:r>
              <w:rPr>
                <w:rFonts w:hint="default" w:ascii="宋体" w:hAnsi="宋体" w:eastAsia="宋体" w:cs="宋体"/>
                <w:spacing w:val="-2"/>
                <w:sz w:val="24"/>
                <w:szCs w:val="24"/>
              </w:rPr>
              <w:t>公顷，</w:t>
            </w:r>
            <w:r>
              <w:rPr>
                <w:rFonts w:hint="default" w:ascii="宋体" w:hAnsi="宋体" w:eastAsia="宋体" w:cs="宋体"/>
                <w:spacing w:val="2"/>
                <w:sz w:val="24"/>
                <w:szCs w:val="24"/>
              </w:rPr>
              <w:t>占规划建设用地面积的</w:t>
            </w:r>
            <w:r>
              <w:rPr>
                <w:rFonts w:hint="default" w:ascii="Times New Roman" w:hAnsi="Times New Roman" w:eastAsia="Times New Roman" w:cs="Times New Roman"/>
                <w:spacing w:val="2"/>
                <w:sz w:val="24"/>
                <w:szCs w:val="24"/>
              </w:rPr>
              <w:t>64.34%</w:t>
            </w:r>
            <w:r>
              <w:rPr>
                <w:rFonts w:hint="default" w:ascii="宋体" w:hAnsi="宋体" w:eastAsia="宋体" w:cs="宋体"/>
                <w:spacing w:val="2"/>
                <w:sz w:val="24"/>
                <w:szCs w:val="24"/>
              </w:rPr>
              <w:t>；现状工业用地</w:t>
            </w:r>
            <w:r>
              <w:rPr>
                <w:rFonts w:hint="default" w:ascii="Times New Roman" w:hAnsi="Times New Roman" w:eastAsia="Times New Roman" w:cs="Times New Roman"/>
                <w:spacing w:val="2"/>
                <w:sz w:val="24"/>
                <w:szCs w:val="24"/>
              </w:rPr>
              <w:t>513.18</w:t>
            </w:r>
            <w:r>
              <w:rPr>
                <w:rFonts w:hint="default" w:ascii="宋体" w:hAnsi="宋体" w:eastAsia="宋体" w:cs="宋体"/>
                <w:spacing w:val="2"/>
                <w:sz w:val="24"/>
                <w:szCs w:val="24"/>
              </w:rPr>
              <w:t>公顷，占规划工业用地面积的</w:t>
            </w:r>
            <w:r>
              <w:rPr>
                <w:rFonts w:hint="default" w:ascii="Times New Roman" w:hAnsi="Times New Roman" w:eastAsia="Times New Roman" w:cs="Times New Roman"/>
                <w:spacing w:val="-2"/>
                <w:sz w:val="24"/>
                <w:szCs w:val="24"/>
              </w:rPr>
              <w:t>60.2%</w:t>
            </w:r>
            <w:r>
              <w:rPr>
                <w:rFonts w:hint="default" w:ascii="宋体" w:hAnsi="宋体" w:eastAsia="宋体" w:cs="宋体"/>
                <w:spacing w:val="-2"/>
                <w:sz w:val="24"/>
                <w:szCs w:val="24"/>
              </w:rPr>
              <w:t>。</w:t>
            </w:r>
            <w:r>
              <w:rPr>
                <w:rFonts w:hint="eastAsia"/>
                <w:sz w:val="24"/>
              </w:rPr>
              <w:t>调区范围全部位于城镇开发边界内，不占永久基本农田，与生态保护红线不相交。</w:t>
            </w:r>
          </w:p>
          <w:p w14:paraId="62D75443">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eastAsia" w:ascii="Times New Roman" w:hAnsi="Times New Roman" w:cs="Times New Roman"/>
                <w:sz w:val="24"/>
              </w:rPr>
              <w:t>本项目位于安徽省淮北市相山经济开发区凤凰路16号，位于安徽淮北相山经济开发区</w:t>
            </w:r>
            <w:r>
              <w:rPr>
                <w:rFonts w:hint="eastAsia" w:cs="Times New Roman"/>
                <w:sz w:val="24"/>
                <w:lang w:val="en-US" w:eastAsia="zh-CN"/>
              </w:rPr>
              <w:t>区块一</w:t>
            </w:r>
            <w:r>
              <w:rPr>
                <w:rFonts w:hint="eastAsia" w:ascii="Times New Roman" w:hAnsi="Times New Roman" w:cs="Times New Roman"/>
                <w:sz w:val="24"/>
              </w:rPr>
              <w:t>，</w:t>
            </w:r>
            <w:r>
              <w:rPr>
                <w:rFonts w:hint="eastAsia" w:cs="Times New Roman"/>
                <w:sz w:val="24"/>
                <w:lang w:val="en-US" w:eastAsia="zh-CN"/>
              </w:rPr>
              <w:t>为工业用地，</w:t>
            </w:r>
            <w:r>
              <w:rPr>
                <w:rFonts w:hint="eastAsia" w:ascii="Times New Roman" w:hAnsi="Times New Roman" w:cs="Times New Roman"/>
                <w:sz w:val="24"/>
                <w:lang w:val="en-US" w:eastAsia="zh-CN"/>
              </w:rPr>
              <w:t>用地</w:t>
            </w:r>
            <w:r>
              <w:rPr>
                <w:rFonts w:hint="eastAsia" w:cs="Times New Roman"/>
                <w:sz w:val="24"/>
                <w:lang w:val="en-US" w:eastAsia="zh-CN"/>
              </w:rPr>
              <w:t>性质</w:t>
            </w:r>
            <w:r>
              <w:rPr>
                <w:rFonts w:hint="eastAsia" w:ascii="Times New Roman" w:hAnsi="Times New Roman" w:cs="Times New Roman"/>
                <w:sz w:val="24"/>
                <w:lang w:val="en-US" w:eastAsia="zh-CN"/>
              </w:rPr>
              <w:t>符合开发</w:t>
            </w:r>
            <w:r>
              <w:rPr>
                <w:rFonts w:hint="eastAsia" w:cs="Times New Roman"/>
                <w:sz w:val="24"/>
                <w:lang w:val="en-US" w:eastAsia="zh-CN"/>
              </w:rPr>
              <w:t>区</w:t>
            </w:r>
            <w:r>
              <w:rPr>
                <w:rFonts w:hint="eastAsia" w:ascii="Times New Roman" w:hAnsi="Times New Roman" w:cs="Times New Roman"/>
                <w:sz w:val="24"/>
                <w:lang w:val="en-US" w:eastAsia="zh-CN"/>
              </w:rPr>
              <w:t>规划；</w:t>
            </w:r>
            <w:r>
              <w:rPr>
                <w:rFonts w:hint="eastAsia" w:ascii="Times New Roman" w:hAnsi="Times New Roman" w:cs="Times New Roman"/>
                <w:sz w:val="24"/>
              </w:rPr>
              <w:t>项目为休闲食品及婴幼儿食品加工，属于</w:t>
            </w:r>
            <w:r>
              <w:rPr>
                <w:rFonts w:hint="eastAsia" w:ascii="Times New Roman" w:hAnsi="Times New Roman" w:cs="Times New Roman"/>
                <w:sz w:val="24"/>
                <w:lang w:val="en-US" w:eastAsia="zh-CN"/>
              </w:rPr>
              <w:t>开发区</w:t>
            </w:r>
            <w:r>
              <w:rPr>
                <w:rFonts w:hint="eastAsia" w:ascii="Times New Roman" w:hAnsi="Times New Roman" w:cs="Times New Roman"/>
                <w:sz w:val="24"/>
              </w:rPr>
              <w:t>主导产业，符合</w:t>
            </w:r>
            <w:r>
              <w:rPr>
                <w:rFonts w:hint="eastAsia" w:ascii="Times New Roman" w:hAnsi="Times New Roman" w:cs="Times New Roman"/>
                <w:sz w:val="24"/>
                <w:lang w:val="en-US" w:eastAsia="zh-CN"/>
              </w:rPr>
              <w:t>开发区</w:t>
            </w:r>
            <w:r>
              <w:rPr>
                <w:rFonts w:hint="eastAsia" w:ascii="Times New Roman" w:hAnsi="Times New Roman" w:cs="Times New Roman"/>
                <w:sz w:val="24"/>
              </w:rPr>
              <w:t>产业导向。因此，本项目</w:t>
            </w:r>
            <w:r>
              <w:rPr>
                <w:rFonts w:hint="eastAsia" w:ascii="Times New Roman" w:hAnsi="Times New Roman" w:cs="Times New Roman"/>
                <w:sz w:val="24"/>
                <w:lang w:val="en-US" w:eastAsia="zh-CN"/>
              </w:rPr>
              <w:t>的建设</w:t>
            </w:r>
            <w:r>
              <w:rPr>
                <w:rFonts w:hint="eastAsia" w:ascii="Times New Roman" w:hAnsi="Times New Roman" w:cs="Times New Roman"/>
                <w:sz w:val="24"/>
              </w:rPr>
              <w:t>符合安徽淮北相山经济开发区</w:t>
            </w:r>
            <w:r>
              <w:rPr>
                <w:rFonts w:hint="eastAsia" w:cs="Times New Roman"/>
                <w:sz w:val="24"/>
                <w:lang w:val="en-US" w:eastAsia="zh-CN"/>
              </w:rPr>
              <w:t>总体</w:t>
            </w:r>
            <w:r>
              <w:rPr>
                <w:rFonts w:hint="eastAsia" w:ascii="Times New Roman" w:hAnsi="Times New Roman" w:cs="Times New Roman"/>
                <w:sz w:val="24"/>
              </w:rPr>
              <w:t>发展规划。</w:t>
            </w:r>
            <w:r>
              <w:rPr>
                <w:rFonts w:hint="eastAsia" w:ascii="Times New Roman" w:hAnsi="Times New Roman" w:cs="Times New Roman"/>
                <w:sz w:val="24"/>
                <w:lang w:val="en-US" w:eastAsia="zh-CN"/>
              </w:rPr>
              <w:t>本项目与开发区用地布局位置关系见附图2</w:t>
            </w:r>
            <w:r>
              <w:rPr>
                <w:rFonts w:hint="eastAsia"/>
                <w:lang w:eastAsia="zh-CN"/>
              </w:rPr>
              <w:t>；</w:t>
            </w:r>
            <w:r>
              <w:rPr>
                <w:rFonts w:hint="eastAsia"/>
                <w:sz w:val="24"/>
                <w:lang w:val="en-US" w:eastAsia="zh-CN"/>
              </w:rPr>
              <w:t>与开发区产业布局规划位置关系见附图3。</w:t>
            </w:r>
          </w:p>
          <w:p w14:paraId="5D19C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b/>
                <w:sz w:val="24"/>
              </w:rPr>
            </w:pPr>
            <w:r>
              <w:rPr>
                <w:rFonts w:hint="default" w:ascii="Times New Roman" w:hAnsi="Times New Roman" w:cs="Times New Roman"/>
                <w:b/>
                <w:sz w:val="24"/>
              </w:rPr>
              <w:t>2、与《</w:t>
            </w:r>
            <w:r>
              <w:rPr>
                <w:rFonts w:hint="default" w:ascii="Times New Roman" w:hAnsi="Times New Roman" w:cs="Times New Roman"/>
                <w:b/>
                <w:bCs/>
                <w:kern w:val="0"/>
                <w:sz w:val="24"/>
              </w:rPr>
              <w:t>安徽淮北相山经济开发区</w:t>
            </w:r>
            <w:r>
              <w:rPr>
                <w:rFonts w:hint="eastAsia" w:cs="Times New Roman"/>
                <w:b/>
                <w:bCs/>
                <w:kern w:val="0"/>
                <w:sz w:val="24"/>
                <w:lang w:val="en-US" w:eastAsia="zh-CN"/>
              </w:rPr>
              <w:t>总体</w:t>
            </w:r>
            <w:r>
              <w:rPr>
                <w:rFonts w:hint="default" w:ascii="Times New Roman" w:hAnsi="Times New Roman" w:cs="Times New Roman"/>
                <w:b/>
                <w:bCs/>
                <w:kern w:val="0"/>
                <w:sz w:val="24"/>
              </w:rPr>
              <w:t>发展规划（20</w:t>
            </w:r>
            <w:r>
              <w:rPr>
                <w:rFonts w:hint="eastAsia" w:cs="Times New Roman"/>
                <w:b/>
                <w:bCs/>
                <w:kern w:val="0"/>
                <w:sz w:val="24"/>
                <w:lang w:val="en-US" w:eastAsia="zh-CN"/>
              </w:rPr>
              <w:t>24</w:t>
            </w:r>
            <w:r>
              <w:rPr>
                <w:rFonts w:hint="default" w:ascii="Times New Roman" w:hAnsi="Times New Roman" w:cs="Times New Roman"/>
                <w:b/>
                <w:bCs/>
                <w:kern w:val="0"/>
                <w:sz w:val="24"/>
              </w:rPr>
              <w:t>-203</w:t>
            </w:r>
            <w:r>
              <w:rPr>
                <w:rFonts w:hint="eastAsia" w:cs="Times New Roman"/>
                <w:b/>
                <w:bCs/>
                <w:kern w:val="0"/>
                <w:sz w:val="24"/>
                <w:lang w:val="en-US" w:eastAsia="zh-CN"/>
              </w:rPr>
              <w:t>5</w:t>
            </w:r>
            <w:r>
              <w:rPr>
                <w:rFonts w:hint="default" w:ascii="Times New Roman" w:hAnsi="Times New Roman" w:cs="Times New Roman"/>
                <w:b/>
                <w:bCs/>
                <w:kern w:val="0"/>
                <w:sz w:val="24"/>
              </w:rPr>
              <w:t>年）环境影响报告书</w:t>
            </w:r>
            <w:r>
              <w:rPr>
                <w:rFonts w:hint="default" w:ascii="Times New Roman" w:hAnsi="Times New Roman" w:cs="Times New Roman"/>
                <w:b/>
                <w:sz w:val="24"/>
              </w:rPr>
              <w:t>》</w:t>
            </w:r>
            <w:r>
              <w:rPr>
                <w:rFonts w:hint="eastAsia" w:ascii="Times New Roman" w:hAnsi="Times New Roman" w:cs="Times New Roman"/>
                <w:b/>
                <w:sz w:val="24"/>
                <w:lang w:val="en-US" w:eastAsia="zh-CN"/>
              </w:rPr>
              <w:t>及审查意见</w:t>
            </w:r>
            <w:r>
              <w:rPr>
                <w:rFonts w:hint="default" w:ascii="Times New Roman" w:hAnsi="Times New Roman" w:cs="Times New Roman"/>
                <w:b/>
                <w:sz w:val="24"/>
              </w:rPr>
              <w:t>相符性分析</w:t>
            </w:r>
          </w:p>
          <w:p w14:paraId="775313C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bCs/>
                <w:sz w:val="24"/>
                <w:szCs w:val="24"/>
              </w:rPr>
            </w:pPr>
            <w:r>
              <w:rPr>
                <w:rFonts w:hint="default" w:ascii="Times New Roman" w:hAnsi="Times New Roman" w:cs="Times New Roman"/>
                <w:sz w:val="24"/>
                <w:szCs w:val="24"/>
              </w:rPr>
              <w:t>20</w:t>
            </w:r>
            <w:r>
              <w:rPr>
                <w:rFonts w:hint="eastAsia" w:cs="Times New Roman"/>
                <w:sz w:val="24"/>
                <w:szCs w:val="24"/>
                <w:lang w:val="en-US" w:eastAsia="zh-CN"/>
              </w:rPr>
              <w:t>24</w:t>
            </w:r>
            <w:r>
              <w:rPr>
                <w:rFonts w:hint="default" w:ascii="Times New Roman" w:hAnsi="Times New Roman" w:cs="Times New Roman"/>
                <w:sz w:val="24"/>
                <w:szCs w:val="24"/>
              </w:rPr>
              <w:t>年</w:t>
            </w:r>
            <w:r>
              <w:rPr>
                <w:rFonts w:hint="eastAsia" w:cs="Times New Roman"/>
                <w:sz w:val="24"/>
                <w:szCs w:val="24"/>
                <w:lang w:val="en-US" w:eastAsia="zh-CN"/>
              </w:rPr>
              <w:t>11</w:t>
            </w:r>
            <w:r>
              <w:rPr>
                <w:rFonts w:hint="default" w:ascii="Times New Roman" w:hAnsi="Times New Roman" w:cs="Times New Roman"/>
                <w:sz w:val="24"/>
                <w:szCs w:val="24"/>
              </w:rPr>
              <w:t>月</w:t>
            </w:r>
            <w:r>
              <w:rPr>
                <w:rFonts w:hint="eastAsia" w:cs="Times New Roman"/>
                <w:sz w:val="24"/>
                <w:szCs w:val="24"/>
                <w:lang w:val="en-US" w:eastAsia="zh-CN"/>
              </w:rPr>
              <w:t>29</w:t>
            </w:r>
            <w:r>
              <w:rPr>
                <w:rFonts w:hint="default" w:ascii="Times New Roman" w:hAnsi="Times New Roman" w:cs="Times New Roman"/>
                <w:sz w:val="24"/>
                <w:szCs w:val="24"/>
              </w:rPr>
              <w:t>日安徽省生态环境厅出具《安徽淮北相山经济开发区</w:t>
            </w:r>
            <w:r>
              <w:rPr>
                <w:rFonts w:hint="eastAsia" w:cs="Times New Roman"/>
                <w:sz w:val="24"/>
                <w:szCs w:val="24"/>
                <w:lang w:val="en-US" w:eastAsia="zh-CN"/>
              </w:rPr>
              <w:t>总体</w:t>
            </w:r>
            <w:r>
              <w:rPr>
                <w:rFonts w:hint="default" w:ascii="Times New Roman" w:hAnsi="Times New Roman" w:cs="Times New Roman"/>
                <w:sz w:val="24"/>
                <w:szCs w:val="24"/>
              </w:rPr>
              <w:t>发展规划（20</w:t>
            </w:r>
            <w:r>
              <w:rPr>
                <w:rFonts w:hint="eastAsia" w:cs="Times New Roman"/>
                <w:sz w:val="24"/>
                <w:szCs w:val="24"/>
                <w:lang w:val="en-US" w:eastAsia="zh-CN"/>
              </w:rPr>
              <w:t>24</w:t>
            </w:r>
            <w:r>
              <w:rPr>
                <w:rFonts w:hint="default" w:ascii="Times New Roman" w:hAnsi="Times New Roman" w:cs="Times New Roman"/>
                <w:sz w:val="24"/>
                <w:szCs w:val="24"/>
              </w:rPr>
              <w:t>-203</w:t>
            </w:r>
            <w:r>
              <w:rPr>
                <w:rFonts w:hint="eastAsia" w:cs="Times New Roman"/>
                <w:sz w:val="24"/>
                <w:szCs w:val="24"/>
                <w:lang w:val="en-US" w:eastAsia="zh-CN"/>
              </w:rPr>
              <w:t>5</w:t>
            </w:r>
            <w:r>
              <w:rPr>
                <w:rFonts w:hint="default" w:ascii="Times New Roman" w:hAnsi="Times New Roman" w:cs="Times New Roman"/>
                <w:sz w:val="24"/>
                <w:szCs w:val="24"/>
              </w:rPr>
              <w:t>年）环境影响报告书</w:t>
            </w:r>
            <w:r>
              <w:rPr>
                <w:rFonts w:hint="eastAsia" w:cs="Times New Roman"/>
                <w:sz w:val="24"/>
                <w:szCs w:val="24"/>
                <w:lang w:eastAsia="zh-CN"/>
              </w:rPr>
              <w:t>》</w:t>
            </w:r>
            <w:r>
              <w:rPr>
                <w:rFonts w:hint="default" w:ascii="Times New Roman" w:hAnsi="Times New Roman" w:cs="Times New Roman"/>
                <w:sz w:val="24"/>
                <w:szCs w:val="24"/>
              </w:rPr>
              <w:t>审查意见的函（皖环函[</w:t>
            </w:r>
            <w:r>
              <w:rPr>
                <w:rFonts w:hint="eastAsia" w:cs="Times New Roman"/>
                <w:sz w:val="24"/>
                <w:szCs w:val="24"/>
                <w:lang w:val="en-US" w:eastAsia="zh-CN"/>
              </w:rPr>
              <w:t>2024</w:t>
            </w:r>
            <w:r>
              <w:rPr>
                <w:rFonts w:hint="default" w:ascii="Times New Roman" w:hAnsi="Times New Roman" w:cs="Times New Roman"/>
                <w:sz w:val="24"/>
                <w:szCs w:val="24"/>
              </w:rPr>
              <w:t>]</w:t>
            </w:r>
            <w:r>
              <w:rPr>
                <w:rFonts w:hint="eastAsia" w:cs="Times New Roman"/>
                <w:sz w:val="24"/>
                <w:szCs w:val="24"/>
                <w:lang w:val="en-US" w:eastAsia="zh-CN"/>
              </w:rPr>
              <w:t>1034</w:t>
            </w:r>
            <w:r>
              <w:rPr>
                <w:rFonts w:hint="default" w:ascii="Times New Roman" w:hAnsi="Times New Roman" w:cs="Times New Roman"/>
                <w:sz w:val="24"/>
                <w:szCs w:val="24"/>
              </w:rPr>
              <w:t>号），本项目与之相符性分析见下表。</w:t>
            </w:r>
          </w:p>
          <w:p w14:paraId="603CB6BE">
            <w:pPr>
              <w:pStyle w:val="1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表1-</w:t>
            </w:r>
            <w:r>
              <w:rPr>
                <w:rFonts w:hint="eastAsia" w:ascii="Times New Roman" w:hAnsi="Times New Roman" w:cs="Times New Roman"/>
                <w:b/>
                <w:bCs/>
                <w:sz w:val="24"/>
                <w:szCs w:val="24"/>
                <w:lang w:val="en-US" w:eastAsia="zh-CN"/>
              </w:rPr>
              <w:t>1</w:t>
            </w:r>
            <w:r>
              <w:rPr>
                <w:rFonts w:hint="eastAsia"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本项目与</w:t>
            </w:r>
            <w:r>
              <w:rPr>
                <w:rFonts w:hint="default" w:ascii="Times New Roman" w:hAnsi="Times New Roman" w:cs="Times New Roman"/>
                <w:b/>
                <w:bCs/>
                <w:sz w:val="24"/>
                <w:szCs w:val="24"/>
              </w:rPr>
              <w:t>《安徽淮北相山经济开发区</w:t>
            </w:r>
            <w:r>
              <w:rPr>
                <w:rFonts w:hint="eastAsia" w:cs="Times New Roman"/>
                <w:b/>
                <w:bCs/>
                <w:sz w:val="24"/>
                <w:szCs w:val="24"/>
                <w:lang w:val="en-US" w:eastAsia="zh-CN"/>
              </w:rPr>
              <w:t>总体</w:t>
            </w:r>
            <w:r>
              <w:rPr>
                <w:rFonts w:hint="default" w:ascii="Times New Roman" w:hAnsi="Times New Roman" w:cs="Times New Roman"/>
                <w:b/>
                <w:bCs/>
                <w:sz w:val="24"/>
                <w:szCs w:val="24"/>
              </w:rPr>
              <w:t>发展规</w:t>
            </w:r>
            <w:r>
              <w:rPr>
                <w:rFonts w:hint="eastAsia" w:ascii="Times New Roman" w:hAnsi="Times New Roman" w:cs="Times New Roman"/>
                <w:b/>
                <w:bCs/>
                <w:sz w:val="24"/>
                <w:szCs w:val="24"/>
                <w:lang w:val="en-US" w:eastAsia="zh-CN"/>
              </w:rPr>
              <w:t>划</w:t>
            </w:r>
            <w:r>
              <w:rPr>
                <w:rFonts w:hint="default" w:ascii="Times New Roman" w:hAnsi="Times New Roman" w:cs="Times New Roman"/>
                <w:b/>
                <w:bCs/>
                <w:sz w:val="24"/>
                <w:szCs w:val="24"/>
              </w:rPr>
              <w:t>（20</w:t>
            </w:r>
            <w:r>
              <w:rPr>
                <w:rFonts w:hint="eastAsia" w:cs="Times New Roman"/>
                <w:b/>
                <w:bCs/>
                <w:sz w:val="24"/>
                <w:szCs w:val="24"/>
                <w:lang w:val="en-US" w:eastAsia="zh-CN"/>
              </w:rPr>
              <w:t>24</w:t>
            </w:r>
            <w:r>
              <w:rPr>
                <w:rFonts w:hint="default" w:ascii="Times New Roman" w:hAnsi="Times New Roman" w:cs="Times New Roman"/>
                <w:b/>
                <w:bCs/>
                <w:sz w:val="24"/>
                <w:szCs w:val="24"/>
              </w:rPr>
              <w:t>-203</w:t>
            </w:r>
            <w:r>
              <w:rPr>
                <w:rFonts w:hint="eastAsia" w:cs="Times New Roman"/>
                <w:b/>
                <w:bCs/>
                <w:sz w:val="24"/>
                <w:szCs w:val="24"/>
                <w:lang w:val="en-US" w:eastAsia="zh-CN"/>
              </w:rPr>
              <w:t>5</w:t>
            </w:r>
            <w:r>
              <w:rPr>
                <w:rFonts w:hint="default" w:ascii="Times New Roman" w:hAnsi="Times New Roman" w:cs="Times New Roman"/>
                <w:b/>
                <w:bCs/>
                <w:sz w:val="24"/>
                <w:szCs w:val="24"/>
              </w:rPr>
              <w:t>）环境影响报告书》</w:t>
            </w:r>
            <w:r>
              <w:rPr>
                <w:rFonts w:hint="eastAsia" w:ascii="Times New Roman" w:hAnsi="Times New Roman" w:cs="Times New Roman"/>
                <w:b/>
                <w:bCs/>
                <w:sz w:val="24"/>
                <w:szCs w:val="24"/>
                <w:lang w:val="en-US" w:eastAsia="zh-CN"/>
              </w:rPr>
              <w:t>及审查意见</w:t>
            </w:r>
            <w:r>
              <w:rPr>
                <w:rFonts w:hint="default" w:ascii="Times New Roman" w:hAnsi="Times New Roman" w:cs="Times New Roman"/>
                <w:b/>
                <w:bCs/>
                <w:sz w:val="24"/>
                <w:szCs w:val="24"/>
              </w:rPr>
              <w:t>符合性分析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
              <w:gridCol w:w="4444"/>
              <w:gridCol w:w="1791"/>
              <w:gridCol w:w="481"/>
            </w:tblGrid>
            <w:tr w14:paraId="75858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noWrap w:val="0"/>
                  <w:vAlign w:val="center"/>
                </w:tcPr>
                <w:p w14:paraId="0F7462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3103" w:type="pct"/>
                  <w:noWrap w:val="0"/>
                  <w:vAlign w:val="center"/>
                </w:tcPr>
                <w:p w14:paraId="0844D7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《安徽淮北相山经济开发区</w:t>
                  </w:r>
                  <w:r>
                    <w:rPr>
                      <w:rFonts w:hint="eastAsia" w:cs="Times New Roman"/>
                      <w:b/>
                      <w:sz w:val="21"/>
                      <w:szCs w:val="21"/>
                      <w:lang w:val="en-US" w:eastAsia="zh-CN"/>
                    </w:rPr>
                    <w:t>总体</w:t>
                  </w:r>
                  <w:r>
                    <w:rPr>
                      <w:rFonts w:hint="default" w:ascii="Times New Roman" w:hAnsi="Times New Roman" w:cs="Times New Roman"/>
                      <w:b/>
                      <w:sz w:val="21"/>
                      <w:szCs w:val="21"/>
                    </w:rPr>
                    <w:t>发展规划（20</w:t>
                  </w:r>
                  <w:r>
                    <w:rPr>
                      <w:rFonts w:hint="eastAsia" w:cs="Times New Roman"/>
                      <w:b/>
                      <w:sz w:val="21"/>
                      <w:szCs w:val="21"/>
                      <w:lang w:val="en-US" w:eastAsia="zh-CN"/>
                    </w:rPr>
                    <w:t>24</w:t>
                  </w:r>
                  <w:r>
                    <w:rPr>
                      <w:rFonts w:hint="default" w:ascii="Times New Roman" w:hAnsi="Times New Roman" w:cs="Times New Roman"/>
                      <w:b/>
                      <w:sz w:val="21"/>
                      <w:szCs w:val="21"/>
                    </w:rPr>
                    <w:t>-203</w:t>
                  </w:r>
                  <w:r>
                    <w:rPr>
                      <w:rFonts w:hint="eastAsia" w:cs="Times New Roman"/>
                      <w:b/>
                      <w:sz w:val="21"/>
                      <w:szCs w:val="21"/>
                      <w:lang w:val="en-US" w:eastAsia="zh-CN"/>
                    </w:rPr>
                    <w:t>5</w:t>
                  </w:r>
                  <w:r>
                    <w:rPr>
                      <w:rFonts w:hint="default" w:ascii="Times New Roman" w:hAnsi="Times New Roman" w:cs="Times New Roman"/>
                      <w:b/>
                      <w:sz w:val="21"/>
                      <w:szCs w:val="21"/>
                    </w:rPr>
                    <w:t>）环境影响报告书》</w:t>
                  </w:r>
                  <w:r>
                    <w:rPr>
                      <w:rFonts w:hint="eastAsia" w:ascii="Times New Roman" w:hAnsi="Times New Roman" w:cs="Times New Roman"/>
                      <w:b/>
                      <w:sz w:val="21"/>
                      <w:szCs w:val="21"/>
                      <w:lang w:val="en-US" w:eastAsia="zh-CN"/>
                    </w:rPr>
                    <w:t>及</w:t>
                  </w:r>
                  <w:r>
                    <w:rPr>
                      <w:rFonts w:hint="default" w:ascii="Times New Roman" w:hAnsi="Times New Roman" w:cs="Times New Roman"/>
                      <w:b/>
                      <w:sz w:val="21"/>
                      <w:szCs w:val="21"/>
                    </w:rPr>
                    <w:t>审查意见</w:t>
                  </w:r>
                </w:p>
              </w:tc>
              <w:tc>
                <w:tcPr>
                  <w:tcW w:w="1250" w:type="pct"/>
                  <w:noWrap w:val="0"/>
                  <w:vAlign w:val="center"/>
                </w:tcPr>
                <w:p w14:paraId="697018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sz w:val="21"/>
                      <w:szCs w:val="21"/>
                    </w:rPr>
                  </w:pPr>
                  <w:r>
                    <w:rPr>
                      <w:rFonts w:hint="default" w:ascii="Times New Roman" w:hAnsi="Times New Roman" w:cs="Times New Roman"/>
                      <w:b/>
                      <w:sz w:val="21"/>
                      <w:szCs w:val="21"/>
                    </w:rPr>
                    <w:t>本项目</w:t>
                  </w:r>
                  <w:r>
                    <w:rPr>
                      <w:rFonts w:hint="eastAsia" w:ascii="Times New Roman" w:hAnsi="Times New Roman" w:cs="Times New Roman"/>
                      <w:b/>
                      <w:sz w:val="21"/>
                      <w:szCs w:val="21"/>
                    </w:rPr>
                    <w:t>情况</w:t>
                  </w:r>
                </w:p>
              </w:tc>
              <w:tc>
                <w:tcPr>
                  <w:tcW w:w="335" w:type="pct"/>
                  <w:noWrap w:val="0"/>
                  <w:vAlign w:val="center"/>
                </w:tcPr>
                <w:p w14:paraId="7B510E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符合性</w:t>
                  </w:r>
                </w:p>
              </w:tc>
            </w:tr>
            <w:tr w14:paraId="15754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0" w:hRule="atLeast"/>
              </w:trPr>
              <w:tc>
                <w:tcPr>
                  <w:tcW w:w="310" w:type="pct"/>
                  <w:noWrap w:val="0"/>
                  <w:vAlign w:val="center"/>
                </w:tcPr>
                <w:p w14:paraId="55AB70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3103" w:type="pct"/>
                  <w:noWrap w:val="0"/>
                  <w:vAlign w:val="center"/>
                </w:tcPr>
                <w:p w14:paraId="3672AD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sz w:val="21"/>
                      <w:szCs w:val="21"/>
                    </w:rPr>
                  </w:pPr>
                  <w:r>
                    <w:rPr>
                      <w:rFonts w:hint="default"/>
                      <w:szCs w:val="21"/>
                    </w:rPr>
                    <w:t>加强《规划》引领，坚持绿色协调发展。《规划》应全面贯彻落实习近平生态文明思想，加强《规划》与《淮河流域水污染防治暂行条例》、深入打好污染防治攻坚战相关要求、生态环境分区管控方案及国土空间总体规划的协调衔接。统筹推进开发区整体发展和生态保护，基于区域资源、生态、环境等制约因素合理控制开发利用强度和开发区建设时序，进一步提高土地利用效率，协调总体发展与区域环境保护的关系。推进开发区减污降碳协同共治、资源节约集约及循环化利用、能源智慧高效利用、环境风险防控等工作的落实，引导开发区高质量发展。认真落实开发区近期发展规划，着力推进开发区产业转型升级和结构布局优化，结合区域生态环境承载力，确保产业发展与区域生态环境保护、人居环境质量保障相协调。</w:t>
                  </w:r>
                </w:p>
              </w:tc>
              <w:tc>
                <w:tcPr>
                  <w:tcW w:w="1250" w:type="pct"/>
                  <w:noWrap w:val="0"/>
                  <w:vAlign w:val="center"/>
                </w:tcPr>
                <w:p w14:paraId="5E7C6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lang w:bidi="ar"/>
                    </w:rPr>
                    <w:t>本项目位于安徽淮北相山经济开发区</w:t>
                  </w:r>
                  <w:r>
                    <w:rPr>
                      <w:rFonts w:hint="default" w:ascii="Times New Roman" w:hAnsi="Times New Roman" w:cs="Times New Roman"/>
                      <w:sz w:val="21"/>
                      <w:szCs w:val="21"/>
                    </w:rPr>
                    <w:t>凤凰路16号2幢</w:t>
                  </w:r>
                  <w:r>
                    <w:rPr>
                      <w:rFonts w:hint="default" w:ascii="Times New Roman" w:hAnsi="Times New Roman" w:cs="Times New Roman"/>
                      <w:kern w:val="0"/>
                      <w:sz w:val="21"/>
                      <w:szCs w:val="21"/>
                      <w:lang w:bidi="ar"/>
                    </w:rPr>
                    <w:t>，</w:t>
                  </w:r>
                  <w:r>
                    <w:rPr>
                      <w:rFonts w:hint="default"/>
                      <w:kern w:val="0"/>
                      <w:szCs w:val="21"/>
                      <w:lang w:bidi="ar"/>
                    </w:rPr>
                    <w:t>用地性质符合开发区规划</w:t>
                  </w:r>
                  <w:r>
                    <w:rPr>
                      <w:rFonts w:hint="eastAsia"/>
                      <w:kern w:val="0"/>
                      <w:szCs w:val="21"/>
                      <w:lang w:eastAsia="zh-CN" w:bidi="ar"/>
                    </w:rPr>
                    <w:t>；</w:t>
                  </w:r>
                  <w:r>
                    <w:rPr>
                      <w:rFonts w:hint="eastAsia"/>
                      <w:kern w:val="0"/>
                      <w:szCs w:val="21"/>
                      <w:lang w:val="en-US" w:eastAsia="zh-CN" w:bidi="ar"/>
                    </w:rPr>
                    <w:t>本项目为休闲食品及婴幼儿食品加工，</w:t>
                  </w:r>
                  <w:r>
                    <w:rPr>
                      <w:rFonts w:hint="default" w:ascii="Times New Roman" w:hAnsi="Times New Roman" w:cs="Times New Roman"/>
                      <w:kern w:val="0"/>
                      <w:sz w:val="21"/>
                      <w:szCs w:val="21"/>
                      <w:lang w:bidi="ar"/>
                    </w:rPr>
                    <w:t>属于</w:t>
                  </w:r>
                  <w:r>
                    <w:rPr>
                      <w:rFonts w:hint="eastAsia" w:ascii="Times New Roman" w:hAnsi="Times New Roman" w:cs="Times New Roman"/>
                      <w:kern w:val="0"/>
                      <w:sz w:val="21"/>
                      <w:szCs w:val="21"/>
                      <w:lang w:bidi="ar"/>
                    </w:rPr>
                    <w:t>“其他未列明食品制造【C1499】”</w:t>
                  </w:r>
                  <w:r>
                    <w:rPr>
                      <w:rFonts w:hint="eastAsia" w:cs="Times New Roman"/>
                      <w:kern w:val="0"/>
                      <w:sz w:val="21"/>
                      <w:szCs w:val="21"/>
                      <w:lang w:eastAsia="zh-CN" w:bidi="ar"/>
                    </w:rPr>
                    <w:t>，</w:t>
                  </w:r>
                  <w:r>
                    <w:rPr>
                      <w:rFonts w:hint="eastAsia"/>
                      <w:kern w:val="0"/>
                      <w:szCs w:val="21"/>
                      <w:lang w:bidi="ar"/>
                    </w:rPr>
                    <w:t>符合开发区产业发展规划</w:t>
                  </w:r>
                  <w:r>
                    <w:rPr>
                      <w:rFonts w:hint="eastAsia" w:ascii="Times New Roman" w:hAnsi="Times New Roman" w:cs="Times New Roman"/>
                      <w:kern w:val="0"/>
                      <w:sz w:val="21"/>
                      <w:szCs w:val="21"/>
                      <w:lang w:bidi="ar"/>
                    </w:rPr>
                    <w:t>。</w:t>
                  </w:r>
                </w:p>
              </w:tc>
              <w:tc>
                <w:tcPr>
                  <w:tcW w:w="335" w:type="pct"/>
                  <w:noWrap w:val="0"/>
                  <w:vAlign w:val="center"/>
                </w:tcPr>
                <w:p w14:paraId="726605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2673C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noWrap w:val="0"/>
                  <w:vAlign w:val="center"/>
                </w:tcPr>
                <w:p w14:paraId="44B995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3103" w:type="pct"/>
                  <w:noWrap w:val="0"/>
                  <w:vAlign w:val="center"/>
                </w:tcPr>
                <w:p w14:paraId="4061B7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sz w:val="21"/>
                      <w:szCs w:val="21"/>
                    </w:rPr>
                  </w:pPr>
                  <w:r>
                    <w:rPr>
                      <w:rFonts w:hint="default"/>
                      <w:szCs w:val="21"/>
                    </w:rPr>
                    <w:t>严守环境质量底线，保护区域生态环境质量。开发区位于大气和水污染防治重点区域，周边涉及相山国家森林公园，生态环境保护要求较高，应主动避让并与其边界保持一定的缓冲防护距离。开发区应坚持</w:t>
                  </w:r>
                  <w:r>
                    <w:rPr>
                      <w:rFonts w:hint="eastAsia"/>
                      <w:szCs w:val="21"/>
                      <w:lang w:eastAsia="zh-CN"/>
                    </w:rPr>
                    <w:t>“</w:t>
                  </w:r>
                  <w:r>
                    <w:rPr>
                      <w:rFonts w:hint="default"/>
                      <w:szCs w:val="21"/>
                    </w:rPr>
                    <w:t>生态优先、绿色发展</w:t>
                  </w:r>
                  <w:r>
                    <w:rPr>
                      <w:rFonts w:hint="eastAsia"/>
                      <w:szCs w:val="21"/>
                      <w:lang w:eastAsia="zh-CN"/>
                    </w:rPr>
                    <w:t>”</w:t>
                  </w:r>
                  <w:r>
                    <w:rPr>
                      <w:rFonts w:hint="default"/>
                      <w:szCs w:val="21"/>
                    </w:rPr>
                    <w:t>的战略定位，以生态环境质量改善、防范环境风险为核心，明确开发区发展存在的环境制约因素。根据国家和我省大气、水、土壤、环境风险防范和固体废物污染防治相关要求，妥善解决区域现存生态环境问题，确保开发区建设项目污染物长期稳定达标排放，区域生态环境质量持续改善。鉴于淮河流域水生态环境保护要求较高，开发区应审慎考虑并严格限制涉重金属产业发展规模及水污染物排放总量</w:t>
                  </w:r>
                  <w:r>
                    <w:rPr>
                      <w:rFonts w:hint="eastAsia"/>
                      <w:szCs w:val="21"/>
                      <w:lang w:eastAsia="zh-CN"/>
                    </w:rPr>
                    <w:t>。</w:t>
                  </w:r>
                </w:p>
              </w:tc>
              <w:tc>
                <w:tcPr>
                  <w:tcW w:w="1250" w:type="pct"/>
                  <w:noWrap w:val="0"/>
                  <w:vAlign w:val="center"/>
                </w:tcPr>
                <w:p w14:paraId="487824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sz w:val="21"/>
                      <w:szCs w:val="21"/>
                    </w:rPr>
                  </w:pPr>
                  <w:r>
                    <w:rPr>
                      <w:rFonts w:hint="default" w:ascii="Times New Roman" w:hAnsi="Times New Roman" w:cs="Times New Roman"/>
                      <w:sz w:val="21"/>
                      <w:szCs w:val="21"/>
                    </w:rPr>
                    <w:t>相山国家森林公园距离</w:t>
                  </w:r>
                  <w:r>
                    <w:rPr>
                      <w:rFonts w:hint="eastAsia" w:cs="Times New Roman"/>
                      <w:sz w:val="21"/>
                      <w:szCs w:val="21"/>
                      <w:lang w:val="en-US" w:eastAsia="zh-CN"/>
                    </w:rPr>
                    <w:t>本项目</w:t>
                  </w:r>
                  <w:r>
                    <w:rPr>
                      <w:rFonts w:hint="default" w:ascii="Times New Roman" w:hAnsi="Times New Roman" w:cs="Times New Roman"/>
                      <w:sz w:val="21"/>
                      <w:szCs w:val="21"/>
                    </w:rPr>
                    <w:t>约5.3km，项目评价范围内不涉及生态保护红线</w:t>
                  </w:r>
                  <w:r>
                    <w:rPr>
                      <w:rFonts w:hint="eastAsia" w:cs="Times New Roman"/>
                      <w:sz w:val="21"/>
                      <w:szCs w:val="21"/>
                      <w:lang w:eastAsia="zh-CN"/>
                    </w:rPr>
                    <w:t>；</w:t>
                  </w:r>
                  <w:r>
                    <w:rPr>
                      <w:rFonts w:hint="eastAsia" w:cs="Times New Roman"/>
                      <w:sz w:val="21"/>
                      <w:szCs w:val="21"/>
                      <w:lang w:val="en-US" w:eastAsia="zh-CN"/>
                    </w:rPr>
                    <w:t>本项目废水不涉及重金属。</w:t>
                  </w:r>
                </w:p>
              </w:tc>
              <w:tc>
                <w:tcPr>
                  <w:tcW w:w="335" w:type="pct"/>
                  <w:noWrap w:val="0"/>
                  <w:vAlign w:val="center"/>
                </w:tcPr>
                <w:p w14:paraId="65B4AD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eastAsia" w:cs="Times New Roman"/>
                      <w:sz w:val="21"/>
                      <w:szCs w:val="21"/>
                      <w:lang w:val="en-US" w:eastAsia="zh-CN"/>
                    </w:rPr>
                    <w:t>符合</w:t>
                  </w:r>
                </w:p>
              </w:tc>
            </w:tr>
            <w:tr w14:paraId="046B3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310" w:type="pct"/>
                  <w:noWrap w:val="0"/>
                  <w:vAlign w:val="center"/>
                </w:tcPr>
                <w:p w14:paraId="5B9392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3</w:t>
                  </w:r>
                </w:p>
              </w:tc>
              <w:tc>
                <w:tcPr>
                  <w:tcW w:w="3103" w:type="pct"/>
                  <w:noWrap w:val="0"/>
                  <w:vAlign w:val="center"/>
                </w:tcPr>
                <w:p w14:paraId="5BCAE6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Cs w:val="21"/>
                    </w:rPr>
                  </w:pPr>
                  <w:r>
                    <w:rPr>
                      <w:rFonts w:hint="default"/>
                      <w:szCs w:val="21"/>
                    </w:rPr>
                    <w:t>优化空间布局，加强生态环境分区管控。落实生态环境分区管控要求，结合国家和省长江经济带发展负面清单管控要求及区域资源优势和环境制约因素、开发区产业定位等，进一步完善调区规划，优化功能分区和空间布局。合理规划不同功能区的环境保护空间，严禁不符合管控要求的各类开发建设活动。做好开发区工业企业与周边自然水体、居住区等各类环境保护目标的有效隔离，居住区和保护地周边严禁布设生态环境影响较大的建设项目，有效防范邻避问题，保障区域生态环境安全，实现产业发展与区域生态环境保护相协调。</w:t>
                  </w:r>
                </w:p>
              </w:tc>
              <w:tc>
                <w:tcPr>
                  <w:tcW w:w="1250" w:type="pct"/>
                  <w:noWrap w:val="0"/>
                  <w:vAlign w:val="center"/>
                </w:tcPr>
                <w:p w14:paraId="66F55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szCs w:val="21"/>
                    </w:rPr>
                    <w:t>本项目为休闲食品、婴幼儿食品加工，属于“食品制造业”中“其他未列明食品制造”，为安徽淮北相山经济开发区主导产业，不在开发区生态环境负面清单内。</w:t>
                  </w:r>
                </w:p>
              </w:tc>
              <w:tc>
                <w:tcPr>
                  <w:tcW w:w="335" w:type="pct"/>
                  <w:noWrap w:val="0"/>
                  <w:vAlign w:val="center"/>
                </w:tcPr>
                <w:p w14:paraId="3595BD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符合</w:t>
                  </w:r>
                </w:p>
              </w:tc>
            </w:tr>
            <w:tr w14:paraId="661C3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310" w:type="pct"/>
                  <w:noWrap w:val="0"/>
                  <w:vAlign w:val="center"/>
                </w:tcPr>
                <w:p w14:paraId="748D40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4</w:t>
                  </w:r>
                </w:p>
              </w:tc>
              <w:tc>
                <w:tcPr>
                  <w:tcW w:w="3103" w:type="pct"/>
                  <w:noWrap w:val="0"/>
                  <w:vAlign w:val="center"/>
                </w:tcPr>
                <w:p w14:paraId="1E9F71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szCs w:val="21"/>
                    </w:rPr>
                    <w:t>完善环保基础设施建设，强化环境污染防控。按照环保基础设施适当超前建设的原则，根据主导产业、开发时序和开发强度，进一步优化区域供水、排水、供气、供热及中水回用等规划，完善开发区雨污分流，加快新调入区域环保基础设施和现有区域中水回用管网建设。鉴于开发区纳污水体水环境承载力不足，根据排污口批复要求，建议规划期内信息产业园污水处理厂排水量不超过1.4万吨/天</w:t>
                  </w:r>
                  <w:r>
                    <w:rPr>
                      <w:rFonts w:hint="eastAsia"/>
                      <w:szCs w:val="21"/>
                      <w:lang w:eastAsia="zh-CN"/>
                    </w:rPr>
                    <w:t>，</w:t>
                  </w:r>
                  <w:r>
                    <w:rPr>
                      <w:rFonts w:hint="default"/>
                      <w:szCs w:val="21"/>
                    </w:rPr>
                    <w:t>食品产业园污水处理厂排水量不超过1.6万吨/天。结合区域环境质量现状，细化开发区污染防治基础设施建设、运行管理要求及应急处理处置方案，合理设定处理规模和排放指标，保障开发区周边空气环境持续改善。开发区应根据周边水体水环境质量及管控目标，及时启动污水处理厂提标改造，将氟化物、重金属等重点管控因子有效处理至满足受纳水体水环境质量管理要求，确保周边水环境功能不降低，下游水环境保护目标及相关考核断面稳定达标</w:t>
                  </w:r>
                  <w:r>
                    <w:rPr>
                      <w:rFonts w:hint="default" w:ascii="Times New Roman" w:hAnsi="Times New Roman" w:cs="Times New Roman"/>
                      <w:sz w:val="21"/>
                      <w:szCs w:val="21"/>
                    </w:rPr>
                    <w:t>。</w:t>
                  </w:r>
                </w:p>
              </w:tc>
              <w:tc>
                <w:tcPr>
                  <w:tcW w:w="1250" w:type="pct"/>
                  <w:noWrap w:val="0"/>
                  <w:vAlign w:val="center"/>
                </w:tcPr>
                <w:p w14:paraId="2144AC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厂区实行雨污分流制，</w:t>
                  </w:r>
                  <w:r>
                    <w:rPr>
                      <w:rFonts w:hint="eastAsia" w:ascii="Times New Roman" w:hAnsi="Times New Roman" w:cs="Times New Roman"/>
                      <w:sz w:val="21"/>
                      <w:szCs w:val="21"/>
                    </w:rPr>
                    <w:t>本项目为扩建项目，职工生活</w:t>
                  </w:r>
                  <w:r>
                    <w:rPr>
                      <w:rFonts w:hint="eastAsia" w:ascii="Times New Roman" w:hAnsi="Times New Roman" w:cs="Times New Roman"/>
                      <w:sz w:val="21"/>
                      <w:szCs w:val="21"/>
                      <w:lang w:val="en-US" w:eastAsia="zh-CN"/>
                    </w:rPr>
                    <w:t>污水经化粪池处理、</w:t>
                  </w:r>
                  <w:r>
                    <w:rPr>
                      <w:rFonts w:hint="eastAsia" w:ascii="宋体" w:hAnsi="宋体" w:cs="宋体"/>
                      <w:kern w:val="0"/>
                      <w:sz w:val="21"/>
                      <w:szCs w:val="21"/>
                      <w:lang w:bidi="ar"/>
                    </w:rPr>
                    <w:t>产品生产废水经</w:t>
                  </w:r>
                  <w:r>
                    <w:rPr>
                      <w:rFonts w:hint="eastAsia" w:ascii="宋体" w:hAnsi="宋体" w:cs="宋体"/>
                      <w:kern w:val="0"/>
                      <w:sz w:val="21"/>
                      <w:szCs w:val="21"/>
                      <w:lang w:val="en-US" w:eastAsia="zh-CN" w:bidi="ar"/>
                    </w:rPr>
                    <w:t>沉淀池处理，处理达标</w:t>
                  </w:r>
                  <w:r>
                    <w:rPr>
                      <w:rFonts w:hint="eastAsia" w:ascii="宋体" w:hAnsi="宋体" w:cs="宋体"/>
                      <w:kern w:val="0"/>
                      <w:sz w:val="21"/>
                      <w:szCs w:val="21"/>
                      <w:lang w:bidi="ar"/>
                    </w:rPr>
                    <w:t>后</w:t>
                  </w:r>
                  <w:r>
                    <w:rPr>
                      <w:rFonts w:hint="eastAsia" w:ascii="宋体" w:hAnsi="宋体" w:cs="宋体"/>
                      <w:kern w:val="0"/>
                      <w:sz w:val="21"/>
                      <w:szCs w:val="21"/>
                      <w:lang w:val="en-US" w:eastAsia="zh-CN" w:bidi="ar"/>
                    </w:rPr>
                    <w:t>排入</w:t>
                  </w:r>
                  <w:r>
                    <w:rPr>
                      <w:rFonts w:hint="eastAsia" w:ascii="宋体" w:hAnsi="宋体" w:cs="宋体"/>
                      <w:kern w:val="0"/>
                      <w:sz w:val="21"/>
                      <w:szCs w:val="21"/>
                      <w:lang w:bidi="ar"/>
                    </w:rPr>
                    <w:t>市政污水管网</w:t>
                  </w:r>
                  <w:r>
                    <w:rPr>
                      <w:rFonts w:hint="eastAsia" w:ascii="宋体" w:hAnsi="宋体" w:cs="宋体"/>
                      <w:kern w:val="0"/>
                      <w:sz w:val="21"/>
                      <w:szCs w:val="21"/>
                      <w:lang w:eastAsia="zh-CN" w:bidi="ar"/>
                    </w:rPr>
                    <w:t>，</w:t>
                  </w:r>
                  <w:r>
                    <w:rPr>
                      <w:rFonts w:hint="eastAsia" w:ascii="宋体" w:hAnsi="宋体" w:cs="宋体"/>
                      <w:kern w:val="0"/>
                      <w:sz w:val="21"/>
                      <w:szCs w:val="21"/>
                      <w:lang w:val="en-US" w:eastAsia="zh-CN" w:bidi="ar"/>
                    </w:rPr>
                    <w:t>进入</w:t>
                  </w:r>
                  <w:r>
                    <w:rPr>
                      <w:rFonts w:hint="eastAsia"/>
                    </w:rPr>
                    <w:t>安徽淮相科技发展有限公司第二污水处理厂</w:t>
                  </w:r>
                  <w:r>
                    <w:rPr>
                      <w:rFonts w:hint="eastAsia" w:ascii="宋体" w:hAnsi="宋体" w:cs="宋体"/>
                      <w:kern w:val="0"/>
                      <w:sz w:val="21"/>
                      <w:szCs w:val="21"/>
                      <w:lang w:eastAsia="zh-CN" w:bidi="ar"/>
                    </w:rPr>
                    <w:t>，</w:t>
                  </w:r>
                  <w:r>
                    <w:rPr>
                      <w:rFonts w:hint="eastAsia" w:ascii="宋体" w:hAnsi="宋体" w:cs="宋体"/>
                      <w:kern w:val="0"/>
                      <w:sz w:val="21"/>
                      <w:szCs w:val="21"/>
                      <w:lang w:val="en-US" w:eastAsia="zh-CN" w:bidi="ar"/>
                    </w:rPr>
                    <w:t>本项目废水不涉及</w:t>
                  </w:r>
                  <w:r>
                    <w:rPr>
                      <w:rFonts w:hint="default"/>
                      <w:szCs w:val="21"/>
                    </w:rPr>
                    <w:t>氟化物、重金属等重点管控因子</w:t>
                  </w:r>
                  <w:r>
                    <w:rPr>
                      <w:rFonts w:hint="eastAsia"/>
                      <w:szCs w:val="21"/>
                      <w:lang w:eastAsia="zh-CN"/>
                    </w:rPr>
                    <w:t>。</w:t>
                  </w:r>
                </w:p>
              </w:tc>
              <w:tc>
                <w:tcPr>
                  <w:tcW w:w="335" w:type="pct"/>
                  <w:noWrap w:val="0"/>
                  <w:vAlign w:val="center"/>
                </w:tcPr>
                <w:p w14:paraId="71FD87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733A0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noWrap w:val="0"/>
                  <w:vAlign w:val="center"/>
                </w:tcPr>
                <w:p w14:paraId="6D91AC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5</w:t>
                  </w:r>
                </w:p>
              </w:tc>
              <w:tc>
                <w:tcPr>
                  <w:tcW w:w="3103" w:type="pct"/>
                  <w:noWrap w:val="0"/>
                  <w:vAlign w:val="center"/>
                </w:tcPr>
                <w:p w14:paraId="018D8A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rPr>
                  </w:pPr>
                  <w:r>
                    <w:rPr>
                      <w:rFonts w:hint="default"/>
                      <w:szCs w:val="21"/>
                    </w:rPr>
                    <w:t>细化生态环境准入清单，推动高质量发展。《报告书》应根据规划区域调整，结合主导产业、区域生态环境质量现状</w:t>
                  </w:r>
                  <w:r>
                    <w:rPr>
                      <w:rFonts w:hint="eastAsia"/>
                      <w:szCs w:val="21"/>
                      <w:lang w:eastAsia="zh-CN"/>
                    </w:rPr>
                    <w:t>：</w:t>
                  </w:r>
                  <w:r>
                    <w:rPr>
                      <w:rFonts w:hint="default"/>
                      <w:szCs w:val="21"/>
                    </w:rPr>
                    <w:t>生态环境分区管控要求和现行生态环境管理要求等，进一步加强产业准入管理。坚决遏制</w:t>
                  </w:r>
                  <w:r>
                    <w:rPr>
                      <w:rFonts w:hint="eastAsia"/>
                      <w:szCs w:val="21"/>
                      <w:lang w:eastAsia="zh-CN"/>
                    </w:rPr>
                    <w:t>“</w:t>
                  </w:r>
                  <w:r>
                    <w:rPr>
                      <w:rFonts w:hint="default"/>
                      <w:szCs w:val="21"/>
                    </w:rPr>
                    <w:t>两高一低</w:t>
                  </w:r>
                  <w:r>
                    <w:rPr>
                      <w:rFonts w:hint="eastAsia"/>
                      <w:szCs w:val="21"/>
                      <w:lang w:eastAsia="zh-CN"/>
                    </w:rPr>
                    <w:t>”</w:t>
                  </w:r>
                  <w:r>
                    <w:rPr>
                      <w:rFonts w:hint="default"/>
                      <w:szCs w:val="21"/>
                    </w:rPr>
                    <w:t>项目盲目发展，引进项目的清洁生产水平应达到国内同行业先进水平。严格执行国家产业政策，加强对《淮河流域水污染防治暂行条例》限制和禁止项目的入园管控，严禁不符合条例的项目入园。不符合相关要求的工业废水严禁排入市政污水收集处理设施。</w:t>
                  </w:r>
                </w:p>
              </w:tc>
              <w:tc>
                <w:tcPr>
                  <w:tcW w:w="1250" w:type="pct"/>
                  <w:noWrap w:val="0"/>
                  <w:vAlign w:val="center"/>
                </w:tcPr>
                <w:p w14:paraId="38A97D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rPr>
                  </w:pPr>
                  <w:r>
                    <w:rPr>
                      <w:rFonts w:hint="eastAsia" w:ascii="Times New Roman" w:hAnsi="Times New Roman" w:cs="Times New Roman"/>
                      <w:sz w:val="21"/>
                      <w:szCs w:val="21"/>
                    </w:rPr>
                    <w:t>本项目位于</w:t>
                  </w:r>
                  <w:r>
                    <w:rPr>
                      <w:rFonts w:hint="default" w:ascii="Times New Roman" w:hAnsi="Times New Roman" w:cs="Times New Roman"/>
                      <w:kern w:val="0"/>
                      <w:sz w:val="21"/>
                      <w:szCs w:val="21"/>
                      <w:lang w:bidi="ar"/>
                    </w:rPr>
                    <w:t>安徽淮北相山经济开发区</w:t>
                  </w:r>
                  <w:r>
                    <w:rPr>
                      <w:rFonts w:hint="default" w:ascii="Times New Roman" w:hAnsi="Times New Roman" w:cs="Times New Roman"/>
                      <w:sz w:val="21"/>
                      <w:szCs w:val="21"/>
                    </w:rPr>
                    <w:t>凤凰路16号2幢</w:t>
                  </w:r>
                  <w:r>
                    <w:rPr>
                      <w:rFonts w:hint="eastAsia" w:ascii="Times New Roman" w:hAnsi="Times New Roman" w:cs="Times New Roman"/>
                      <w:sz w:val="21"/>
                      <w:szCs w:val="21"/>
                    </w:rPr>
                    <w:t>安徽马培德食品科技有限公司院内，</w:t>
                  </w:r>
                  <w:r>
                    <w:rPr>
                      <w:rFonts w:hint="default" w:ascii="Times New Roman" w:hAnsi="Times New Roman" w:cs="Times New Roman"/>
                      <w:sz w:val="21"/>
                      <w:szCs w:val="21"/>
                    </w:rPr>
                    <w:t>为</w:t>
                  </w:r>
                  <w:r>
                    <w:rPr>
                      <w:rFonts w:hint="eastAsia" w:ascii="Times New Roman" w:hAnsi="Times New Roman" w:cs="Times New Roman"/>
                      <w:sz w:val="21"/>
                      <w:szCs w:val="21"/>
                    </w:rPr>
                    <w:t>休闲食品及婴幼儿食品加工</w:t>
                  </w:r>
                  <w:r>
                    <w:rPr>
                      <w:rFonts w:hint="default" w:ascii="Times New Roman" w:hAnsi="Times New Roman" w:cs="Times New Roman"/>
                      <w:sz w:val="21"/>
                      <w:szCs w:val="21"/>
                    </w:rPr>
                    <w:t>，属于园区主导产业</w:t>
                  </w:r>
                  <w:r>
                    <w:rPr>
                      <w:rFonts w:hint="eastAsia" w:ascii="Times New Roman" w:hAnsi="Times New Roman" w:cs="Times New Roman"/>
                      <w:sz w:val="21"/>
                      <w:szCs w:val="21"/>
                      <w:lang w:eastAsia="zh-CN"/>
                    </w:rPr>
                    <w:t>“</w:t>
                  </w:r>
                  <w:r>
                    <w:rPr>
                      <w:rFonts w:hint="default" w:ascii="Times New Roman" w:hAnsi="Times New Roman" w:cs="Times New Roman"/>
                      <w:sz w:val="21"/>
                      <w:szCs w:val="21"/>
                    </w:rPr>
                    <w:t>食品加工</w:t>
                  </w:r>
                  <w:r>
                    <w:rPr>
                      <w:rFonts w:hint="eastAsia" w:ascii="Times New Roman" w:hAnsi="Times New Roman" w:cs="Times New Roman"/>
                      <w:sz w:val="21"/>
                      <w:szCs w:val="21"/>
                      <w:lang w:eastAsia="zh-CN"/>
                    </w:rPr>
                    <w:t>”</w:t>
                  </w:r>
                  <w:r>
                    <w:rPr>
                      <w:rFonts w:hint="default" w:ascii="Times New Roman" w:hAnsi="Times New Roman" w:cs="Times New Roman"/>
                      <w:sz w:val="21"/>
                      <w:szCs w:val="21"/>
                    </w:rPr>
                    <w:t>，符合园区产业定位。</w:t>
                  </w:r>
                  <w:r>
                    <w:rPr>
                      <w:rFonts w:hint="eastAsia" w:ascii="Times New Roman" w:hAnsi="Times New Roman" w:cs="Times New Roman"/>
                      <w:sz w:val="21"/>
                      <w:szCs w:val="21"/>
                    </w:rPr>
                    <w:t>项目用水均来自市政供水管网，不开采地下水；职工生活</w:t>
                  </w:r>
                  <w:r>
                    <w:rPr>
                      <w:rFonts w:hint="eastAsia" w:ascii="Times New Roman" w:hAnsi="Times New Roman" w:cs="Times New Roman"/>
                      <w:sz w:val="21"/>
                      <w:szCs w:val="21"/>
                      <w:lang w:val="en-US" w:eastAsia="zh-CN"/>
                    </w:rPr>
                    <w:t>污水经化粪池处理、</w:t>
                  </w:r>
                  <w:r>
                    <w:rPr>
                      <w:rFonts w:hint="eastAsia" w:ascii="宋体" w:hAnsi="宋体" w:cs="宋体"/>
                      <w:kern w:val="0"/>
                      <w:sz w:val="21"/>
                      <w:szCs w:val="21"/>
                      <w:lang w:bidi="ar"/>
                    </w:rPr>
                    <w:t>产品生产废水经</w:t>
                  </w:r>
                  <w:r>
                    <w:rPr>
                      <w:rFonts w:hint="eastAsia" w:ascii="宋体" w:hAnsi="宋体" w:cs="宋体"/>
                      <w:kern w:val="0"/>
                      <w:sz w:val="21"/>
                      <w:szCs w:val="21"/>
                      <w:lang w:val="en-US" w:eastAsia="zh-CN" w:bidi="ar"/>
                    </w:rPr>
                    <w:t>沉淀池处理，处理达标</w:t>
                  </w:r>
                  <w:r>
                    <w:rPr>
                      <w:rFonts w:hint="eastAsia" w:ascii="宋体" w:hAnsi="宋体" w:cs="宋体"/>
                      <w:kern w:val="0"/>
                      <w:sz w:val="21"/>
                      <w:szCs w:val="21"/>
                      <w:lang w:bidi="ar"/>
                    </w:rPr>
                    <w:t>后</w:t>
                  </w:r>
                  <w:r>
                    <w:rPr>
                      <w:rFonts w:hint="eastAsia" w:ascii="宋体" w:hAnsi="宋体" w:cs="宋体"/>
                      <w:kern w:val="0"/>
                      <w:sz w:val="21"/>
                      <w:szCs w:val="21"/>
                      <w:lang w:val="en-US" w:eastAsia="zh-CN" w:bidi="ar"/>
                    </w:rPr>
                    <w:t>排入园区</w:t>
                  </w:r>
                  <w:r>
                    <w:rPr>
                      <w:rFonts w:hint="eastAsia" w:ascii="宋体" w:hAnsi="宋体" w:cs="宋体"/>
                      <w:kern w:val="0"/>
                      <w:sz w:val="21"/>
                      <w:szCs w:val="21"/>
                      <w:lang w:bidi="ar"/>
                    </w:rPr>
                    <w:t>污水管网</w:t>
                  </w:r>
                  <w:r>
                    <w:rPr>
                      <w:rFonts w:hint="eastAsia" w:ascii="宋体" w:hAnsi="宋体" w:cs="宋体"/>
                      <w:kern w:val="0"/>
                      <w:sz w:val="21"/>
                      <w:szCs w:val="21"/>
                      <w:lang w:eastAsia="zh-CN" w:bidi="ar"/>
                    </w:rPr>
                    <w:t>，</w:t>
                  </w:r>
                  <w:r>
                    <w:rPr>
                      <w:rFonts w:hint="eastAsia" w:ascii="宋体" w:hAnsi="宋体" w:cs="宋体"/>
                      <w:kern w:val="0"/>
                      <w:sz w:val="21"/>
                      <w:szCs w:val="21"/>
                      <w:lang w:val="en-US" w:eastAsia="zh-CN" w:bidi="ar"/>
                    </w:rPr>
                    <w:t>进入</w:t>
                  </w:r>
                  <w:r>
                    <w:rPr>
                      <w:rFonts w:hint="eastAsia"/>
                    </w:rPr>
                    <w:t>安徽淮相科技发展有限公司第二污水处理厂</w:t>
                  </w:r>
                  <w:r>
                    <w:rPr>
                      <w:rFonts w:hint="eastAsia" w:ascii="宋体" w:hAnsi="宋体" w:cs="宋体"/>
                      <w:kern w:val="0"/>
                      <w:sz w:val="21"/>
                      <w:szCs w:val="21"/>
                      <w:lang w:bidi="ar"/>
                    </w:rPr>
                    <w:t>处理</w:t>
                  </w:r>
                  <w:r>
                    <w:rPr>
                      <w:rFonts w:hint="eastAsia" w:ascii="Times New Roman" w:hAnsi="Times New Roman" w:cs="Times New Roman"/>
                      <w:sz w:val="21"/>
                      <w:szCs w:val="21"/>
                    </w:rPr>
                    <w:t>。</w:t>
                  </w:r>
                </w:p>
              </w:tc>
              <w:tc>
                <w:tcPr>
                  <w:tcW w:w="335" w:type="pct"/>
                  <w:noWrap w:val="0"/>
                  <w:vAlign w:val="center"/>
                </w:tcPr>
                <w:p w14:paraId="6213FF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58073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310" w:type="pct"/>
                  <w:noWrap w:val="0"/>
                  <w:vAlign w:val="center"/>
                </w:tcPr>
                <w:p w14:paraId="263F55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6</w:t>
                  </w:r>
                </w:p>
              </w:tc>
              <w:tc>
                <w:tcPr>
                  <w:tcW w:w="3103" w:type="pct"/>
                  <w:noWrap w:val="0"/>
                  <w:vAlign w:val="center"/>
                </w:tcPr>
                <w:p w14:paraId="2747BB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sz w:val="21"/>
                      <w:szCs w:val="21"/>
                      <w:lang w:eastAsia="zh-CN"/>
                    </w:rPr>
                  </w:pPr>
                  <w:r>
                    <w:rPr>
                      <w:rFonts w:hint="default"/>
                      <w:szCs w:val="21"/>
                    </w:rPr>
                    <w:t>提升环境管理水平，加强生态环境风险防控。着力提升开发区环境管理水平，统筹考虑区域内污染物排放、固体废物</w:t>
                  </w:r>
                  <w:r>
                    <w:rPr>
                      <w:rFonts w:hint="eastAsia"/>
                      <w:szCs w:val="21"/>
                      <w:lang w:eastAsia="zh-CN"/>
                    </w:rPr>
                    <w:t>（</w:t>
                  </w:r>
                  <w:r>
                    <w:rPr>
                      <w:rFonts w:hint="default"/>
                      <w:szCs w:val="21"/>
                    </w:rPr>
                    <w:t>含危险废物</w:t>
                  </w:r>
                  <w:r>
                    <w:rPr>
                      <w:rFonts w:hint="eastAsia"/>
                      <w:szCs w:val="21"/>
                      <w:lang w:eastAsia="zh-CN"/>
                    </w:rPr>
                    <w:t>）</w:t>
                  </w:r>
                  <w:r>
                    <w:rPr>
                      <w:rFonts w:hint="default"/>
                      <w:szCs w:val="21"/>
                    </w:rPr>
                    <w:t>管理、环境风险防范等生态环境管理要求，健全区域风险防范体系和生态安全保障体系。开发区临近洪碱河、萧濉新河等地表水体，应全面落实环境风险三级防控，加强开发区内重要环境风险源的管控</w:t>
                  </w:r>
                  <w:r>
                    <w:rPr>
                      <w:rFonts w:hint="eastAsia"/>
                      <w:szCs w:val="21"/>
                      <w:lang w:eastAsia="zh-CN"/>
                    </w:rPr>
                    <w:t>，</w:t>
                  </w:r>
                  <w:r>
                    <w:rPr>
                      <w:rFonts w:hint="default"/>
                      <w:szCs w:val="21"/>
                    </w:rPr>
                    <w:t>做好开发区重大环境风险源的识别与管控，重点关注涉氟化物、重金属企业环境风险防控，确保事故废水与外环境有效隔离、及时处置，防止开发区事故废水排入周边地表水体。加强日常环境监管与监测，落实各项环境管理要求在规划实施过程中，适时开展规划环境影响的跟踪评价。结合规划环评及跟踪评价成果，同步更新“区域评估+环境标准”成果</w:t>
                  </w:r>
                  <w:r>
                    <w:rPr>
                      <w:rFonts w:hint="eastAsia" w:cs="Times New Roman"/>
                      <w:sz w:val="21"/>
                      <w:szCs w:val="21"/>
                      <w:lang w:eastAsia="zh-CN"/>
                    </w:rPr>
                    <w:t>。</w:t>
                  </w:r>
                </w:p>
              </w:tc>
              <w:tc>
                <w:tcPr>
                  <w:tcW w:w="1250" w:type="pct"/>
                  <w:noWrap w:val="0"/>
                  <w:vAlign w:val="center"/>
                </w:tcPr>
                <w:p w14:paraId="18C97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eastAsia" w:ascii="宋体" w:hAnsi="宋体" w:cs="宋体"/>
                      <w:kern w:val="0"/>
                      <w:sz w:val="21"/>
                      <w:szCs w:val="21"/>
                      <w:lang w:val="en-US" w:eastAsia="zh-CN" w:bidi="ar"/>
                    </w:rPr>
                    <w:t>企业</w:t>
                  </w:r>
                  <w:r>
                    <w:rPr>
                      <w:rFonts w:hint="eastAsia" w:ascii="Times New Roman" w:hAnsi="Times New Roman" w:eastAsia="宋体" w:cs="Times New Roman"/>
                      <w:sz w:val="21"/>
                      <w:szCs w:val="21"/>
                    </w:rPr>
                    <w:t>需按规定制定环境风险应急预案</w:t>
                  </w:r>
                  <w:r>
                    <w:rPr>
                      <w:rFonts w:hint="eastAsia" w:cs="Times New Roman"/>
                      <w:sz w:val="21"/>
                      <w:szCs w:val="21"/>
                      <w:lang w:eastAsia="zh-CN"/>
                    </w:rPr>
                    <w:t>，</w:t>
                  </w:r>
                  <w:r>
                    <w:rPr>
                      <w:rFonts w:hint="eastAsia" w:ascii="宋体" w:hAnsi="宋体" w:cs="宋体"/>
                      <w:kern w:val="0"/>
                      <w:sz w:val="21"/>
                      <w:szCs w:val="21"/>
                      <w:lang w:bidi="ar"/>
                    </w:rPr>
                    <w:t>项目运营后按规划环评要求委托相关机构进行开展环境监测工作。</w:t>
                  </w:r>
                </w:p>
              </w:tc>
              <w:tc>
                <w:tcPr>
                  <w:tcW w:w="335" w:type="pct"/>
                  <w:noWrap w:val="0"/>
                  <w:vAlign w:val="center"/>
                </w:tcPr>
                <w:p w14:paraId="4A3E6F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bl>
          <w:p w14:paraId="390F9C53">
            <w:pPr>
              <w:pStyle w:val="10"/>
              <w:keepNext w:val="0"/>
              <w:keepLines w:val="0"/>
              <w:suppressLineNumbers w:val="0"/>
              <w:spacing w:beforeAutospacing="0" w:afterAutospacing="0" w:line="360" w:lineRule="auto"/>
              <w:ind w:left="0" w:firstLine="480" w:firstLineChars="200"/>
              <w:rPr>
                <w:rFonts w:hint="default" w:ascii="Times New Roman" w:hAnsi="Times New Roman" w:cs="Times New Roman"/>
                <w:sz w:val="24"/>
              </w:rPr>
            </w:pPr>
            <w:r>
              <w:rPr>
                <w:rFonts w:hint="eastAsia" w:ascii="Times New Roman" w:hAnsi="Times New Roman" w:cs="Times New Roman"/>
                <w:sz w:val="24"/>
                <w:szCs w:val="24"/>
              </w:rPr>
              <w:t>综上所述，本项目的建设与《安徽淮北相山经济开发区</w:t>
            </w:r>
            <w:r>
              <w:rPr>
                <w:rFonts w:hint="eastAsia" w:cs="Times New Roman"/>
                <w:sz w:val="24"/>
                <w:szCs w:val="24"/>
                <w:lang w:val="en-US" w:eastAsia="zh-CN"/>
              </w:rPr>
              <w:t>总体</w:t>
            </w:r>
            <w:r>
              <w:rPr>
                <w:rFonts w:hint="eastAsia" w:ascii="Times New Roman" w:hAnsi="Times New Roman" w:cs="Times New Roman"/>
                <w:sz w:val="24"/>
                <w:szCs w:val="24"/>
              </w:rPr>
              <w:t>发展规划（20</w:t>
            </w:r>
            <w:r>
              <w:rPr>
                <w:rFonts w:hint="eastAsia" w:cs="Times New Roman"/>
                <w:sz w:val="24"/>
                <w:szCs w:val="24"/>
                <w:lang w:val="en-US" w:eastAsia="zh-CN"/>
              </w:rPr>
              <w:t>24</w:t>
            </w:r>
            <w:r>
              <w:rPr>
                <w:rFonts w:hint="eastAsia" w:ascii="Times New Roman" w:hAnsi="Times New Roman" w:cs="Times New Roman"/>
                <w:sz w:val="24"/>
                <w:szCs w:val="24"/>
              </w:rPr>
              <w:t>-203</w:t>
            </w:r>
            <w:r>
              <w:rPr>
                <w:rFonts w:hint="eastAsia" w:cs="Times New Roman"/>
                <w:sz w:val="24"/>
                <w:szCs w:val="24"/>
                <w:lang w:val="en-US" w:eastAsia="zh-CN"/>
              </w:rPr>
              <w:t>5</w:t>
            </w:r>
            <w:r>
              <w:rPr>
                <w:rFonts w:hint="eastAsia" w:ascii="Times New Roman" w:hAnsi="Times New Roman" w:cs="Times New Roman"/>
                <w:sz w:val="24"/>
                <w:szCs w:val="24"/>
              </w:rPr>
              <w:t>年）环境影响报告书审查意见》相符。</w:t>
            </w:r>
          </w:p>
        </w:tc>
      </w:tr>
      <w:tr w14:paraId="71DB5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2" w:hRule="atLeast"/>
        </w:trPr>
        <w:tc>
          <w:tcPr>
            <w:tcW w:w="1494" w:type="dxa"/>
            <w:noWrap w:val="0"/>
            <w:vAlign w:val="center"/>
          </w:tcPr>
          <w:p w14:paraId="48427A0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kern w:val="0"/>
                <w:sz w:val="24"/>
              </w:rPr>
            </w:pPr>
            <w:r>
              <w:rPr>
                <w:rFonts w:hint="default" w:ascii="Times New Roman" w:hAnsi="Times New Roman" w:cs="Times New Roman"/>
                <w:kern w:val="0"/>
                <w:sz w:val="24"/>
              </w:rPr>
              <w:t>其他符合性分析</w:t>
            </w:r>
          </w:p>
        </w:tc>
        <w:tc>
          <w:tcPr>
            <w:tcW w:w="7376" w:type="dxa"/>
            <w:gridSpan w:val="3"/>
            <w:noWrap w:val="0"/>
            <w:vAlign w:val="center"/>
          </w:tcPr>
          <w:p w14:paraId="605053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b/>
                <w:bCs/>
                <w:sz w:val="24"/>
              </w:rPr>
            </w:pPr>
            <w:r>
              <w:rPr>
                <w:rFonts w:hint="default" w:ascii="Times New Roman" w:hAnsi="Times New Roman" w:cs="Times New Roman"/>
                <w:b/>
                <w:bCs/>
                <w:sz w:val="24"/>
              </w:rPr>
              <w:t>1、与</w:t>
            </w:r>
            <w:r>
              <w:rPr>
                <w:rFonts w:hint="eastAsia" w:ascii="Times New Roman" w:hAnsi="Times New Roman" w:cs="Times New Roman"/>
                <w:b/>
                <w:bCs/>
                <w:sz w:val="24"/>
                <w:lang w:val="en-US" w:eastAsia="zh-CN"/>
              </w:rPr>
              <w:t>生态环境分区管控</w:t>
            </w:r>
            <w:r>
              <w:rPr>
                <w:rFonts w:hint="default" w:ascii="Times New Roman" w:hAnsi="Times New Roman" w:cs="Times New Roman"/>
                <w:b/>
                <w:bCs/>
                <w:sz w:val="24"/>
              </w:rPr>
              <w:t>符合性分析</w:t>
            </w:r>
          </w:p>
          <w:p w14:paraId="22389F2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rPr>
              <w:t>（1）生态保护红线</w:t>
            </w:r>
          </w:p>
          <w:p w14:paraId="5ED5978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rPr>
            </w:pPr>
            <w:r>
              <w:rPr>
                <w:rFonts w:hint="default" w:ascii="Times New Roman" w:hAnsi="Times New Roman" w:cs="Times New Roman"/>
                <w:sz w:val="24"/>
              </w:rPr>
              <w:t>本项目位于</w:t>
            </w:r>
            <w:r>
              <w:rPr>
                <w:rFonts w:hint="eastAsia" w:ascii="Times New Roman" w:hAnsi="Times New Roman" w:cs="Times New Roman"/>
                <w:sz w:val="24"/>
              </w:rPr>
              <w:t>安徽省淮北市相山经济开发区凤凰路16号</w:t>
            </w:r>
            <w:r>
              <w:rPr>
                <w:rFonts w:hint="default" w:ascii="Times New Roman" w:hAnsi="Times New Roman" w:cs="Times New Roman"/>
                <w:sz w:val="24"/>
              </w:rPr>
              <w:t>，</w:t>
            </w:r>
            <w:r>
              <w:rPr>
                <w:rFonts w:hint="eastAsia" w:ascii="Times New Roman" w:hAnsi="Times New Roman" w:cs="Times New Roman"/>
                <w:sz w:val="24"/>
              </w:rPr>
              <w:t>根据淮北市生态保护红线</w:t>
            </w:r>
            <w:r>
              <w:rPr>
                <w:rFonts w:hint="eastAsia" w:ascii="Times New Roman" w:hAnsi="Times New Roman" w:cs="Times New Roman"/>
                <w:sz w:val="24"/>
                <w:lang w:val="en-US" w:eastAsia="zh-CN"/>
              </w:rPr>
              <w:t>分布</w:t>
            </w:r>
            <w:r>
              <w:rPr>
                <w:rFonts w:hint="eastAsia" w:ascii="Times New Roman" w:hAnsi="Times New Roman" w:cs="Times New Roman"/>
                <w:sz w:val="24"/>
              </w:rPr>
              <w:t>图</w:t>
            </w:r>
            <w:r>
              <w:rPr>
                <w:rFonts w:hint="default" w:ascii="Times New Roman" w:hAnsi="Times New Roman" w:cs="Times New Roman"/>
                <w:sz w:val="24"/>
              </w:rPr>
              <w:t>，</w:t>
            </w:r>
            <w:r>
              <w:rPr>
                <w:rFonts w:hint="eastAsia" w:ascii="Times New Roman" w:hAnsi="Times New Roman" w:cs="Times New Roman"/>
                <w:sz w:val="24"/>
              </w:rPr>
              <w:t>本项目不在生态保护红线范围内，且不在当地饮用水源、风景区、自然保护区等生态保护区内</w:t>
            </w:r>
            <w:r>
              <w:rPr>
                <w:rFonts w:hint="eastAsia" w:ascii="Times New Roman" w:hAnsi="Times New Roman" w:cs="Times New Roman"/>
                <w:sz w:val="24"/>
                <w:lang w:eastAsia="zh-CN"/>
              </w:rPr>
              <w:t>，</w:t>
            </w:r>
            <w:r>
              <w:rPr>
                <w:rFonts w:hint="eastAsia" w:ascii="Times New Roman" w:hAnsi="Times New Roman" w:cs="Times New Roman"/>
                <w:sz w:val="24"/>
              </w:rPr>
              <w:t>离</w:t>
            </w:r>
            <w:r>
              <w:rPr>
                <w:rFonts w:hint="default" w:ascii="Times New Roman" w:hAnsi="Times New Roman" w:cs="Times New Roman"/>
                <w:sz w:val="24"/>
              </w:rPr>
              <w:t>项目最近的生态保护红线为相山国家森林公园，距离约5.3km，项目评价范围内不涉及生态保护红线。</w:t>
            </w:r>
          </w:p>
          <w:p w14:paraId="60C9147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eastAsia" w:ascii="Times New Roman" w:hAnsi="Times New Roman" w:cs="Times New Roman"/>
                <w:color w:val="auto"/>
                <w:sz w:val="24"/>
                <w:szCs w:val="24"/>
                <w:lang w:val="en-US" w:eastAsia="zh-CN"/>
              </w:rPr>
              <w:t>本项目与</w:t>
            </w:r>
            <w:r>
              <w:rPr>
                <w:rFonts w:hint="eastAsia" w:ascii="Times New Roman" w:hAnsi="Times New Roman" w:cs="Times New Roman"/>
                <w:b w:val="0"/>
                <w:bCs w:val="0"/>
                <w:sz w:val="24"/>
                <w:szCs w:val="24"/>
                <w:lang w:val="en-US" w:eastAsia="zh-CN"/>
              </w:rPr>
              <w:t>淮北市</w:t>
            </w:r>
            <w:r>
              <w:rPr>
                <w:rFonts w:hint="default" w:ascii="Times New Roman" w:hAnsi="Times New Roman" w:cs="Times New Roman"/>
                <w:b w:val="0"/>
                <w:bCs w:val="0"/>
                <w:sz w:val="24"/>
                <w:szCs w:val="24"/>
                <w:lang w:val="en-US" w:eastAsia="zh-CN"/>
              </w:rPr>
              <w:t>生态</w:t>
            </w:r>
            <w:r>
              <w:rPr>
                <w:rFonts w:hint="eastAsia" w:ascii="Times New Roman" w:hAnsi="Times New Roman" w:cs="Times New Roman"/>
                <w:b w:val="0"/>
                <w:bCs w:val="0"/>
                <w:sz w:val="24"/>
                <w:szCs w:val="24"/>
                <w:lang w:val="en-US" w:eastAsia="zh-CN"/>
              </w:rPr>
              <w:t>保护红线位置关系</w:t>
            </w:r>
            <w:r>
              <w:rPr>
                <w:rFonts w:hint="default" w:ascii="Times New Roman" w:hAnsi="Times New Roman" w:cs="Times New Roman"/>
                <w:color w:val="auto"/>
                <w:sz w:val="24"/>
                <w:szCs w:val="24"/>
              </w:rPr>
              <w:t>见附图</w:t>
            </w:r>
            <w:r>
              <w:rPr>
                <w:rFonts w:hint="eastAsia" w:cs="Times New Roman"/>
                <w:color w:val="auto"/>
                <w:sz w:val="24"/>
                <w:szCs w:val="24"/>
                <w:lang w:val="en-US" w:eastAsia="zh-CN"/>
              </w:rPr>
              <w:t>4</w:t>
            </w:r>
            <w:r>
              <w:rPr>
                <w:rFonts w:hint="default" w:ascii="Times New Roman" w:hAnsi="Times New Roman" w:cs="Times New Roman"/>
                <w:color w:val="auto"/>
                <w:sz w:val="24"/>
                <w:szCs w:val="24"/>
              </w:rPr>
              <w:t>。</w:t>
            </w:r>
          </w:p>
          <w:p w14:paraId="3800980A">
            <w:pPr>
              <w:keepNext w:val="0"/>
              <w:keepLines w:val="0"/>
              <w:numPr>
                <w:ilvl w:val="0"/>
                <w:numId w:val="2"/>
              </w:numPr>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rPr>
            </w:pPr>
            <w:r>
              <w:rPr>
                <w:rFonts w:hint="default" w:ascii="Times New Roman" w:hAnsi="Times New Roman" w:cs="Times New Roman"/>
                <w:kern w:val="0"/>
                <w:sz w:val="24"/>
              </w:rPr>
              <w:t>环境质量底线及环境分区管控</w:t>
            </w:r>
          </w:p>
          <w:p w14:paraId="7D73C09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①</w:t>
            </w:r>
            <w:r>
              <w:rPr>
                <w:rFonts w:hint="default" w:ascii="Times New Roman" w:hAnsi="Times New Roman" w:eastAsia="宋体" w:cs="Times New Roman"/>
                <w:kern w:val="0"/>
                <w:sz w:val="24"/>
                <w:szCs w:val="24"/>
              </w:rPr>
              <w:t>大气环境质量底线及分区管控</w:t>
            </w:r>
          </w:p>
          <w:p w14:paraId="03BB3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对照</w:t>
            </w:r>
            <w:r>
              <w:rPr>
                <w:rFonts w:hint="eastAsia" w:ascii="Times New Roman" w:hAnsi="Times New Roman" w:cs="宋体"/>
                <w:sz w:val="24"/>
                <w:szCs w:val="24"/>
                <w:lang w:val="en-US" w:eastAsia="zh-CN"/>
              </w:rPr>
              <w:t>淮北市大气环境分区管控图</w:t>
            </w:r>
            <w:r>
              <w:rPr>
                <w:rFonts w:hint="eastAsia" w:ascii="宋体" w:hAnsi="宋体" w:eastAsia="宋体" w:cs="宋体"/>
                <w:kern w:val="0"/>
                <w:sz w:val="24"/>
                <w:szCs w:val="24"/>
                <w:lang w:eastAsia="zh-CN"/>
              </w:rPr>
              <w:t>，项目位于高排放重点管控区。</w:t>
            </w:r>
          </w:p>
          <w:p w14:paraId="331DD974">
            <w:pPr>
              <w:pStyle w:val="4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rPr>
            </w:pPr>
            <w:r>
              <w:rPr>
                <w:rFonts w:hint="default" w:ascii="Times New Roman" w:hAnsi="Times New Roman" w:eastAsia="宋体" w:cs="Times New Roman"/>
                <w:kern w:val="0"/>
                <w:sz w:val="24"/>
                <w:szCs w:val="24"/>
              </w:rPr>
              <w:t>大气环境重点管控区：</w:t>
            </w:r>
            <w:r>
              <w:rPr>
                <w:rFonts w:hint="eastAsia" w:ascii="Times New Roman" w:hAnsi="Times New Roman" w:eastAsia="宋体" w:cs="Times New Roman"/>
                <w:kern w:val="0"/>
                <w:sz w:val="24"/>
                <w:szCs w:val="24"/>
                <w:lang w:eastAsia="zh-CN"/>
              </w:rPr>
              <w:t>“</w:t>
            </w:r>
            <w:r>
              <w:rPr>
                <w:rFonts w:hint="eastAsia" w:ascii="仿宋" w:hAnsi="仿宋"/>
                <w:bCs/>
                <w:color w:val="000000"/>
                <w:sz w:val="24"/>
                <w:szCs w:val="24"/>
              </w:rPr>
              <w:t>落实《安徽省大气污染防治条例》《“十</w:t>
            </w:r>
            <w:r>
              <w:rPr>
                <w:rFonts w:hint="eastAsia" w:ascii="仿宋" w:hAnsi="仿宋"/>
                <w:bCs/>
                <w:color w:val="000000"/>
                <w:sz w:val="24"/>
                <w:szCs w:val="24"/>
                <w:lang w:val="en-US" w:eastAsia="zh-CN"/>
              </w:rPr>
              <w:t>四</w:t>
            </w:r>
            <w:r>
              <w:rPr>
                <w:rFonts w:hint="eastAsia" w:ascii="仿宋" w:hAnsi="仿宋"/>
                <w:bCs/>
                <w:color w:val="000000"/>
                <w:sz w:val="24"/>
                <w:szCs w:val="24"/>
              </w:rPr>
              <w:t>五”生态环境保护规划》《安徽省“十</w:t>
            </w:r>
            <w:r>
              <w:rPr>
                <w:rFonts w:hint="eastAsia" w:ascii="仿宋" w:hAnsi="仿宋"/>
                <w:bCs/>
                <w:color w:val="000000"/>
                <w:sz w:val="24"/>
                <w:szCs w:val="24"/>
                <w:lang w:val="en-US" w:eastAsia="zh-CN"/>
              </w:rPr>
              <w:t>四</w:t>
            </w:r>
            <w:r>
              <w:rPr>
                <w:rFonts w:hint="eastAsia" w:ascii="仿宋" w:hAnsi="仿宋"/>
                <w:bCs/>
                <w:color w:val="000000"/>
                <w:sz w:val="24"/>
                <w:szCs w:val="24"/>
              </w:rPr>
              <w:t>五”环境保护规划》</w:t>
            </w:r>
            <w:r>
              <w:rPr>
                <w:rFonts w:hint="eastAsia" w:ascii="Times New Roman" w:hAnsi="Times New Roman" w:cs="Times New Roman"/>
                <w:color w:val="auto"/>
                <w:kern w:val="0"/>
                <w:sz w:val="24"/>
                <w:szCs w:val="24"/>
                <w:lang w:val="en-US" w:eastAsia="zh-CN"/>
              </w:rPr>
              <w:t>《安徽省“十四五”节能减排实施方案》</w:t>
            </w:r>
            <w:r>
              <w:rPr>
                <w:rFonts w:hint="eastAsia" w:ascii="仿宋" w:hAnsi="仿宋"/>
                <w:bCs/>
                <w:color w:val="000000"/>
                <w:sz w:val="24"/>
                <w:szCs w:val="24"/>
              </w:rPr>
              <w:t>《打赢蓝天保卫战三年行动计划》</w:t>
            </w:r>
            <w:r>
              <w:rPr>
                <w:rFonts w:hint="eastAsia" w:ascii="仿宋" w:hAnsi="仿宋"/>
                <w:bCs/>
                <w:color w:val="000000"/>
                <w:sz w:val="24"/>
                <w:szCs w:val="24"/>
                <w:lang w:eastAsia="zh-CN"/>
              </w:rPr>
              <w:t>、</w:t>
            </w:r>
            <w:r>
              <w:rPr>
                <w:rFonts w:hint="eastAsia" w:ascii="仿宋" w:hAnsi="仿宋"/>
                <w:bCs/>
                <w:color w:val="000000"/>
                <w:sz w:val="24"/>
                <w:szCs w:val="24"/>
              </w:rPr>
              <w:t>《安徽省打赢蓝天保卫战三年行动计划实施方案》《重点行业挥发性有机物综合治理方案》</w:t>
            </w:r>
            <w:r>
              <w:rPr>
                <w:rFonts w:hint="eastAsia" w:ascii="Times New Roman" w:hAnsi="Times New Roman" w:cs="Times New Roman"/>
                <w:color w:val="auto"/>
                <w:kern w:val="0"/>
                <w:sz w:val="24"/>
                <w:szCs w:val="24"/>
                <w:lang w:val="en-US" w:eastAsia="zh-CN"/>
              </w:rPr>
              <w:t>《淮北市“十四五”节能减排实施方案》</w:t>
            </w:r>
            <w:r>
              <w:rPr>
                <w:rFonts w:hint="eastAsia" w:ascii="仿宋" w:hAnsi="仿宋"/>
                <w:bCs/>
                <w:color w:val="000000"/>
                <w:sz w:val="24"/>
                <w:szCs w:val="24"/>
              </w:rPr>
              <w:t>等要求，严格目标实施计划，加强环境监管，促进生态环境质量好转。上年度</w:t>
            </w:r>
            <w:r>
              <w:rPr>
                <w:rFonts w:hint="default" w:ascii="Times New Roman" w:hAnsi="Times New Roman" w:cs="Times New Roman"/>
                <w:bCs/>
                <w:color w:val="000000"/>
                <w:sz w:val="24"/>
                <w:szCs w:val="24"/>
                <w:lang w:val="en-US" w:eastAsia="zh-CN"/>
              </w:rPr>
              <w:t>PM</w:t>
            </w:r>
            <w:r>
              <w:rPr>
                <w:rFonts w:hint="default" w:ascii="Times New Roman" w:hAnsi="Times New Roman" w:cs="Times New Roman"/>
                <w:bCs/>
                <w:color w:val="000000"/>
                <w:sz w:val="24"/>
                <w:szCs w:val="24"/>
                <w:vertAlign w:val="subscript"/>
                <w:lang w:val="en-US" w:eastAsia="zh-CN"/>
              </w:rPr>
              <w:t>2.5</w:t>
            </w:r>
            <w:r>
              <w:rPr>
                <w:rFonts w:hint="eastAsia" w:ascii="仿宋" w:hAnsi="仿宋"/>
                <w:bCs/>
                <w:color w:val="000000"/>
                <w:sz w:val="24"/>
                <w:szCs w:val="24"/>
              </w:rPr>
              <w:t>不达标城市新建、改建和扩建项目大气污染物实施“倍量替代”，执行特别排放标准的行业实施提标升级改造。</w:t>
            </w:r>
            <w:r>
              <w:rPr>
                <w:rFonts w:hint="eastAsia" w:ascii="Times New Roman" w:hAnsi="Times New Roman" w:eastAsia="宋体" w:cs="Times New Roman"/>
                <w:kern w:val="0"/>
                <w:sz w:val="24"/>
                <w:szCs w:val="24"/>
                <w:lang w:eastAsia="zh-CN"/>
              </w:rPr>
              <w:t>”</w:t>
            </w:r>
          </w:p>
          <w:p w14:paraId="40D7B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根据淮北市生态环境局于202</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年发布的《2023年度淮北市生态环境状况公报》，本项目所在区域</w:t>
            </w:r>
            <w:r>
              <w:rPr>
                <w:rFonts w:hint="default" w:ascii="Times New Roman" w:hAnsi="Times New Roman" w:cs="Times New Roman"/>
                <w:sz w:val="24"/>
                <w:szCs w:val="24"/>
                <w:lang w:val="en-US" w:eastAsia="zh-CN"/>
              </w:rPr>
              <w:t>大气污染物</w:t>
            </w:r>
            <w:r>
              <w:rPr>
                <w:rFonts w:hint="default" w:ascii="Times New Roman" w:hAnsi="Times New Roman" w:cs="Times New Roman"/>
                <w:sz w:val="24"/>
                <w:szCs w:val="24"/>
              </w:rPr>
              <w:t>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年平均浓度值、NO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年平均浓度值满足《环境空气质量标准》(GB3095-2012)中</w:t>
            </w:r>
            <w:r>
              <w:rPr>
                <w:rFonts w:hint="default" w:ascii="Times New Roman" w:hAnsi="Times New Roman" w:cs="Times New Roman"/>
                <w:sz w:val="24"/>
                <w:szCs w:val="24"/>
                <w:lang w:val="en-US" w:eastAsia="zh-CN"/>
              </w:rPr>
              <w:t>一</w:t>
            </w:r>
            <w:r>
              <w:rPr>
                <w:rFonts w:hint="default" w:ascii="Times New Roman" w:hAnsi="Times New Roman" w:cs="Times New Roman"/>
                <w:sz w:val="24"/>
                <w:szCs w:val="24"/>
              </w:rPr>
              <w:t>级标准；CO24小时平均第95百分位数浓度值、PM10年平均浓度值均满足《环境空气质量标准》(GB3095-2012)中二级标准；O</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最大8小时平均第90百分数浓度值、PM2.5年平均浓度值均未</w:t>
            </w:r>
            <w:r>
              <w:rPr>
                <w:rFonts w:hint="default" w:ascii="Times New Roman" w:hAnsi="Times New Roman" w:cs="Times New Roman"/>
                <w:sz w:val="24"/>
                <w:szCs w:val="24"/>
                <w:lang w:val="en-US" w:eastAsia="zh-CN"/>
              </w:rPr>
              <w:t>达到</w:t>
            </w:r>
            <w:r>
              <w:rPr>
                <w:rFonts w:hint="default" w:ascii="Times New Roman" w:hAnsi="Times New Roman" w:cs="Times New Roman"/>
                <w:sz w:val="24"/>
                <w:szCs w:val="24"/>
              </w:rPr>
              <w:t>《环境空气质量标准》（GB3095-2012）二级标准。</w:t>
            </w:r>
            <w:r>
              <w:rPr>
                <w:rFonts w:hint="default" w:ascii="Times New Roman" w:hAnsi="Times New Roman" w:cs="Times New Roman"/>
                <w:sz w:val="24"/>
                <w:szCs w:val="24"/>
                <w:lang w:val="en-US" w:eastAsia="zh-CN"/>
              </w:rPr>
              <w:t>因此，</w:t>
            </w:r>
            <w:r>
              <w:rPr>
                <w:rFonts w:hint="default" w:ascii="Times New Roman" w:hAnsi="Times New Roman" w:cs="Times New Roman"/>
                <w:sz w:val="24"/>
                <w:szCs w:val="24"/>
              </w:rPr>
              <w:t>项目所在区域属于环境空气属于不达标区，不达标因子为PM</w:t>
            </w:r>
            <w:r>
              <w:rPr>
                <w:rFonts w:hint="default" w:ascii="Times New Roman" w:hAnsi="Times New Roman" w:cs="Times New Roman"/>
                <w:sz w:val="24"/>
                <w:szCs w:val="24"/>
                <w:vertAlign w:val="subscript"/>
              </w:rPr>
              <w:t>2.5</w:t>
            </w:r>
            <w:r>
              <w:rPr>
                <w:rFonts w:hint="default" w:ascii="Times New Roman" w:hAnsi="Times New Roman" w:cs="Times New Roman"/>
                <w:sz w:val="24"/>
                <w:szCs w:val="24"/>
              </w:rPr>
              <w:t>、O</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w:t>
            </w:r>
          </w:p>
          <w:p w14:paraId="7F9EB8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kern w:val="0"/>
                <w:sz w:val="24"/>
                <w:szCs w:val="24"/>
                <w:lang w:bidi="ar"/>
              </w:rPr>
            </w:pPr>
            <w:r>
              <w:rPr>
                <w:rFonts w:hint="default" w:ascii="Times New Roman" w:hAnsi="Times New Roman" w:cs="Times New Roman"/>
                <w:sz w:val="24"/>
                <w:szCs w:val="24"/>
                <w:lang w:val="en-US" w:eastAsia="zh-CN"/>
              </w:rPr>
              <w:t>该项目所在区域通过市政府大力推进锅炉淘汰改造、施工工地扬尘治理、强化移动污染源防治等系列整治措施，区域大气环境将得到改善。本</w:t>
            </w:r>
            <w:r>
              <w:rPr>
                <w:rFonts w:hint="default" w:ascii="Times New Roman" w:hAnsi="Times New Roman" w:cs="Times New Roman"/>
                <w:sz w:val="24"/>
                <w:szCs w:val="24"/>
              </w:rPr>
              <w:t>项目排放的废气污染物主要为颗粒物，</w:t>
            </w:r>
            <w:r>
              <w:rPr>
                <w:rFonts w:hint="default" w:ascii="Times New Roman" w:hAnsi="Times New Roman" w:cs="Times New Roman"/>
                <w:color w:val="000000"/>
                <w:kern w:val="0"/>
                <w:sz w:val="24"/>
                <w:szCs w:val="24"/>
                <w:lang w:bidi="ar"/>
              </w:rPr>
              <w:t>粉碎粉尘经粉碎机自带的布袋除尘器（除尘效率按95%）处理后，在车间内无组织排放</w:t>
            </w:r>
            <w:r>
              <w:rPr>
                <w:rFonts w:hint="default" w:ascii="Times New Roman" w:hAnsi="Times New Roman" w:cs="Times New Roman"/>
                <w:color w:val="000000"/>
                <w:kern w:val="0"/>
                <w:sz w:val="24"/>
                <w:szCs w:val="24"/>
                <w:lang w:eastAsia="zh-CN" w:bidi="ar"/>
              </w:rPr>
              <w:t>；</w:t>
            </w:r>
            <w:r>
              <w:rPr>
                <w:rFonts w:hint="default" w:ascii="Times New Roman" w:hAnsi="Times New Roman" w:cs="Times New Roman"/>
                <w:color w:val="auto"/>
                <w:sz w:val="24"/>
                <w:lang w:val="en-US" w:eastAsia="zh-CN"/>
              </w:rPr>
              <w:t>配料粉尘采取配料间封闭、定期清扫地面措施</w:t>
            </w:r>
            <w:r>
              <w:rPr>
                <w:rFonts w:hint="default" w:ascii="Times New Roman" w:hAnsi="Times New Roman" w:cs="Times New Roman"/>
                <w:sz w:val="24"/>
                <w:szCs w:val="24"/>
                <w:lang w:val="en-US" w:eastAsia="zh-CN"/>
              </w:rPr>
              <w:t>。</w:t>
            </w:r>
            <w:r>
              <w:rPr>
                <w:rFonts w:hint="eastAsia" w:cs="Times New Roman"/>
                <w:sz w:val="24"/>
                <w:szCs w:val="24"/>
                <w:lang w:val="en-US" w:eastAsia="zh-CN"/>
              </w:rPr>
              <w:t>因此，</w:t>
            </w:r>
            <w:r>
              <w:rPr>
                <w:rFonts w:hint="default"/>
                <w:kern w:val="0"/>
                <w:sz w:val="24"/>
                <w:lang w:bidi="ar"/>
              </w:rPr>
              <w:t>本项目在生产过程中颗粒物均能达标排放，不会降低现有环境质量。</w:t>
            </w:r>
            <w:r>
              <w:rPr>
                <w:rFonts w:hint="default" w:ascii="Times New Roman" w:hAnsi="Times New Roman" w:cs="Times New Roman"/>
                <w:kern w:val="0"/>
                <w:sz w:val="24"/>
                <w:szCs w:val="24"/>
                <w:lang w:bidi="ar"/>
              </w:rPr>
              <w:t>符合大气环境质量底线及环境分区管控要求。</w:t>
            </w:r>
          </w:p>
          <w:p w14:paraId="1D2EB74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lang w:val="en-US" w:eastAsia="zh-CN"/>
              </w:rPr>
            </w:pPr>
            <w:r>
              <w:rPr>
                <w:rFonts w:hint="eastAsia" w:ascii="Times New Roman" w:hAnsi="Times New Roman" w:cs="Times New Roman"/>
                <w:color w:val="auto"/>
                <w:sz w:val="24"/>
                <w:szCs w:val="24"/>
                <w:lang w:val="en-US" w:eastAsia="zh-CN"/>
              </w:rPr>
              <w:t>本项目与淮北市大气环境分区管控位置关系见附图</w:t>
            </w:r>
            <w:r>
              <w:rPr>
                <w:rFonts w:hint="eastAsia" w:cs="Times New Roman"/>
                <w:color w:val="auto"/>
                <w:sz w:val="24"/>
                <w:szCs w:val="24"/>
                <w:lang w:val="en-US" w:eastAsia="zh-CN"/>
              </w:rPr>
              <w:t>5</w:t>
            </w:r>
            <w:r>
              <w:rPr>
                <w:rFonts w:hint="default" w:ascii="Times New Roman" w:hAnsi="Times New Roman" w:cs="Times New Roman"/>
                <w:color w:val="auto"/>
                <w:sz w:val="24"/>
                <w:szCs w:val="24"/>
              </w:rPr>
              <w:t>。</w:t>
            </w:r>
          </w:p>
          <w:p w14:paraId="36919CA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rPr>
              <w:t>②</w:t>
            </w:r>
            <w:r>
              <w:rPr>
                <w:rFonts w:hint="default" w:ascii="Times New Roman" w:hAnsi="Times New Roman" w:eastAsia="宋体" w:cs="Times New Roman"/>
                <w:kern w:val="0"/>
                <w:sz w:val="24"/>
                <w:szCs w:val="24"/>
              </w:rPr>
              <w:t>水环境质量底线及环境分区管控</w:t>
            </w:r>
          </w:p>
          <w:p w14:paraId="6A8479B9">
            <w:pPr>
              <w:keepNext w:val="0"/>
              <w:keepLines w:val="0"/>
              <w:suppressLineNumbers w:val="0"/>
              <w:autoSpaceDE w:val="0"/>
              <w:spacing w:before="0" w:beforeAutospacing="0" w:after="0" w:afterAutospacing="0" w:line="360" w:lineRule="auto"/>
              <w:ind w:left="0" w:right="0" w:firstLine="480" w:firstLineChars="200"/>
              <w:rPr>
                <w:rFonts w:hint="default" w:ascii="Times New Roman" w:hAnsi="Times New Roman" w:cs="Times New Roman"/>
                <w:bCs/>
                <w:sz w:val="24"/>
              </w:rPr>
            </w:pPr>
            <w:r>
              <w:rPr>
                <w:rFonts w:hint="eastAsia" w:ascii="Times New Roman" w:hAnsi="Times New Roman" w:cs="Times New Roman"/>
                <w:bCs/>
                <w:sz w:val="24"/>
              </w:rPr>
              <w:t>对照</w:t>
            </w:r>
            <w:r>
              <w:rPr>
                <w:rFonts w:hint="eastAsia" w:ascii="Times New Roman" w:hAnsi="Times New Roman" w:cs="宋体"/>
                <w:sz w:val="24"/>
                <w:szCs w:val="24"/>
                <w:lang w:val="en-US" w:eastAsia="zh-CN"/>
              </w:rPr>
              <w:t>淮北市水环境分区管控图</w:t>
            </w:r>
            <w:r>
              <w:rPr>
                <w:rFonts w:hint="eastAsia" w:ascii="Times New Roman" w:hAnsi="Times New Roman" w:cs="Times New Roman"/>
                <w:bCs/>
                <w:sz w:val="24"/>
              </w:rPr>
              <w:t>，项目位于工业污染重点管控区。</w:t>
            </w:r>
          </w:p>
          <w:p w14:paraId="2ACEBB00">
            <w:pPr>
              <w:keepNext w:val="0"/>
              <w:keepLines w:val="0"/>
              <w:suppressLineNumbers w:val="0"/>
              <w:autoSpaceDE w:val="0"/>
              <w:spacing w:before="0" w:beforeAutospacing="0" w:after="0" w:afterAutospacing="0" w:line="360" w:lineRule="auto"/>
              <w:ind w:left="0" w:right="0" w:firstLine="480" w:firstLineChars="200"/>
              <w:rPr>
                <w:rFonts w:hint="eastAsia" w:ascii="Times New Roman" w:hAnsi="Times New Roman" w:cs="Times New Roman"/>
                <w:bCs/>
                <w:sz w:val="24"/>
                <w:lang w:val="en-US" w:eastAsia="zh-CN"/>
              </w:rPr>
            </w:pPr>
            <w:r>
              <w:rPr>
                <w:rFonts w:hint="eastAsia" w:ascii="Times New Roman" w:hAnsi="Times New Roman" w:cs="Times New Roman"/>
                <w:bCs/>
                <w:sz w:val="24"/>
              </w:rPr>
              <w:t>重点管控区要求：“依据《中华人民共和国水污染防治法》《水污染防治行动计划</w:t>
            </w:r>
            <w:r>
              <w:rPr>
                <w:rFonts w:hint="eastAsia" w:ascii="Times New Roman" w:hAnsi="Times New Roman" w:cs="Times New Roman"/>
                <w:bCs/>
                <w:sz w:val="24"/>
                <w:lang w:eastAsia="zh-CN"/>
              </w:rPr>
              <w:t>》《</w:t>
            </w:r>
            <w:r>
              <w:rPr>
                <w:rFonts w:hint="eastAsia" w:ascii="Times New Roman" w:hAnsi="Times New Roman" w:cs="Times New Roman"/>
                <w:bCs/>
                <w:sz w:val="24"/>
              </w:rPr>
              <w:t>安徽省水污染防治工作方案》及各市水污染防治工作方案对重点管控区实施管控；依据《安徽省淮河流域水污染防治条例》对淮河流域实施管控；依据开发区规划、规划环评及审查意见相关要求对开发区实施管控；落实《“十</w:t>
            </w:r>
            <w:r>
              <w:rPr>
                <w:rFonts w:hint="eastAsia" w:ascii="Times New Roman" w:hAnsi="Times New Roman" w:cs="Times New Roman"/>
                <w:bCs/>
                <w:sz w:val="24"/>
                <w:lang w:val="en-US" w:eastAsia="zh-CN"/>
              </w:rPr>
              <w:t>四</w:t>
            </w:r>
            <w:r>
              <w:rPr>
                <w:rFonts w:hint="eastAsia" w:ascii="Times New Roman" w:hAnsi="Times New Roman" w:cs="Times New Roman"/>
                <w:bCs/>
                <w:sz w:val="24"/>
              </w:rPr>
              <w:t>五”生态环境保护规划》、《安徽省“</w:t>
            </w:r>
            <w:r>
              <w:rPr>
                <w:rFonts w:hint="eastAsia" w:ascii="Times New Roman" w:hAnsi="Times New Roman" w:cs="Times New Roman"/>
                <w:bCs/>
                <w:sz w:val="24"/>
                <w:lang w:val="en-US" w:eastAsia="zh-CN"/>
              </w:rPr>
              <w:t>十四五</w:t>
            </w:r>
            <w:r>
              <w:rPr>
                <w:rFonts w:hint="eastAsia" w:ascii="Times New Roman" w:hAnsi="Times New Roman" w:cs="Times New Roman"/>
                <w:bCs/>
                <w:sz w:val="24"/>
              </w:rPr>
              <w:t>”</w:t>
            </w:r>
            <w:r>
              <w:rPr>
                <w:rFonts w:hint="eastAsia" w:ascii="Times New Roman" w:hAnsi="Times New Roman" w:cs="Times New Roman"/>
                <w:bCs/>
                <w:sz w:val="24"/>
                <w:lang w:val="en-US" w:eastAsia="zh-CN"/>
              </w:rPr>
              <w:t>生态</w:t>
            </w:r>
            <w:r>
              <w:rPr>
                <w:rFonts w:hint="eastAsia" w:ascii="Times New Roman" w:hAnsi="Times New Roman" w:cs="Times New Roman"/>
                <w:bCs/>
                <w:sz w:val="24"/>
              </w:rPr>
              <w:t>环境保护规划》《安徽省“十</w:t>
            </w:r>
            <w:r>
              <w:rPr>
                <w:rFonts w:hint="eastAsia" w:ascii="Times New Roman" w:hAnsi="Times New Roman" w:cs="Times New Roman"/>
                <w:bCs/>
                <w:sz w:val="24"/>
                <w:lang w:val="en-US" w:eastAsia="zh-CN"/>
              </w:rPr>
              <w:t>四</w:t>
            </w:r>
            <w:r>
              <w:rPr>
                <w:rFonts w:hint="eastAsia" w:ascii="Times New Roman" w:hAnsi="Times New Roman" w:cs="Times New Roman"/>
                <w:bCs/>
                <w:sz w:val="24"/>
              </w:rPr>
              <w:t>五”节能减排实施方案》</w:t>
            </w:r>
            <w:r>
              <w:rPr>
                <w:rFonts w:hint="eastAsia" w:ascii="Times New Roman" w:hAnsi="Times New Roman" w:cs="宋体"/>
                <w:color w:val="auto"/>
                <w:sz w:val="24"/>
                <w:szCs w:val="24"/>
              </w:rPr>
              <w:t>《淮北市“十四五”生态环境保护规划》《淮北市“十四五”水生态环境保护专项规划》《淮北市“十四五”节能减排方案》《淮北市水污染防治工作方案》</w:t>
            </w:r>
            <w:r>
              <w:rPr>
                <w:rFonts w:hint="eastAsia" w:ascii="Times New Roman" w:hAnsi="Times New Roman" w:cs="Times New Roman"/>
                <w:bCs/>
                <w:sz w:val="24"/>
              </w:rPr>
              <w:t>等要求，新建、改建和扩建项目水污染物实施“等量替代”。</w:t>
            </w:r>
            <w:r>
              <w:rPr>
                <w:rFonts w:hint="eastAsia" w:ascii="Times New Roman" w:hAnsi="Times New Roman" w:cs="Times New Roman"/>
                <w:bCs/>
                <w:sz w:val="24"/>
                <w:lang w:val="en-US" w:eastAsia="zh-CN"/>
              </w:rPr>
              <w:t xml:space="preserve">  </w:t>
            </w:r>
          </w:p>
          <w:p w14:paraId="42159231">
            <w:pPr>
              <w:keepNext w:val="0"/>
              <w:keepLines w:val="0"/>
              <w:suppressLineNumbers w:val="0"/>
              <w:autoSpaceDE w:val="0"/>
              <w:spacing w:before="0" w:beforeAutospacing="0" w:after="0" w:afterAutospacing="0" w:line="360" w:lineRule="auto"/>
              <w:ind w:left="0" w:right="0" w:firstLine="480" w:firstLineChars="200"/>
              <w:rPr>
                <w:rFonts w:hint="default" w:ascii="Times New Roman" w:hAnsi="Times New Roman" w:cs="Times New Roman"/>
                <w:kern w:val="0"/>
                <w:sz w:val="24"/>
              </w:rPr>
            </w:pPr>
            <w:r>
              <w:rPr>
                <w:rFonts w:hint="default" w:ascii="Times New Roman" w:hAnsi="Times New Roman" w:cs="Times New Roman"/>
                <w:bCs/>
                <w:sz w:val="24"/>
              </w:rPr>
              <w:t>根据《2023年度淮北市生态环境状况公报》，2023年淮北市地表水四条主要河流10个国控（省控）断面中，水质为Ⅲ类的断面2个，占20%，分别为濉河符离闸（出境）、澥河李大桥闸（出境）；水质为Ⅳ类的断面7个，占70%，分别为濉河后黄里（入境）、濉河淮纺闸、濉河黄桥闸、沱河肖家、沱河后常桥（出境）、浍河三姓楼（入境）、浍河东坪集（出境）；水质为Ⅴ类的断面1个，占10%，为沱河小王桥（入境）</w:t>
            </w:r>
            <w:r>
              <w:rPr>
                <w:rFonts w:hint="default" w:ascii="Times New Roman" w:hAnsi="Times New Roman" w:cs="Times New Roman"/>
                <w:sz w:val="24"/>
              </w:rPr>
              <w:t>。</w:t>
            </w:r>
            <w:r>
              <w:rPr>
                <w:rFonts w:hint="default" w:ascii="Times New Roman" w:hAnsi="Times New Roman" w:cs="Times New Roman"/>
                <w:kern w:val="0"/>
                <w:sz w:val="24"/>
              </w:rPr>
              <w:t>本项目</w:t>
            </w:r>
            <w:r>
              <w:rPr>
                <w:rFonts w:hint="eastAsia" w:ascii="Times New Roman" w:hAnsi="Times New Roman" w:cs="Times New Roman"/>
                <w:kern w:val="0"/>
                <w:sz w:val="24"/>
              </w:rPr>
              <w:t>生产废水</w:t>
            </w:r>
            <w:r>
              <w:rPr>
                <w:rFonts w:hint="default" w:ascii="Times New Roman" w:hAnsi="Times New Roman" w:cs="Times New Roman"/>
                <w:kern w:val="0"/>
                <w:sz w:val="24"/>
              </w:rPr>
              <w:t>经污水处理设施</w:t>
            </w:r>
            <w:r>
              <w:rPr>
                <w:rFonts w:hint="eastAsia" w:ascii="Times New Roman" w:hAnsi="Times New Roman" w:cs="Times New Roman"/>
                <w:kern w:val="0"/>
                <w:sz w:val="24"/>
                <w:lang w:eastAsia="zh-CN"/>
              </w:rPr>
              <w:t>（</w:t>
            </w:r>
            <w:r>
              <w:rPr>
                <w:rFonts w:hint="eastAsia" w:ascii="Times New Roman" w:hAnsi="Times New Roman" w:cs="Times New Roman"/>
                <w:kern w:val="0"/>
                <w:sz w:val="24"/>
                <w:lang w:val="en-US" w:eastAsia="zh-CN"/>
              </w:rPr>
              <w:t>沉淀池</w:t>
            </w:r>
            <w:r>
              <w:rPr>
                <w:rFonts w:hint="eastAsia" w:ascii="Times New Roman" w:hAnsi="Times New Roman" w:cs="Times New Roman"/>
                <w:kern w:val="0"/>
                <w:sz w:val="24"/>
                <w:lang w:eastAsia="zh-CN"/>
              </w:rPr>
              <w:t>）、</w:t>
            </w:r>
            <w:r>
              <w:rPr>
                <w:rFonts w:hint="eastAsia" w:ascii="Times New Roman" w:hAnsi="Times New Roman" w:cs="Times New Roman"/>
                <w:kern w:val="0"/>
                <w:sz w:val="24"/>
                <w:lang w:val="en-US" w:eastAsia="zh-CN"/>
              </w:rPr>
              <w:t>生活污水经化粪池</w:t>
            </w:r>
            <w:r>
              <w:rPr>
                <w:rFonts w:hint="default" w:ascii="Times New Roman" w:hAnsi="Times New Roman" w:cs="Times New Roman"/>
                <w:kern w:val="0"/>
                <w:sz w:val="24"/>
              </w:rPr>
              <w:t>处理后满足</w:t>
            </w:r>
            <w:r>
              <w:rPr>
                <w:rFonts w:hint="default" w:ascii="Times New Roman" w:hAnsi="Times New Roman" w:cs="Times New Roman"/>
                <w:sz w:val="24"/>
              </w:rPr>
              <w:t>《污水综合排放标准》（GB8978-1996）表4中三级标准及</w:t>
            </w:r>
            <w:r>
              <w:rPr>
                <w:rFonts w:hint="eastAsia"/>
                <w:sz w:val="24"/>
              </w:rPr>
              <w:t>安徽淮相科技发展有限公司第二污水处理厂</w:t>
            </w:r>
            <w:r>
              <w:rPr>
                <w:rFonts w:hint="default" w:ascii="Times New Roman" w:hAnsi="Times New Roman" w:cs="Times New Roman"/>
                <w:sz w:val="24"/>
              </w:rPr>
              <w:t>接管</w:t>
            </w:r>
            <w:r>
              <w:rPr>
                <w:rFonts w:hint="eastAsia" w:ascii="Times New Roman" w:hAnsi="Times New Roman" w:cs="Times New Roman"/>
                <w:sz w:val="24"/>
              </w:rPr>
              <w:t>限值</w:t>
            </w:r>
            <w:r>
              <w:rPr>
                <w:rFonts w:hint="default" w:ascii="Times New Roman" w:hAnsi="Times New Roman" w:cs="Times New Roman"/>
                <w:kern w:val="0"/>
                <w:sz w:val="24"/>
              </w:rPr>
              <w:t>，接管入</w:t>
            </w:r>
            <w:r>
              <w:rPr>
                <w:rFonts w:hint="eastAsia"/>
                <w:sz w:val="24"/>
              </w:rPr>
              <w:t>安徽淮相科技发展有限公司第二污水处理厂</w:t>
            </w:r>
            <w:r>
              <w:rPr>
                <w:rFonts w:hint="default" w:ascii="Times New Roman" w:hAnsi="Times New Roman" w:cs="Times New Roman"/>
                <w:kern w:val="0"/>
                <w:sz w:val="24"/>
              </w:rPr>
              <w:t>综合处理，</w:t>
            </w:r>
            <w:r>
              <w:rPr>
                <w:rFonts w:hint="default"/>
                <w:kern w:val="0"/>
                <w:sz w:val="24"/>
              </w:rPr>
              <w:t>出水水质执行《城镇污水处理厂污染物排放标准》（GB18918-2002）一级标准中的A类标准，其中COD、氨氮参照执行《巢湖流域城镇污水处理厂和工业行业主要水污染物排放限值》(DB 34/2710-2016)中I类</w:t>
            </w:r>
            <w:r>
              <w:rPr>
                <w:rFonts w:hint="eastAsia"/>
                <w:kern w:val="0"/>
                <w:sz w:val="24"/>
                <w:lang w:eastAsia="zh-CN"/>
              </w:rPr>
              <w:t>，</w:t>
            </w:r>
            <w:r>
              <w:rPr>
                <w:rFonts w:hint="eastAsia"/>
                <w:kern w:val="0"/>
                <w:sz w:val="24"/>
                <w:lang w:val="en-US" w:eastAsia="zh-CN"/>
              </w:rPr>
              <w:t>最终排入</w:t>
            </w:r>
            <w:r>
              <w:rPr>
                <w:rFonts w:hint="eastAsia" w:ascii="Times New Roman" w:hAnsi="Times New Roman" w:cs="Times New Roman"/>
                <w:kern w:val="0"/>
                <w:sz w:val="24"/>
              </w:rPr>
              <w:t>老濉河</w:t>
            </w:r>
            <w:r>
              <w:rPr>
                <w:rFonts w:hint="default" w:ascii="Times New Roman" w:hAnsi="Times New Roman" w:cs="Times New Roman"/>
                <w:kern w:val="0"/>
                <w:sz w:val="24"/>
              </w:rPr>
              <w:t>，对</w:t>
            </w:r>
            <w:r>
              <w:rPr>
                <w:rFonts w:hint="eastAsia" w:ascii="Times New Roman" w:hAnsi="Times New Roman" w:cs="Times New Roman"/>
                <w:kern w:val="0"/>
                <w:sz w:val="24"/>
              </w:rPr>
              <w:t>老濉河</w:t>
            </w:r>
            <w:r>
              <w:rPr>
                <w:rFonts w:hint="default" w:ascii="Times New Roman" w:hAnsi="Times New Roman" w:cs="Times New Roman"/>
                <w:kern w:val="0"/>
                <w:sz w:val="24"/>
              </w:rPr>
              <w:t>的影响可接受，不会突破水环境质量底线。</w:t>
            </w:r>
          </w:p>
          <w:p w14:paraId="32E1984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lang w:val="en-US"/>
              </w:rPr>
            </w:pPr>
            <w:r>
              <w:rPr>
                <w:rFonts w:hint="eastAsia" w:ascii="Times New Roman" w:hAnsi="Times New Roman" w:cs="宋体"/>
                <w:sz w:val="24"/>
                <w:szCs w:val="24"/>
                <w:lang w:val="en-US" w:eastAsia="zh-CN"/>
              </w:rPr>
              <w:t>本项目与淮北市水环境分区管控位置关系见附图</w:t>
            </w:r>
            <w:r>
              <w:rPr>
                <w:rFonts w:hint="eastAsia" w:cs="宋体"/>
                <w:sz w:val="24"/>
                <w:szCs w:val="24"/>
                <w:lang w:val="en-US" w:eastAsia="zh-CN"/>
              </w:rPr>
              <w:t>6</w:t>
            </w:r>
            <w:r>
              <w:rPr>
                <w:rFonts w:hint="eastAsia" w:ascii="Times New Roman" w:hAnsi="Times New Roman" w:cs="宋体"/>
                <w:sz w:val="24"/>
                <w:szCs w:val="24"/>
                <w:lang w:val="en-US" w:eastAsia="zh-CN"/>
              </w:rPr>
              <w:t>。</w:t>
            </w:r>
          </w:p>
          <w:p w14:paraId="783B3445">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sz w:val="24"/>
                <w:szCs w:val="24"/>
              </w:rPr>
              <w:t>③</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lang w:val="en-US" w:eastAsia="zh-CN"/>
              </w:rPr>
              <w:t>土壤环境风险防控底线及分区管控</w:t>
            </w:r>
          </w:p>
          <w:p w14:paraId="7C0608C8">
            <w:pPr>
              <w:pStyle w:val="47"/>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rPr>
            </w:pPr>
            <w:r>
              <w:rPr>
                <w:rFonts w:hint="eastAsia"/>
              </w:rPr>
              <w:t>对照淮北市土壤环境风险分区管控图，本项目位于一般管控区。</w:t>
            </w:r>
          </w:p>
          <w:p w14:paraId="0731A842">
            <w:pPr>
              <w:keepNext w:val="0"/>
              <w:keepLines w:val="0"/>
              <w:pageBreakBefore w:val="0"/>
              <w:widowControl w:val="0"/>
              <w:suppressLineNumbers w:val="0"/>
              <w:kinsoku/>
              <w:wordWrap/>
              <w:overflowPunct/>
              <w:topLinePunct w:val="0"/>
              <w:autoSpaceDE w:val="0"/>
              <w:bidi w:val="0"/>
              <w:snapToGrid/>
              <w:spacing w:before="0" w:beforeAutospacing="0" w:after="0" w:afterAutospacing="0" w:line="360" w:lineRule="auto"/>
              <w:ind w:left="0" w:right="0" w:firstLine="480" w:firstLineChars="200"/>
              <w:textAlignment w:val="auto"/>
              <w:rPr>
                <w:rFonts w:hint="default" w:ascii="Times New Roman" w:hAnsi="Times New Roman" w:cs="Times New Roman"/>
                <w:kern w:val="0"/>
                <w:sz w:val="24"/>
              </w:rPr>
            </w:pPr>
            <w:r>
              <w:rPr>
                <w:rFonts w:hint="eastAsia" w:ascii="Times New Roman" w:hAnsi="Times New Roman" w:cs="Times New Roman"/>
                <w:kern w:val="0"/>
                <w:sz w:val="24"/>
              </w:rPr>
              <w:t>一般防控区：“依据《中华人民共和国土壤污染防治法》、《土壤污染防治行动计划》、《安徽省土壤污染防治工作方案》、《安徽省“十</w:t>
            </w:r>
            <w:r>
              <w:rPr>
                <w:rFonts w:hint="eastAsia" w:ascii="Times New Roman" w:hAnsi="Times New Roman" w:cs="Times New Roman"/>
                <w:kern w:val="0"/>
                <w:sz w:val="24"/>
                <w:lang w:val="en-US" w:eastAsia="zh-CN"/>
              </w:rPr>
              <w:t>四</w:t>
            </w:r>
            <w:r>
              <w:rPr>
                <w:rFonts w:hint="eastAsia" w:ascii="Times New Roman" w:hAnsi="Times New Roman" w:cs="Times New Roman"/>
                <w:kern w:val="0"/>
                <w:sz w:val="24"/>
              </w:rPr>
              <w:t>五”环境保护规划》</w:t>
            </w:r>
            <w:r>
              <w:rPr>
                <w:rFonts w:hint="eastAsia" w:ascii="Times New Roman" w:hAnsi="Times New Roman" w:cs="Times New Roman"/>
                <w:color w:val="auto"/>
                <w:kern w:val="0"/>
                <w:sz w:val="24"/>
                <w:szCs w:val="24"/>
                <w:lang w:val="en-US" w:eastAsia="zh-CN"/>
              </w:rPr>
              <w:t>《安徽省“十四五”土壤、地下水和农村生态环境保护规划》《安徽省重金属污染防控工作方案》《安徽省“十四五”危险废物工业固体废物污染环境防治规划》《淮北市“十四五”土壤（地下水）和农村生态环境保护规划》</w:t>
            </w:r>
            <w:r>
              <w:rPr>
                <w:rFonts w:hint="eastAsia" w:ascii="Times New Roman" w:hAnsi="Times New Roman" w:cs="Times New Roman"/>
                <w:kern w:val="0"/>
                <w:sz w:val="24"/>
              </w:rPr>
              <w:t>等要求对一般管控区实施管控。”</w:t>
            </w:r>
          </w:p>
          <w:p w14:paraId="2B13DF42">
            <w:pPr>
              <w:keepNext w:val="0"/>
              <w:keepLines w:val="0"/>
              <w:pageBreakBefore w:val="0"/>
              <w:widowControl w:val="0"/>
              <w:suppressLineNumbers w:val="0"/>
              <w:kinsoku/>
              <w:wordWrap/>
              <w:overflowPunct/>
              <w:topLinePunct w:val="0"/>
              <w:autoSpaceDE w:val="0"/>
              <w:bidi w:val="0"/>
              <w:snapToGrid/>
              <w:spacing w:before="0" w:beforeAutospacing="0" w:after="0" w:afterAutospacing="0" w:line="360" w:lineRule="auto"/>
              <w:ind w:left="0" w:right="0" w:firstLine="480" w:firstLineChars="200"/>
              <w:textAlignment w:val="auto"/>
              <w:rPr>
                <w:rFonts w:hint="default" w:ascii="Times New Roman" w:hAnsi="Times New Roman" w:cs="Times New Roman"/>
                <w:kern w:val="0"/>
                <w:sz w:val="24"/>
              </w:rPr>
            </w:pPr>
            <w:r>
              <w:rPr>
                <w:rFonts w:hint="eastAsia" w:ascii="Times New Roman" w:hAnsi="Times New Roman" w:cs="Times New Roman"/>
                <w:kern w:val="0"/>
                <w:sz w:val="24"/>
              </w:rPr>
              <w:t>本项目</w:t>
            </w:r>
            <w:r>
              <w:rPr>
                <w:rFonts w:hint="eastAsia" w:ascii="Times New Roman" w:hAnsi="Times New Roman" w:cs="Times New Roman"/>
                <w:kern w:val="0"/>
                <w:sz w:val="24"/>
                <w:lang w:val="en-US" w:eastAsia="zh-CN"/>
              </w:rPr>
              <w:t>厂区采用</w:t>
            </w:r>
            <w:r>
              <w:rPr>
                <w:rFonts w:hint="eastAsia" w:ascii="Times New Roman" w:hAnsi="Times New Roman" w:cs="Times New Roman"/>
                <w:kern w:val="0"/>
                <w:sz w:val="24"/>
              </w:rPr>
              <w:t>雨污分流，产品生产废水经</w:t>
            </w:r>
            <w:r>
              <w:rPr>
                <w:rFonts w:hint="eastAsia" w:ascii="Times New Roman" w:hAnsi="Times New Roman" w:cs="Times New Roman"/>
                <w:kern w:val="0"/>
                <w:sz w:val="24"/>
                <w:lang w:val="en-US" w:eastAsia="zh-CN"/>
              </w:rPr>
              <w:t>沉淀池</w:t>
            </w:r>
            <w:r>
              <w:rPr>
                <w:rFonts w:hint="eastAsia" w:ascii="Times New Roman" w:hAnsi="Times New Roman" w:cs="Times New Roman"/>
                <w:kern w:val="0"/>
                <w:sz w:val="24"/>
              </w:rPr>
              <w:t>处理、生活污水经化粪池处理</w:t>
            </w:r>
            <w:r>
              <w:rPr>
                <w:rFonts w:hint="eastAsia" w:ascii="Times New Roman" w:hAnsi="Times New Roman" w:cs="Times New Roman"/>
                <w:kern w:val="0"/>
                <w:sz w:val="24"/>
                <w:lang w:val="en-US" w:eastAsia="zh-CN"/>
              </w:rPr>
              <w:t>达标后</w:t>
            </w:r>
            <w:r>
              <w:rPr>
                <w:rFonts w:hint="eastAsia" w:ascii="Times New Roman" w:hAnsi="Times New Roman" w:cs="Times New Roman"/>
                <w:kern w:val="0"/>
                <w:sz w:val="24"/>
              </w:rPr>
              <w:t>，</w:t>
            </w:r>
            <w:r>
              <w:rPr>
                <w:rFonts w:hint="eastAsia" w:ascii="Times New Roman" w:hAnsi="Times New Roman" w:cs="Times New Roman"/>
                <w:kern w:val="0"/>
                <w:sz w:val="24"/>
                <w:lang w:val="en-US" w:eastAsia="zh-CN"/>
              </w:rPr>
              <w:t>通过厂区废水总排口进入</w:t>
            </w:r>
            <w:r>
              <w:rPr>
                <w:rFonts w:hint="eastAsia"/>
                <w:kern w:val="0"/>
                <w:sz w:val="24"/>
              </w:rPr>
              <w:t>安徽淮相科技发展有限公司第二污水处理厂</w:t>
            </w:r>
            <w:r>
              <w:rPr>
                <w:rFonts w:hint="eastAsia" w:ascii="Times New Roman" w:hAnsi="Times New Roman" w:cs="Times New Roman"/>
                <w:kern w:val="0"/>
                <w:sz w:val="24"/>
                <w:lang w:val="en-US" w:eastAsia="zh-CN"/>
              </w:rPr>
              <w:t>进行</w:t>
            </w:r>
            <w:r>
              <w:rPr>
                <w:rFonts w:hint="eastAsia" w:ascii="Times New Roman" w:hAnsi="Times New Roman" w:cs="Times New Roman"/>
                <w:kern w:val="0"/>
                <w:sz w:val="24"/>
              </w:rPr>
              <w:t>综合处理</w:t>
            </w:r>
            <w:r>
              <w:rPr>
                <w:rFonts w:hint="eastAsia" w:ascii="Times New Roman" w:hAnsi="Times New Roman" w:cs="Times New Roman"/>
                <w:kern w:val="0"/>
                <w:sz w:val="24"/>
                <w:lang w:val="en-US" w:eastAsia="zh-CN"/>
              </w:rPr>
              <w:t>后达标排放</w:t>
            </w:r>
            <w:r>
              <w:rPr>
                <w:rFonts w:hint="eastAsia" w:ascii="Times New Roman" w:hAnsi="Times New Roman" w:cs="Times New Roman"/>
                <w:kern w:val="0"/>
                <w:sz w:val="24"/>
              </w:rPr>
              <w:t>。项目</w:t>
            </w:r>
            <w:r>
              <w:rPr>
                <w:rFonts w:hint="eastAsia" w:ascii="Times New Roman" w:hAnsi="Times New Roman" w:cs="Times New Roman"/>
                <w:kern w:val="0"/>
                <w:sz w:val="24"/>
                <w:lang w:val="en-US" w:eastAsia="zh-CN"/>
              </w:rPr>
              <w:t>厂区</w:t>
            </w:r>
            <w:r>
              <w:rPr>
                <w:rFonts w:hint="eastAsia" w:ascii="Times New Roman" w:hAnsi="Times New Roman" w:cs="Times New Roman"/>
                <w:kern w:val="0"/>
                <w:sz w:val="24"/>
              </w:rPr>
              <w:t>设置分区防渗、源头控制等措施，可将土壤影响降低到最低程度，总体上本项目建设不会对土壤环境造成影响</w:t>
            </w:r>
            <w:r>
              <w:rPr>
                <w:rFonts w:hint="default" w:ascii="Times New Roman" w:hAnsi="Times New Roman" w:cs="Times New Roman"/>
                <w:sz w:val="24"/>
                <w:szCs w:val="24"/>
              </w:rPr>
              <w:t>。</w:t>
            </w:r>
          </w:p>
          <w:p w14:paraId="7D7DAD76">
            <w:pPr>
              <w:pStyle w:val="58"/>
              <w:keepNext w:val="0"/>
              <w:keepLines w:val="0"/>
              <w:suppressLineNumbers w:val="0"/>
              <w:spacing w:before="0" w:beforeAutospacing="0" w:after="0" w:afterAutospacing="0" w:line="360" w:lineRule="auto"/>
              <w:ind w:left="0" w:right="0"/>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val="en-US" w:eastAsia="zh-CN"/>
              </w:rPr>
              <w:t>本项目与</w:t>
            </w:r>
            <w:r>
              <w:rPr>
                <w:rFonts w:hint="default" w:ascii="Times New Roman" w:hAnsi="Times New Roman" w:cs="Times New Roman"/>
                <w:sz w:val="24"/>
                <w:szCs w:val="24"/>
              </w:rPr>
              <w:t>淮北市土壤环境风险分区管控</w:t>
            </w:r>
            <w:r>
              <w:rPr>
                <w:rFonts w:hint="eastAsia" w:ascii="Times New Roman" w:hAnsi="Times New Roman" w:cs="Times New Roman"/>
                <w:sz w:val="24"/>
                <w:szCs w:val="24"/>
                <w:lang w:val="en-US" w:eastAsia="zh-CN"/>
              </w:rPr>
              <w:t>位置关系</w:t>
            </w:r>
            <w:r>
              <w:rPr>
                <w:rFonts w:hint="default" w:ascii="Times New Roman" w:hAnsi="Times New Roman" w:cs="Times New Roman"/>
                <w:sz w:val="24"/>
                <w:szCs w:val="24"/>
                <w:lang w:val="en-US" w:eastAsia="zh-CN"/>
              </w:rPr>
              <w:t>见附图</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w:t>
            </w:r>
          </w:p>
          <w:p w14:paraId="3F87E243">
            <w:pPr>
              <w:pStyle w:val="58"/>
              <w:keepNext w:val="0"/>
              <w:keepLines w:val="0"/>
              <w:suppressLineNumbers w:val="0"/>
              <w:spacing w:before="0" w:beforeAutospacing="0" w:after="0" w:afterAutospacing="0" w:line="360" w:lineRule="auto"/>
              <w:ind w:left="0" w:right="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资源利用上线及自然资源开发分区管控相符性</w:t>
            </w:r>
          </w:p>
          <w:p w14:paraId="79C7A3D8">
            <w:pPr>
              <w:pStyle w:val="58"/>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①煤炭资源利用上线及分区管控</w:t>
            </w:r>
          </w:p>
          <w:p w14:paraId="62500D4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kern w:val="0"/>
                <w:sz w:val="24"/>
                <w:szCs w:val="24"/>
                <w:lang w:val="en-US" w:eastAsia="zh-CN"/>
              </w:rPr>
            </w:pPr>
            <w:r>
              <w:rPr>
                <w:rFonts w:hint="eastAsia" w:ascii="宋体" w:hAnsi="宋体" w:eastAsia="宋体" w:cs="宋体"/>
                <w:kern w:val="0"/>
                <w:sz w:val="24"/>
                <w:szCs w:val="24"/>
                <w:lang w:eastAsia="zh-CN"/>
              </w:rPr>
              <w:t>对照淮北市高污染燃料禁燃区图，项目位于高污染燃料禁燃区</w:t>
            </w:r>
            <w:r>
              <w:rPr>
                <w:rFonts w:hint="eastAsia"/>
                <w:lang w:eastAsia="zh-CN"/>
              </w:rPr>
              <w:t>，</w:t>
            </w:r>
            <w:r>
              <w:rPr>
                <w:rFonts w:hint="eastAsia" w:ascii="Times New Roman" w:hAnsi="Times New Roman" w:cs="Times New Roman"/>
                <w:sz w:val="24"/>
                <w:szCs w:val="24"/>
                <w:lang w:val="en-US" w:eastAsia="zh-CN"/>
              </w:rPr>
              <w:t>本项目与</w:t>
            </w:r>
            <w:r>
              <w:rPr>
                <w:rFonts w:hint="default"/>
                <w:sz w:val="24"/>
              </w:rPr>
              <w:t>淮北市高污染燃料禁燃区</w:t>
            </w:r>
            <w:r>
              <w:rPr>
                <w:rFonts w:hint="eastAsia" w:ascii="Times New Roman" w:hAnsi="Times New Roman" w:cs="Times New Roman"/>
                <w:sz w:val="24"/>
                <w:szCs w:val="24"/>
                <w:lang w:val="en-US" w:eastAsia="zh-CN"/>
              </w:rPr>
              <w:t>位置关系</w:t>
            </w:r>
            <w:r>
              <w:rPr>
                <w:rFonts w:hint="default" w:ascii="Times New Roman" w:hAnsi="Times New Roman" w:cs="Times New Roman"/>
                <w:sz w:val="24"/>
                <w:szCs w:val="24"/>
                <w:lang w:val="en-US" w:eastAsia="zh-CN"/>
              </w:rPr>
              <w:t>见附图</w:t>
            </w:r>
            <w:r>
              <w:rPr>
                <w:rFonts w:hint="eastAsia" w:cs="Times New Roman"/>
                <w:sz w:val="24"/>
                <w:szCs w:val="24"/>
                <w:lang w:val="en-US" w:eastAsia="zh-CN"/>
              </w:rPr>
              <w:t>8。</w:t>
            </w:r>
          </w:p>
          <w:p w14:paraId="0AA0310D">
            <w:pPr>
              <w:pStyle w:val="58"/>
              <w:keepNext w:val="0"/>
              <w:keepLines w:val="0"/>
              <w:suppressLineNumbers w:val="0"/>
              <w:spacing w:before="0" w:beforeAutospacing="0" w:after="0" w:afterAutospacing="0" w:line="360" w:lineRule="auto"/>
              <w:ind w:left="0" w:right="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重点管控区：“高污染燃料禁燃区内，禁止销售、燃用高污染燃料；禁止新建、扩建燃用高污染燃料的设施（新建、改建集中供热和现有火电厂锅炉改造的除外，但煤炭消费量和污染物排放总量需满足相关规定要求），已建成的，应当改用天然气、液化石油气、电或者其他清洁能源。”</w:t>
            </w:r>
          </w:p>
          <w:p w14:paraId="26C312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本项目不使用煤炭等高污染燃料，</w:t>
            </w:r>
            <w:bookmarkStart w:id="2" w:name="OLE_LINK3"/>
            <w:r>
              <w:rPr>
                <w:rFonts w:hint="eastAsia" w:ascii="Times New Roman" w:hAnsi="Times New Roman" w:cs="Times New Roman"/>
                <w:color w:val="auto"/>
                <w:sz w:val="24"/>
                <w:szCs w:val="24"/>
                <w:lang w:eastAsia="zh-CN"/>
              </w:rPr>
              <w:t>使用</w:t>
            </w:r>
            <w:r>
              <w:rPr>
                <w:rFonts w:hint="eastAsia" w:ascii="Times New Roman" w:hAnsi="Times New Roman" w:cs="Times New Roman"/>
                <w:color w:val="auto"/>
                <w:sz w:val="24"/>
                <w:szCs w:val="24"/>
                <w:lang w:val="en-US" w:eastAsia="zh-CN"/>
              </w:rPr>
              <w:t>电能源</w:t>
            </w:r>
            <w:r>
              <w:rPr>
                <w:rFonts w:hint="eastAsia" w:ascii="Times New Roman" w:hAnsi="Times New Roman" w:cs="Times New Roman"/>
                <w:color w:val="auto"/>
                <w:sz w:val="24"/>
                <w:szCs w:val="24"/>
                <w:lang w:eastAsia="zh-CN"/>
              </w:rPr>
              <w:t>，</w:t>
            </w:r>
            <w:bookmarkEnd w:id="2"/>
            <w:r>
              <w:rPr>
                <w:rFonts w:hint="default" w:ascii="Times New Roman" w:hAnsi="Times New Roman" w:cs="Times New Roman"/>
                <w:color w:val="auto"/>
                <w:sz w:val="24"/>
                <w:szCs w:val="24"/>
              </w:rPr>
              <w:t>符合分区管控要求。</w:t>
            </w:r>
          </w:p>
          <w:p w14:paraId="41DD8E6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②水资源利用上线及分区管控</w:t>
            </w:r>
          </w:p>
          <w:p w14:paraId="47F5D5D5">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对照淮北市地下水开采重点管控区图，项目位于地下水开采一般管控区。</w:t>
            </w:r>
          </w:p>
          <w:p w14:paraId="6FF0D9F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管控要求：“</w:t>
            </w:r>
            <w:r>
              <w:rPr>
                <w:rFonts w:hint="eastAsia" w:ascii="仿宋" w:hAnsi="仿宋" w:cs="Times New Roman"/>
                <w:bCs/>
                <w:color w:val="000000"/>
                <w:sz w:val="24"/>
                <w:szCs w:val="24"/>
              </w:rPr>
              <w:t>落实《国务院办公厅关于印发实行最严格水资源管理制度考核办法的通知》《“十</w:t>
            </w:r>
            <w:r>
              <w:rPr>
                <w:rFonts w:hint="eastAsia" w:ascii="仿宋" w:hAnsi="仿宋" w:cs="Times New Roman"/>
                <w:bCs/>
                <w:color w:val="000000"/>
                <w:sz w:val="24"/>
                <w:szCs w:val="24"/>
                <w:lang w:eastAsia="zh-CN"/>
              </w:rPr>
              <w:t>四</w:t>
            </w:r>
            <w:r>
              <w:rPr>
                <w:rFonts w:hint="eastAsia" w:ascii="仿宋" w:hAnsi="仿宋" w:cs="Times New Roman"/>
                <w:bCs/>
                <w:color w:val="000000"/>
                <w:sz w:val="24"/>
                <w:szCs w:val="24"/>
              </w:rPr>
              <w:t>五”水资源消耗总量和强度双控行动方案》《安徽省“十</w:t>
            </w:r>
            <w:r>
              <w:rPr>
                <w:rFonts w:hint="eastAsia" w:ascii="仿宋" w:hAnsi="仿宋" w:cs="Times New Roman"/>
                <w:bCs/>
                <w:color w:val="000000"/>
                <w:sz w:val="24"/>
                <w:szCs w:val="24"/>
                <w:lang w:val="en-US" w:eastAsia="zh-CN"/>
              </w:rPr>
              <w:t>四</w:t>
            </w:r>
            <w:r>
              <w:rPr>
                <w:rFonts w:hint="eastAsia" w:ascii="仿宋" w:hAnsi="仿宋" w:cs="Times New Roman"/>
                <w:bCs/>
                <w:color w:val="000000"/>
                <w:sz w:val="24"/>
                <w:szCs w:val="24"/>
              </w:rPr>
              <w:t>五”水资源消耗总量和强度双控工作方案》等要求。</w:t>
            </w:r>
            <w:r>
              <w:rPr>
                <w:rFonts w:hint="eastAsia" w:ascii="Times New Roman" w:hAnsi="Times New Roman" w:cs="Times New Roman"/>
                <w:color w:val="auto"/>
                <w:sz w:val="24"/>
                <w:szCs w:val="24"/>
                <w:lang w:val="en-US" w:eastAsia="zh-CN"/>
              </w:rPr>
              <w:t>”</w:t>
            </w:r>
          </w:p>
          <w:p w14:paraId="75BCE9D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t>本项目用水来自市政供水管网，用水量较小，不属于高耗水行业，对水资源影响较小，</w:t>
            </w:r>
            <w:r>
              <w:rPr>
                <w:rFonts w:hint="default" w:ascii="Times New Roman" w:hAnsi="Times New Roman" w:cs="Times New Roman"/>
                <w:color w:val="auto"/>
                <w:sz w:val="24"/>
                <w:szCs w:val="24"/>
              </w:rPr>
              <w:t>不会突破水资源利用上线。</w:t>
            </w:r>
          </w:p>
          <w:p w14:paraId="095BBDC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③土地资源利用上线及分区管控</w:t>
            </w:r>
          </w:p>
          <w:p w14:paraId="45EF6197">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项目位于土地资源一般防控区。</w:t>
            </w:r>
          </w:p>
          <w:p w14:paraId="024E64AE">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000000"/>
                <w:sz w:val="24"/>
                <w:szCs w:val="24"/>
                <w:lang w:eastAsia="zh-CN"/>
              </w:rPr>
            </w:pPr>
            <w:r>
              <w:rPr>
                <w:rFonts w:hint="default" w:ascii="Times New Roman" w:hAnsi="Times New Roman" w:eastAsia="宋体" w:cs="Times New Roman"/>
                <w:kern w:val="0"/>
                <w:sz w:val="24"/>
                <w:szCs w:val="24"/>
                <w:lang w:eastAsia="zh-CN"/>
              </w:rPr>
              <w:t>管控要求：</w:t>
            </w:r>
            <w:r>
              <w:rPr>
                <w:rFonts w:hint="eastAsia" w:ascii="宋体" w:hAnsi="宋体" w:eastAsia="宋体" w:cs="宋体"/>
                <w:kern w:val="0"/>
                <w:sz w:val="24"/>
                <w:szCs w:val="24"/>
                <w:lang w:eastAsia="zh-CN"/>
              </w:rPr>
              <w:t>“</w:t>
            </w:r>
            <w:r>
              <w:rPr>
                <w:rFonts w:hint="eastAsia" w:ascii="宋体" w:hAnsi="宋体" w:eastAsia="宋体" w:cs="宋体"/>
                <w:bCs/>
                <w:color w:val="000000"/>
                <w:sz w:val="24"/>
                <w:szCs w:val="24"/>
              </w:rPr>
              <w:t>落实《安徽省土地利用总体规划（</w:t>
            </w:r>
            <w:r>
              <w:rPr>
                <w:rFonts w:hint="default" w:ascii="Times New Roman" w:hAnsi="Times New Roman" w:eastAsia="宋体" w:cs="Times New Roman"/>
                <w:bCs/>
                <w:color w:val="000000"/>
                <w:sz w:val="24"/>
                <w:szCs w:val="24"/>
              </w:rPr>
              <w:t>2006-2020年</w:t>
            </w:r>
            <w:r>
              <w:rPr>
                <w:rFonts w:hint="eastAsia" w:ascii="宋体" w:hAnsi="宋体" w:eastAsia="宋体" w:cs="宋体"/>
                <w:bCs/>
                <w:color w:val="000000"/>
                <w:sz w:val="24"/>
                <w:szCs w:val="24"/>
              </w:rPr>
              <w:t>）调整方案》《关于落实“十</w:t>
            </w:r>
            <w:r>
              <w:rPr>
                <w:rFonts w:hint="eastAsia" w:ascii="宋体" w:hAnsi="宋体" w:eastAsia="宋体" w:cs="宋体"/>
                <w:bCs/>
                <w:color w:val="000000"/>
                <w:sz w:val="24"/>
                <w:szCs w:val="24"/>
                <w:lang w:val="en-US" w:eastAsia="zh-CN"/>
              </w:rPr>
              <w:t>四</w:t>
            </w:r>
            <w:r>
              <w:rPr>
                <w:rFonts w:hint="eastAsia" w:ascii="宋体" w:hAnsi="宋体" w:eastAsia="宋体" w:cs="宋体"/>
                <w:bCs/>
                <w:color w:val="000000"/>
                <w:sz w:val="24"/>
                <w:szCs w:val="24"/>
              </w:rPr>
              <w:t>五”单位国内生产总值建设用地使用面积下降目标的指导意见的通知》《国土资源“十</w:t>
            </w:r>
            <w:r>
              <w:rPr>
                <w:rFonts w:hint="eastAsia" w:ascii="宋体" w:hAnsi="宋体" w:eastAsia="宋体" w:cs="宋体"/>
                <w:bCs/>
                <w:color w:val="000000"/>
                <w:sz w:val="24"/>
                <w:szCs w:val="24"/>
                <w:lang w:val="en-US" w:eastAsia="zh-CN"/>
              </w:rPr>
              <w:t>四</w:t>
            </w:r>
            <w:r>
              <w:rPr>
                <w:rFonts w:hint="eastAsia" w:ascii="宋体" w:hAnsi="宋体" w:eastAsia="宋体" w:cs="宋体"/>
                <w:bCs/>
                <w:color w:val="000000"/>
                <w:sz w:val="24"/>
                <w:szCs w:val="24"/>
              </w:rPr>
              <w:t>五”规划纲要》《安徽省国土资源“十</w:t>
            </w:r>
            <w:r>
              <w:rPr>
                <w:rFonts w:hint="eastAsia" w:ascii="宋体" w:hAnsi="宋体" w:eastAsia="宋体" w:cs="宋体"/>
                <w:bCs/>
                <w:color w:val="000000"/>
                <w:sz w:val="24"/>
                <w:szCs w:val="24"/>
                <w:lang w:val="en-US" w:eastAsia="zh-CN"/>
              </w:rPr>
              <w:t>四</w:t>
            </w:r>
            <w:r>
              <w:rPr>
                <w:rFonts w:hint="eastAsia" w:ascii="宋体" w:hAnsi="宋体" w:eastAsia="宋体" w:cs="宋体"/>
                <w:bCs/>
                <w:color w:val="000000"/>
                <w:sz w:val="24"/>
                <w:szCs w:val="24"/>
              </w:rPr>
              <w:t>五”规划》等要求。</w:t>
            </w:r>
            <w:r>
              <w:rPr>
                <w:rFonts w:hint="eastAsia" w:ascii="宋体" w:hAnsi="宋体" w:eastAsia="宋体" w:cs="宋体"/>
                <w:bCs/>
                <w:color w:val="000000"/>
                <w:sz w:val="24"/>
                <w:szCs w:val="24"/>
                <w:lang w:eastAsia="zh-CN"/>
              </w:rPr>
              <w:t>”</w:t>
            </w:r>
          </w:p>
          <w:p w14:paraId="105D1B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本项目用地为现有建设用地，不新增土地资源的利用</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不会突破土地资源利用上线。</w:t>
            </w:r>
          </w:p>
          <w:p w14:paraId="24012CC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kern w:val="0"/>
                <w:sz w:val="24"/>
              </w:rPr>
            </w:pPr>
            <w:r>
              <w:rPr>
                <w:rFonts w:hint="default" w:ascii="Times New Roman" w:hAnsi="Times New Roman" w:cs="Times New Roman"/>
                <w:kern w:val="0"/>
                <w:sz w:val="24"/>
              </w:rPr>
              <w:t>（</w:t>
            </w:r>
            <w:r>
              <w:rPr>
                <w:rFonts w:hint="eastAsia" w:ascii="Times New Roman" w:hAnsi="Times New Roman" w:cs="Times New Roman"/>
                <w:kern w:val="0"/>
                <w:sz w:val="24"/>
                <w:lang w:val="en-US" w:eastAsia="zh-CN"/>
              </w:rPr>
              <w:t>4</w:t>
            </w:r>
            <w:r>
              <w:rPr>
                <w:rFonts w:hint="default" w:ascii="Times New Roman" w:hAnsi="Times New Roman" w:cs="Times New Roman"/>
                <w:kern w:val="0"/>
                <w:sz w:val="24"/>
              </w:rPr>
              <w:t>）</w:t>
            </w:r>
            <w:r>
              <w:rPr>
                <w:rFonts w:hint="eastAsia" w:ascii="Times New Roman" w:hAnsi="Times New Roman" w:cs="Times New Roman"/>
                <w:kern w:val="0"/>
                <w:sz w:val="24"/>
              </w:rPr>
              <w:t>与</w:t>
            </w:r>
            <w:r>
              <w:rPr>
                <w:rFonts w:hint="default" w:ascii="Times New Roman" w:hAnsi="Times New Roman" w:cs="Times New Roman"/>
                <w:kern w:val="0"/>
                <w:sz w:val="24"/>
              </w:rPr>
              <w:t>生态环境准入清单</w:t>
            </w:r>
            <w:r>
              <w:rPr>
                <w:rFonts w:hint="eastAsia" w:ascii="Times New Roman" w:hAnsi="Times New Roman" w:cs="Times New Roman"/>
                <w:kern w:val="0"/>
                <w:sz w:val="24"/>
              </w:rPr>
              <w:t>相符性</w:t>
            </w:r>
          </w:p>
          <w:p w14:paraId="31C7D0FE">
            <w:pPr>
              <w:keepNext w:val="0"/>
              <w:keepLines w:val="0"/>
              <w:widowControl/>
              <w:suppressLineNumbers w:val="0"/>
              <w:spacing w:before="0" w:beforeAutospacing="0" w:after="0" w:afterAutospacing="0" w:line="360" w:lineRule="auto"/>
              <w:ind w:left="0" w:right="0" w:firstLine="480" w:firstLineChars="200"/>
              <w:rPr>
                <w:rFonts w:hint="default" w:eastAsia="宋体"/>
                <w:kern w:val="0"/>
                <w:sz w:val="24"/>
                <w:lang w:val="en-US" w:eastAsia="zh-CN" w:bidi="ar"/>
              </w:rPr>
            </w:pPr>
            <w:r>
              <w:rPr>
                <w:rFonts w:hint="default" w:ascii="Times New Roman" w:hAnsi="Times New Roman" w:cs="Times New Roman"/>
                <w:kern w:val="0"/>
                <w:sz w:val="24"/>
                <w:lang w:bidi="ar"/>
              </w:rPr>
              <w:t>对照</w:t>
            </w:r>
            <w:r>
              <w:rPr>
                <w:rFonts w:hint="eastAsia" w:ascii="Times New Roman" w:hAnsi="Times New Roman" w:cs="Times New Roman"/>
                <w:kern w:val="0"/>
                <w:sz w:val="24"/>
                <w:lang w:val="en-US" w:eastAsia="zh-CN" w:bidi="ar"/>
              </w:rPr>
              <w:t>淮北市生态环境管控单元图</w:t>
            </w:r>
            <w:r>
              <w:rPr>
                <w:rFonts w:hint="default" w:ascii="Times New Roman" w:hAnsi="Times New Roman" w:cs="Times New Roman"/>
                <w:kern w:val="0"/>
                <w:sz w:val="24"/>
                <w:lang w:bidi="ar"/>
              </w:rPr>
              <w:t>，</w:t>
            </w:r>
            <w:r>
              <w:rPr>
                <w:rFonts w:hint="default"/>
                <w:kern w:val="0"/>
                <w:sz w:val="24"/>
                <w:lang w:bidi="ar"/>
              </w:rPr>
              <w:t>本项目位于安徽省淮北市相山经济开发区凤凰路16号，位于重点管控单元中，</w:t>
            </w:r>
            <w:r>
              <w:rPr>
                <w:rFonts w:hint="eastAsia"/>
                <w:kern w:val="0"/>
                <w:sz w:val="24"/>
                <w:lang w:val="en-US" w:eastAsia="zh-CN" w:bidi="ar"/>
              </w:rPr>
              <w:t>环境管控单元编码为：</w:t>
            </w:r>
            <w:r>
              <w:rPr>
                <w:rFonts w:hint="eastAsia"/>
                <w:kern w:val="0"/>
                <w:sz w:val="24"/>
                <w:lang w:bidi="ar"/>
              </w:rPr>
              <w:t>ZH34060320275</w:t>
            </w:r>
            <w:r>
              <w:rPr>
                <w:rFonts w:hint="eastAsia"/>
                <w:kern w:val="0"/>
                <w:sz w:val="24"/>
                <w:lang w:eastAsia="zh-CN" w:bidi="ar"/>
              </w:rPr>
              <w:t>，</w:t>
            </w:r>
            <w:r>
              <w:rPr>
                <w:rFonts w:hint="default"/>
                <w:kern w:val="0"/>
                <w:sz w:val="24"/>
                <w:lang w:bidi="ar"/>
              </w:rPr>
              <w:t>管控要求为：对于重点管控单元，着重从现有源排放削减、新增源等量或倍量替代、排放标准加严、区域污染联防联控或污染物允许排放量等方面提出污染物排放管控要求；从土地用途管控、环境基础设施布局优化、环境事故风险防控、有毒有害污染物和易燃易爆物质环境风险防控等方面提出环境风险防控要求；从水资源开发利用效率、地下水开采禁止或者限制要求，土地资源集约利用要求，能源利用效率、禁燃区要求等方面提出资源开发效率要求，并提出相关基础设施建设和管理的要求。</w:t>
            </w:r>
            <w:r>
              <w:rPr>
                <w:rFonts w:hint="eastAsia"/>
                <w:kern w:val="0"/>
                <w:sz w:val="24"/>
                <w:lang w:val="en-US" w:eastAsia="zh-CN" w:bidi="ar"/>
              </w:rPr>
              <w:t>本项目</w:t>
            </w:r>
            <w:r>
              <w:rPr>
                <w:rFonts w:hint="default"/>
                <w:kern w:val="0"/>
                <w:sz w:val="24"/>
                <w:lang w:bidi="ar"/>
              </w:rPr>
              <w:t>用地性质为工业用地，项目生产不涉及危险物质，项目生产生活用水使用市政自来水，总体上本项目建设可以满足相关要求</w:t>
            </w:r>
            <w:r>
              <w:rPr>
                <w:rFonts w:hint="eastAsia"/>
                <w:kern w:val="0"/>
                <w:sz w:val="24"/>
                <w:lang w:eastAsia="zh-CN" w:bidi="ar"/>
              </w:rPr>
              <w:t>。</w:t>
            </w:r>
            <w:r>
              <w:rPr>
                <w:rFonts w:hint="eastAsia"/>
                <w:kern w:val="0"/>
                <w:sz w:val="24"/>
                <w:lang w:val="en-US" w:eastAsia="zh-CN" w:bidi="ar"/>
              </w:rPr>
              <w:t>本项目与安徽省生态环境厅三线一单管控单元位置关系见附图9。</w:t>
            </w:r>
          </w:p>
          <w:p w14:paraId="0DE06E40">
            <w:pPr>
              <w:keepNext w:val="0"/>
              <w:keepLines w:val="0"/>
              <w:widowControl/>
              <w:suppressLineNumbers w:val="0"/>
              <w:spacing w:before="0" w:beforeAutospacing="0" w:after="0" w:afterAutospacing="0" w:line="360" w:lineRule="auto"/>
              <w:ind w:left="0" w:right="0" w:firstLine="480" w:firstLineChars="200"/>
              <w:rPr>
                <w:rFonts w:hint="eastAsia" w:ascii="宋体" w:hAnsi="宋体" w:cs="宋体"/>
                <w:b/>
                <w:bCs/>
                <w:kern w:val="0"/>
                <w:sz w:val="20"/>
                <w:szCs w:val="20"/>
                <w:lang w:bidi="ar"/>
              </w:rPr>
            </w:pPr>
            <w:r>
              <w:rPr>
                <w:rFonts w:hint="eastAsia" w:ascii="Times New Roman" w:hAnsi="Times New Roman" w:cs="Times New Roman"/>
                <w:kern w:val="0"/>
                <w:sz w:val="24"/>
                <w:lang w:bidi="ar"/>
              </w:rPr>
              <w:t>对照《淮北市“三线一单”生态环境准入清单》</w:t>
            </w:r>
            <w:r>
              <w:rPr>
                <w:rFonts w:hint="eastAsia" w:ascii="Times New Roman" w:hAnsi="Times New Roman" w:cs="Times New Roman"/>
                <w:kern w:val="0"/>
                <w:sz w:val="24"/>
                <w:lang w:eastAsia="zh-CN" w:bidi="ar"/>
              </w:rPr>
              <w:t>，</w:t>
            </w:r>
            <w:r>
              <w:rPr>
                <w:rFonts w:hint="default" w:ascii="Times New Roman" w:hAnsi="Times New Roman" w:cs="Times New Roman"/>
                <w:kern w:val="0"/>
                <w:sz w:val="24"/>
                <w:lang w:bidi="ar"/>
              </w:rPr>
              <w:t>规划区生态环境准入清单见表1-</w:t>
            </w:r>
            <w:r>
              <w:rPr>
                <w:rFonts w:hint="eastAsia" w:ascii="Times New Roman" w:hAnsi="Times New Roman" w:cs="Times New Roman"/>
                <w:kern w:val="0"/>
                <w:sz w:val="24"/>
                <w:lang w:val="en-US" w:eastAsia="zh-CN" w:bidi="ar"/>
              </w:rPr>
              <w:t>2</w:t>
            </w:r>
            <w:r>
              <w:rPr>
                <w:rFonts w:hint="default" w:ascii="Times New Roman" w:hAnsi="Times New Roman" w:cs="Times New Roman"/>
                <w:kern w:val="0"/>
                <w:sz w:val="24"/>
                <w:lang w:bidi="ar"/>
              </w:rPr>
              <w:t>。</w:t>
            </w:r>
          </w:p>
          <w:p w14:paraId="7FD81267">
            <w:pPr>
              <w:keepNext w:val="0"/>
              <w:keepLines w:val="0"/>
              <w:widowControl/>
              <w:suppressLineNumbers w:val="0"/>
              <w:spacing w:before="0" w:beforeAutospacing="0" w:after="0" w:afterAutospacing="0"/>
              <w:ind w:left="0" w:right="0"/>
              <w:jc w:val="center"/>
              <w:rPr>
                <w:rFonts w:hint="eastAsia" w:ascii="Times New Roman" w:hAnsi="Times New Roman" w:cs="Times New Roman"/>
                <w:sz w:val="24"/>
                <w:szCs w:val="24"/>
              </w:rPr>
            </w:pPr>
            <w:r>
              <w:rPr>
                <w:rFonts w:hint="default" w:ascii="Times New Roman" w:hAnsi="Times New Roman" w:cs="Times New Roman"/>
                <w:b/>
                <w:bCs/>
                <w:kern w:val="0"/>
                <w:sz w:val="24"/>
                <w:szCs w:val="24"/>
                <w:lang w:bidi="ar"/>
              </w:rPr>
              <w:t>表1-</w:t>
            </w:r>
            <w:r>
              <w:rPr>
                <w:rFonts w:hint="eastAsia" w:ascii="Times New Roman" w:hAnsi="Times New Roman" w:cs="Times New Roman"/>
                <w:b/>
                <w:bCs/>
                <w:kern w:val="0"/>
                <w:sz w:val="24"/>
                <w:szCs w:val="24"/>
                <w:lang w:val="en-US" w:eastAsia="zh-CN" w:bidi="ar"/>
              </w:rPr>
              <w:t>2</w:t>
            </w:r>
            <w:r>
              <w:rPr>
                <w:rFonts w:hint="default" w:ascii="Times New Roman" w:hAnsi="Times New Roman" w:cs="Times New Roman"/>
                <w:b/>
                <w:bCs/>
                <w:kern w:val="0"/>
                <w:sz w:val="24"/>
                <w:szCs w:val="24"/>
                <w:lang w:bidi="ar"/>
              </w:rPr>
              <w:t xml:space="preserve">  相山经济开发区生态环境准入清单</w:t>
            </w:r>
          </w:p>
          <w:tbl>
            <w:tblPr>
              <w:tblStyle w:val="2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600"/>
              <w:gridCol w:w="4515"/>
              <w:gridCol w:w="1185"/>
              <w:gridCol w:w="417"/>
            </w:tblGrid>
            <w:tr w14:paraId="38684E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25" w:type="pct"/>
                  <w:gridSpan w:val="2"/>
                  <w:tcBorders>
                    <w:top w:val="single" w:color="auto" w:sz="4" w:space="0"/>
                    <w:bottom w:val="single" w:color="auto" w:sz="4" w:space="0"/>
                  </w:tcBorders>
                  <w:noWrap w:val="0"/>
                  <w:vAlign w:val="center"/>
                </w:tcPr>
                <w:p w14:paraId="78D651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kern w:val="0"/>
                      <w:sz w:val="21"/>
                      <w:szCs w:val="21"/>
                      <w:lang w:eastAsia="zh-CN"/>
                    </w:rPr>
                  </w:pPr>
                  <w:r>
                    <w:rPr>
                      <w:rFonts w:hint="eastAsia" w:ascii="宋体" w:hAnsi="宋体" w:cs="宋体"/>
                      <w:b/>
                      <w:bCs/>
                      <w:kern w:val="0"/>
                      <w:sz w:val="21"/>
                      <w:szCs w:val="21"/>
                      <w:lang w:val="en-US" w:eastAsia="zh-CN" w:bidi="ar"/>
                    </w:rPr>
                    <w:t>管控类别</w:t>
                  </w:r>
                </w:p>
              </w:tc>
              <w:tc>
                <w:tcPr>
                  <w:tcW w:w="3154" w:type="pct"/>
                  <w:tcBorders>
                    <w:top w:val="single" w:color="auto" w:sz="4" w:space="0"/>
                    <w:bottom w:val="single" w:color="auto" w:sz="4" w:space="0"/>
                  </w:tcBorders>
                  <w:noWrap w:val="0"/>
                  <w:vAlign w:val="center"/>
                </w:tcPr>
                <w:p w14:paraId="7B9DC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kern w:val="0"/>
                      <w:sz w:val="21"/>
                      <w:szCs w:val="21"/>
                    </w:rPr>
                  </w:pPr>
                  <w:r>
                    <w:rPr>
                      <w:rFonts w:hint="eastAsia" w:ascii="宋体" w:hAnsi="宋体" w:cs="宋体"/>
                      <w:b/>
                      <w:bCs/>
                      <w:kern w:val="0"/>
                      <w:sz w:val="21"/>
                      <w:szCs w:val="21"/>
                      <w:lang w:bidi="ar"/>
                    </w:rPr>
                    <w:t>管控要求</w:t>
                  </w:r>
                </w:p>
              </w:tc>
              <w:tc>
                <w:tcPr>
                  <w:tcW w:w="827" w:type="pct"/>
                  <w:tcBorders>
                    <w:top w:val="single" w:color="auto" w:sz="4" w:space="0"/>
                    <w:bottom w:val="single" w:color="auto" w:sz="4" w:space="0"/>
                  </w:tcBorders>
                  <w:noWrap w:val="0"/>
                  <w:vAlign w:val="center"/>
                </w:tcPr>
                <w:p w14:paraId="4509B9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kern w:val="0"/>
                      <w:sz w:val="21"/>
                      <w:szCs w:val="21"/>
                    </w:rPr>
                  </w:pPr>
                  <w:r>
                    <w:rPr>
                      <w:rFonts w:hint="default" w:ascii="Times New Roman" w:hAnsi="Times New Roman" w:cs="Times New Roman"/>
                      <w:b/>
                      <w:kern w:val="0"/>
                      <w:sz w:val="21"/>
                      <w:szCs w:val="21"/>
                    </w:rPr>
                    <w:t>本项目情况</w:t>
                  </w:r>
                </w:p>
              </w:tc>
              <w:tc>
                <w:tcPr>
                  <w:tcW w:w="291" w:type="pct"/>
                  <w:tcBorders>
                    <w:top w:val="single" w:color="auto" w:sz="4" w:space="0"/>
                    <w:bottom w:val="single" w:color="auto" w:sz="4" w:space="0"/>
                  </w:tcBorders>
                  <w:noWrap w:val="0"/>
                  <w:vAlign w:val="center"/>
                </w:tcPr>
                <w:p w14:paraId="47B9E8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kern w:val="0"/>
                      <w:sz w:val="21"/>
                      <w:szCs w:val="21"/>
                    </w:rPr>
                  </w:pPr>
                  <w:r>
                    <w:rPr>
                      <w:rFonts w:hint="default" w:ascii="Times New Roman" w:hAnsi="Times New Roman" w:cs="Times New Roman"/>
                      <w:b/>
                      <w:kern w:val="0"/>
                      <w:sz w:val="21"/>
                      <w:szCs w:val="21"/>
                    </w:rPr>
                    <w:t>符合性</w:t>
                  </w:r>
                </w:p>
              </w:tc>
            </w:tr>
            <w:tr w14:paraId="7734F1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06" w:type="pct"/>
                  <w:vMerge w:val="restart"/>
                  <w:noWrap w:val="0"/>
                  <w:vAlign w:val="center"/>
                </w:tcPr>
                <w:p w14:paraId="1A3BCE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eastAsia="zh-CN"/>
                    </w:rPr>
                  </w:pPr>
                  <w:r>
                    <w:rPr>
                      <w:rFonts w:hint="eastAsia" w:ascii="宋体" w:hAnsi="宋体" w:cs="宋体"/>
                      <w:kern w:val="0"/>
                      <w:sz w:val="21"/>
                      <w:szCs w:val="21"/>
                      <w:lang w:val="en-US" w:eastAsia="zh-CN" w:bidi="ar"/>
                    </w:rPr>
                    <w:t>鼓励类</w:t>
                  </w:r>
                </w:p>
              </w:tc>
              <w:tc>
                <w:tcPr>
                  <w:tcW w:w="419" w:type="pct"/>
                  <w:noWrap w:val="0"/>
                  <w:vAlign w:val="center"/>
                </w:tcPr>
                <w:p w14:paraId="509773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eastAsia="zh-CN"/>
                    </w:rPr>
                  </w:pPr>
                  <w:r>
                    <w:rPr>
                      <w:rFonts w:hint="eastAsia" w:ascii="宋体" w:hAnsi="宋体" w:cs="宋体"/>
                      <w:kern w:val="0"/>
                      <w:sz w:val="21"/>
                      <w:szCs w:val="21"/>
                      <w:lang w:val="en-US" w:eastAsia="zh-CN" w:bidi="ar"/>
                    </w:rPr>
                    <w:t>信息产业</w:t>
                  </w:r>
                </w:p>
              </w:tc>
              <w:tc>
                <w:tcPr>
                  <w:tcW w:w="3154" w:type="pct"/>
                  <w:noWrap w:val="0"/>
                  <w:vAlign w:val="center"/>
                </w:tcPr>
                <w:p w14:paraId="44B5A7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数字化、智能化、网络化工业自动检测仪表与传感器，原位在线成份分析仪器，具有无线通信功能的低功耗智能传感器，电磁兼容检测设备，智能电网用智能电表（具有发送和接收信号、自诊断、数据处理功能），光纤传感器、二色及二色以上金属板印刷、配套光固化（UV）、薄板覆膜和高速</w:t>
                  </w:r>
                  <w:r>
                    <w:rPr>
                      <w:rFonts w:hint="eastAsia" w:ascii="Times New Roman" w:hAnsi="Times New Roman" w:cs="Times New Roman"/>
                      <w:color w:val="auto"/>
                      <w:kern w:val="0"/>
                      <w:szCs w:val="21"/>
                      <w:lang w:eastAsia="zh-CN"/>
                    </w:rPr>
                    <w:t>。</w:t>
                  </w:r>
                </w:p>
                <w:p w14:paraId="37369FC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2、高压真空元件及开关设备</w:t>
                  </w:r>
                  <w:r>
                    <w:rPr>
                      <w:rFonts w:hint="eastAsia" w:ascii="Times New Roman" w:hAnsi="Times New Roman" w:cs="Times New Roman"/>
                      <w:color w:val="auto"/>
                      <w:kern w:val="0"/>
                      <w:szCs w:val="21"/>
                      <w:lang w:eastAsia="zh-CN"/>
                    </w:rPr>
                    <w:t>。</w:t>
                  </w:r>
                </w:p>
                <w:p w14:paraId="445938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3、锂离子电池、氢镍电池等动力电池；储能用锂离子电池</w:t>
                  </w:r>
                  <w:r>
                    <w:rPr>
                      <w:rFonts w:hint="eastAsia" w:ascii="Times New Roman" w:hAnsi="Times New Roman" w:cs="Times New Roman"/>
                      <w:color w:val="auto"/>
                      <w:kern w:val="0"/>
                      <w:szCs w:val="21"/>
                      <w:lang w:eastAsia="zh-CN"/>
                    </w:rPr>
                    <w:t>。</w:t>
                  </w:r>
                </w:p>
                <w:p w14:paraId="641CDF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4、卫星通信系统、地球站设备制造及建设</w:t>
                  </w:r>
                  <w:r>
                    <w:rPr>
                      <w:rFonts w:hint="eastAsia" w:ascii="Times New Roman" w:hAnsi="Times New Roman" w:cs="Times New Roman"/>
                      <w:color w:val="auto"/>
                      <w:kern w:val="0"/>
                      <w:szCs w:val="21"/>
                      <w:lang w:eastAsia="zh-CN"/>
                    </w:rPr>
                    <w:t>。</w:t>
                  </w:r>
                </w:p>
                <w:p w14:paraId="17558D7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5、网管监控、时钟同步、计费等通信支撑网建设</w:t>
                  </w:r>
                  <w:r>
                    <w:rPr>
                      <w:rFonts w:hint="eastAsia" w:ascii="Times New Roman" w:hAnsi="Times New Roman" w:cs="Times New Roman"/>
                      <w:color w:val="auto"/>
                      <w:kern w:val="0"/>
                      <w:szCs w:val="21"/>
                      <w:lang w:eastAsia="zh-CN"/>
                    </w:rPr>
                    <w:t>。</w:t>
                  </w:r>
                </w:p>
                <w:p w14:paraId="41B65B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6、数据通信网设备制造及建设</w:t>
                  </w:r>
                  <w:r>
                    <w:rPr>
                      <w:rFonts w:hint="eastAsia" w:ascii="Times New Roman" w:hAnsi="Times New Roman" w:cs="Times New Roman"/>
                      <w:color w:val="auto"/>
                      <w:kern w:val="0"/>
                      <w:szCs w:val="21"/>
                      <w:lang w:eastAsia="zh-CN"/>
                    </w:rPr>
                    <w:t>。</w:t>
                  </w:r>
                </w:p>
                <w:p w14:paraId="6C07A9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7、物联网（传感网)、智能网等新业务网设备制造与建设</w:t>
                  </w:r>
                  <w:r>
                    <w:rPr>
                      <w:rFonts w:hint="eastAsia" w:ascii="Times New Roman" w:hAnsi="Times New Roman" w:cs="Times New Roman"/>
                      <w:color w:val="auto"/>
                      <w:kern w:val="0"/>
                      <w:szCs w:val="21"/>
                      <w:lang w:eastAsia="zh-CN"/>
                    </w:rPr>
                    <w:t>。</w:t>
                  </w:r>
                </w:p>
                <w:p w14:paraId="570DFE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8、宽带网络设备制造与建设</w:t>
                  </w:r>
                  <w:r>
                    <w:rPr>
                      <w:rFonts w:hint="eastAsia" w:ascii="Times New Roman" w:hAnsi="Times New Roman" w:cs="Times New Roman"/>
                      <w:color w:val="auto"/>
                      <w:kern w:val="0"/>
                      <w:szCs w:val="21"/>
                      <w:lang w:eastAsia="zh-CN"/>
                    </w:rPr>
                    <w:t>。</w:t>
                  </w:r>
                </w:p>
                <w:p w14:paraId="3E0384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9、数字蜂窝移动通信网建设</w:t>
                  </w:r>
                  <w:r>
                    <w:rPr>
                      <w:rFonts w:hint="eastAsia" w:ascii="Times New Roman" w:hAnsi="Times New Roman" w:cs="Times New Roman"/>
                      <w:color w:val="auto"/>
                      <w:kern w:val="0"/>
                      <w:szCs w:val="21"/>
                      <w:lang w:eastAsia="zh-CN"/>
                    </w:rPr>
                    <w:t>。</w:t>
                  </w:r>
                </w:p>
                <w:p w14:paraId="312517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10、IP业务网络建设</w:t>
                  </w:r>
                  <w:r>
                    <w:rPr>
                      <w:rFonts w:hint="eastAsia" w:ascii="Times New Roman" w:hAnsi="Times New Roman" w:cs="Times New Roman"/>
                      <w:color w:val="auto"/>
                      <w:kern w:val="0"/>
                      <w:szCs w:val="21"/>
                      <w:lang w:eastAsia="zh-CN"/>
                    </w:rPr>
                    <w:t>。</w:t>
                  </w:r>
                </w:p>
                <w:p w14:paraId="27D2E9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11、下一代互联网网络设备、芯片、系统以及相关测试设备的研发和生产</w:t>
                  </w:r>
                  <w:r>
                    <w:rPr>
                      <w:rFonts w:hint="eastAsia" w:ascii="Times New Roman" w:hAnsi="Times New Roman" w:cs="Times New Roman"/>
                      <w:color w:val="auto"/>
                      <w:kern w:val="0"/>
                      <w:szCs w:val="21"/>
                      <w:lang w:eastAsia="zh-CN"/>
                    </w:rPr>
                    <w:t>。</w:t>
                  </w:r>
                </w:p>
                <w:p w14:paraId="175377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cs="Times New Roman"/>
                      <w:color w:val="auto"/>
                      <w:kern w:val="0"/>
                      <w:szCs w:val="21"/>
                      <w:lang w:eastAsia="zh-CN"/>
                    </w:rPr>
                  </w:pPr>
                  <w:r>
                    <w:rPr>
                      <w:rFonts w:hint="default" w:ascii="Times New Roman" w:hAnsi="Times New Roman" w:cs="Times New Roman"/>
                      <w:color w:val="auto"/>
                      <w:kern w:val="0"/>
                      <w:szCs w:val="21"/>
                    </w:rPr>
                    <w:t>12、卫星数字电视广播系统建设</w:t>
                  </w:r>
                  <w:r>
                    <w:rPr>
                      <w:rFonts w:hint="eastAsia" w:ascii="Times New Roman" w:hAnsi="Times New Roman" w:cs="Times New Roman"/>
                      <w:color w:val="auto"/>
                      <w:kern w:val="0"/>
                      <w:szCs w:val="21"/>
                      <w:lang w:eastAsia="zh-CN"/>
                    </w:rPr>
                    <w:t>。</w:t>
                  </w:r>
                </w:p>
                <w:p w14:paraId="5680DF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13、增值电信业务平台建设</w:t>
                  </w:r>
                  <w:r>
                    <w:rPr>
                      <w:rFonts w:hint="eastAsia" w:ascii="Times New Roman" w:hAnsi="Times New Roman" w:cs="Times New Roman"/>
                      <w:color w:val="auto"/>
                      <w:kern w:val="0"/>
                      <w:szCs w:val="21"/>
                      <w:lang w:eastAsia="zh-CN"/>
                    </w:rPr>
                    <w:t>。</w:t>
                  </w:r>
                </w:p>
                <w:p w14:paraId="52DECE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14、支撑通信网的路由器、交换机、基站等设备</w:t>
                  </w:r>
                  <w:r>
                    <w:rPr>
                      <w:rFonts w:hint="eastAsia" w:ascii="Times New Roman" w:hAnsi="Times New Roman" w:cs="Times New Roman"/>
                      <w:color w:val="auto"/>
                      <w:kern w:val="0"/>
                      <w:szCs w:val="21"/>
                      <w:lang w:eastAsia="zh-CN"/>
                    </w:rPr>
                    <w:t>。</w:t>
                  </w:r>
                </w:p>
                <w:p w14:paraId="26A2DB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15、同温层通信系统设备制造</w:t>
                  </w:r>
                  <w:r>
                    <w:rPr>
                      <w:rFonts w:hint="eastAsia" w:ascii="Times New Roman" w:hAnsi="Times New Roman" w:cs="Times New Roman"/>
                      <w:color w:val="auto"/>
                      <w:kern w:val="0"/>
                      <w:szCs w:val="21"/>
                      <w:lang w:eastAsia="zh-CN"/>
                    </w:rPr>
                    <w:t>。</w:t>
                  </w:r>
                </w:p>
                <w:p w14:paraId="612842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16、数字移动通信、接入网系统、数字集群通信系统及路由器、网关等网络设备制造</w:t>
                  </w:r>
                  <w:r>
                    <w:rPr>
                      <w:rFonts w:hint="eastAsia" w:ascii="Times New Roman" w:hAnsi="Times New Roman" w:cs="Times New Roman"/>
                      <w:color w:val="auto"/>
                      <w:kern w:val="0"/>
                      <w:szCs w:val="21"/>
                      <w:lang w:eastAsia="zh-CN"/>
                    </w:rPr>
                    <w:t>。</w:t>
                  </w:r>
                </w:p>
                <w:p w14:paraId="6E1888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17、大中型电子计算机、百万亿次高性能计算机、便携式微型计算机、每秒一万亿次及以上高档服务器、大型模拟仿真系统、大型工业控制机及控制器制造</w:t>
                  </w:r>
                  <w:r>
                    <w:rPr>
                      <w:rFonts w:hint="eastAsia" w:ascii="Times New Roman" w:hAnsi="Times New Roman" w:cs="Times New Roman"/>
                      <w:color w:val="auto"/>
                      <w:kern w:val="0"/>
                      <w:szCs w:val="21"/>
                      <w:lang w:eastAsia="zh-CN"/>
                    </w:rPr>
                    <w:t>。</w:t>
                  </w:r>
                </w:p>
                <w:p w14:paraId="0AFF7D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cs="Times New Roman"/>
                      <w:color w:val="auto"/>
                      <w:kern w:val="0"/>
                      <w:szCs w:val="21"/>
                      <w:lang w:eastAsia="zh-CN"/>
                    </w:rPr>
                  </w:pPr>
                  <w:r>
                    <w:rPr>
                      <w:rFonts w:hint="default" w:ascii="Times New Roman" w:hAnsi="Times New Roman" w:cs="Times New Roman"/>
                      <w:color w:val="auto"/>
                      <w:kern w:val="0"/>
                      <w:szCs w:val="21"/>
                    </w:rPr>
                    <w:t>18、集成电路设计，线宽0.8微米以下集成电路制造，及球栅阵列封装（BGA）、插针网格阵列封装（PGA）、芯片规模封装（CSP）、多芯片封装（MCM）等先进封装与测试</w:t>
                  </w:r>
                  <w:r>
                    <w:rPr>
                      <w:rFonts w:hint="eastAsia" w:ascii="Times New Roman" w:hAnsi="Times New Roman" w:cs="Times New Roman"/>
                      <w:color w:val="auto"/>
                      <w:kern w:val="0"/>
                      <w:szCs w:val="21"/>
                      <w:lang w:eastAsia="zh-CN"/>
                    </w:rPr>
                    <w:t>。</w:t>
                  </w:r>
                </w:p>
                <w:p w14:paraId="523173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cs="Times New Roman"/>
                      <w:color w:val="auto"/>
                      <w:kern w:val="0"/>
                      <w:szCs w:val="21"/>
                      <w:lang w:eastAsia="zh-CN"/>
                    </w:rPr>
                  </w:pPr>
                  <w:r>
                    <w:rPr>
                      <w:rFonts w:hint="default" w:ascii="Times New Roman" w:hAnsi="Times New Roman" w:cs="Times New Roman"/>
                      <w:color w:val="auto"/>
                      <w:kern w:val="0"/>
                      <w:szCs w:val="21"/>
                    </w:rPr>
                    <w:t>19、新型电子元器件（片式元器件、频率元器件、混合集成电路、电力电子器件、光电子器件、敏感元器件及传感器、新型机电元件、高密度印刷电路板和柔性电路板等）制造</w:t>
                  </w:r>
                  <w:r>
                    <w:rPr>
                      <w:rFonts w:hint="eastAsia" w:ascii="Times New Roman" w:hAnsi="Times New Roman" w:cs="Times New Roman"/>
                      <w:color w:val="auto"/>
                      <w:kern w:val="0"/>
                      <w:szCs w:val="21"/>
                      <w:lang w:eastAsia="zh-CN"/>
                    </w:rPr>
                    <w:t>。</w:t>
                  </w:r>
                </w:p>
                <w:p w14:paraId="4A932B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20、半导体、光电子器件、新型电子元器件等电子产品用材料</w:t>
                  </w:r>
                  <w:r>
                    <w:rPr>
                      <w:rFonts w:hint="eastAsia" w:ascii="Times New Roman" w:hAnsi="Times New Roman" w:cs="Times New Roman"/>
                      <w:color w:val="auto"/>
                      <w:kern w:val="0"/>
                      <w:szCs w:val="21"/>
                      <w:lang w:eastAsia="zh-CN"/>
                    </w:rPr>
                    <w:t>。</w:t>
                  </w:r>
                </w:p>
                <w:p w14:paraId="68B618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21、软件开发生产（含民族语言信息化标准研究与推广应用）</w:t>
                  </w:r>
                  <w:r>
                    <w:rPr>
                      <w:rFonts w:hint="eastAsia" w:ascii="Times New Roman" w:hAnsi="Times New Roman" w:cs="Times New Roman"/>
                      <w:color w:val="auto"/>
                      <w:kern w:val="0"/>
                      <w:szCs w:val="21"/>
                      <w:lang w:eastAsia="zh-CN"/>
                    </w:rPr>
                    <w:t>。</w:t>
                  </w:r>
                </w:p>
                <w:p w14:paraId="46C342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22、计算机辅助设计（CAD）、辅助测试（CA</w:t>
                  </w:r>
                  <w:r>
                    <w:rPr>
                      <w:rFonts w:hint="eastAsia" w:ascii="Times New Roman" w:hAnsi="Times New Roman" w:cs="Times New Roman"/>
                      <w:color w:val="auto"/>
                      <w:kern w:val="0"/>
                      <w:szCs w:val="21"/>
                      <w:lang w:eastAsia="zh-CN"/>
                    </w:rPr>
                    <w:t>t</w:t>
                  </w:r>
                  <w:r>
                    <w:rPr>
                      <w:rFonts w:hint="default" w:ascii="Times New Roman" w:hAnsi="Times New Roman" w:cs="Times New Roman"/>
                      <w:color w:val="auto"/>
                      <w:kern w:val="0"/>
                      <w:szCs w:val="21"/>
                    </w:rPr>
                    <w:t>）、辅助制造（CAM）、辅助工程（CAE）系统开发生产</w:t>
                  </w:r>
                  <w:r>
                    <w:rPr>
                      <w:rFonts w:hint="eastAsia" w:ascii="Times New Roman" w:hAnsi="Times New Roman" w:cs="Times New Roman"/>
                      <w:color w:val="auto"/>
                      <w:kern w:val="0"/>
                      <w:szCs w:val="21"/>
                      <w:lang w:eastAsia="zh-CN"/>
                    </w:rPr>
                    <w:t>。</w:t>
                  </w:r>
                </w:p>
                <w:p w14:paraId="58958C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23、半导体照明设备，光伏太阳能设备，片式元器件设备，新型动力电池设备，表面贴装设备（含钢网印刷机、自动贴片机、无铅回流焊、光电自动检查仪）等</w:t>
                  </w:r>
                  <w:r>
                    <w:rPr>
                      <w:rFonts w:hint="eastAsia" w:ascii="Times New Roman" w:hAnsi="Times New Roman" w:cs="Times New Roman"/>
                      <w:color w:val="auto"/>
                      <w:kern w:val="0"/>
                      <w:szCs w:val="21"/>
                      <w:lang w:eastAsia="zh-CN"/>
                    </w:rPr>
                    <w:t>。</w:t>
                  </w:r>
                </w:p>
                <w:p w14:paraId="37F89A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24、打印机（含高速条码打印机）和海量存储器等计算机外部设备</w:t>
                  </w:r>
                  <w:r>
                    <w:rPr>
                      <w:rFonts w:hint="eastAsia" w:ascii="Times New Roman" w:hAnsi="Times New Roman" w:cs="Times New Roman"/>
                      <w:color w:val="auto"/>
                      <w:kern w:val="0"/>
                      <w:szCs w:val="21"/>
                      <w:lang w:eastAsia="zh-CN"/>
                    </w:rPr>
                    <w:t>。</w:t>
                  </w:r>
                </w:p>
                <w:p w14:paraId="464A05B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25、薄膜场效应晶体管 LCD（</w:t>
                  </w:r>
                  <w:r>
                    <w:rPr>
                      <w:rFonts w:hint="eastAsia" w:ascii="Times New Roman" w:hAnsi="Times New Roman" w:cs="Times New Roman"/>
                      <w:color w:val="auto"/>
                      <w:kern w:val="0"/>
                      <w:szCs w:val="21"/>
                      <w:lang w:eastAsia="zh-CN"/>
                    </w:rPr>
                    <w:t>t</w:t>
                  </w:r>
                  <w:r>
                    <w:rPr>
                      <w:rFonts w:hint="default" w:ascii="Times New Roman" w:hAnsi="Times New Roman" w:cs="Times New Roman"/>
                      <w:color w:val="auto"/>
                      <w:kern w:val="0"/>
                      <w:szCs w:val="21"/>
                    </w:rPr>
                    <w:t>F</w:t>
                  </w:r>
                  <w:r>
                    <w:rPr>
                      <w:rFonts w:hint="eastAsia" w:ascii="Times New Roman" w:hAnsi="Times New Roman" w:cs="Times New Roman"/>
                      <w:color w:val="auto"/>
                      <w:kern w:val="0"/>
                      <w:szCs w:val="21"/>
                      <w:lang w:eastAsia="zh-CN"/>
                    </w:rPr>
                    <w:t>t</w:t>
                  </w:r>
                  <w:r>
                    <w:rPr>
                      <w:rFonts w:hint="default" w:ascii="Times New Roman" w:hAnsi="Times New Roman" w:cs="Times New Roman"/>
                      <w:color w:val="auto"/>
                      <w:kern w:val="0"/>
                      <w:szCs w:val="21"/>
                    </w:rPr>
                    <w:t>-LCD）、等离子显示屏（PDP）、有机发光二极管（OLED）、激光显示、3D显示等新型平板显示器件及关键部件</w:t>
                  </w:r>
                  <w:r>
                    <w:rPr>
                      <w:rFonts w:hint="eastAsia" w:ascii="Times New Roman" w:hAnsi="Times New Roman" w:cs="Times New Roman"/>
                      <w:color w:val="auto"/>
                      <w:kern w:val="0"/>
                      <w:szCs w:val="21"/>
                      <w:lang w:eastAsia="zh-CN"/>
                    </w:rPr>
                    <w:t>。</w:t>
                  </w:r>
                </w:p>
                <w:p w14:paraId="0B3A92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26、音视频编解码设备、音视频广播发射设备、数字电视演播室设备、数字电视系统设备、数字电视广播单频网设备、数字电视接收设备、数字摄录机、数字录放机、数字电视产品</w:t>
                  </w:r>
                  <w:r>
                    <w:rPr>
                      <w:rFonts w:hint="eastAsia" w:ascii="Times New Roman" w:hAnsi="Times New Roman" w:cs="Times New Roman"/>
                      <w:color w:val="auto"/>
                      <w:kern w:val="0"/>
                      <w:szCs w:val="21"/>
                      <w:lang w:eastAsia="zh-CN"/>
                    </w:rPr>
                    <w:t>。</w:t>
                  </w:r>
                </w:p>
                <w:p w14:paraId="1DECF7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27、数字多功能电话机制造</w:t>
                  </w:r>
                  <w:r>
                    <w:rPr>
                      <w:rFonts w:hint="eastAsia" w:ascii="Times New Roman" w:hAnsi="Times New Roman" w:cs="Times New Roman"/>
                      <w:color w:val="auto"/>
                      <w:kern w:val="0"/>
                      <w:szCs w:val="21"/>
                      <w:lang w:eastAsia="zh-CN"/>
                    </w:rPr>
                    <w:t>。</w:t>
                  </w:r>
                </w:p>
                <w:p w14:paraId="3E50797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28、多普勒雷达技术及设备制造</w:t>
                  </w:r>
                  <w:r>
                    <w:rPr>
                      <w:rFonts w:hint="eastAsia" w:ascii="Times New Roman" w:hAnsi="Times New Roman" w:cs="Times New Roman"/>
                      <w:color w:val="auto"/>
                      <w:kern w:val="0"/>
                      <w:szCs w:val="21"/>
                      <w:lang w:eastAsia="zh-CN"/>
                    </w:rPr>
                    <w:t>。</w:t>
                  </w:r>
                </w:p>
                <w:p w14:paraId="553EF1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29、医疗电子、金融电子、航空航天仪器仪表电子、传感器电子等产品制造</w:t>
                  </w:r>
                  <w:r>
                    <w:rPr>
                      <w:rFonts w:hint="eastAsia" w:ascii="Times New Roman" w:hAnsi="Times New Roman" w:cs="Times New Roman"/>
                      <w:color w:val="auto"/>
                      <w:kern w:val="0"/>
                      <w:szCs w:val="21"/>
                      <w:lang w:eastAsia="zh-CN"/>
                    </w:rPr>
                    <w:t>。</w:t>
                  </w:r>
                </w:p>
                <w:p w14:paraId="2528A6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30、无线局域网技术开发、设备制造</w:t>
                  </w:r>
                  <w:r>
                    <w:rPr>
                      <w:rFonts w:hint="eastAsia" w:ascii="Times New Roman" w:hAnsi="Times New Roman" w:cs="Times New Roman"/>
                      <w:color w:val="auto"/>
                      <w:kern w:val="0"/>
                      <w:szCs w:val="21"/>
                      <w:lang w:eastAsia="zh-CN"/>
                    </w:rPr>
                    <w:t>。</w:t>
                  </w:r>
                </w:p>
                <w:p w14:paraId="46A7B6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31、电子商务和电子政务系统开发与应用服务</w:t>
                  </w:r>
                  <w:r>
                    <w:rPr>
                      <w:rFonts w:hint="eastAsia" w:ascii="Times New Roman" w:hAnsi="Times New Roman" w:cs="Times New Roman"/>
                      <w:color w:val="auto"/>
                      <w:kern w:val="0"/>
                      <w:szCs w:val="21"/>
                      <w:lang w:eastAsia="zh-CN"/>
                    </w:rPr>
                    <w:t>。</w:t>
                  </w:r>
                </w:p>
                <w:p w14:paraId="317AB3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32、卫星导航系统技术开发与设备制造</w:t>
                  </w:r>
                  <w:r>
                    <w:rPr>
                      <w:rFonts w:hint="eastAsia" w:ascii="Times New Roman" w:hAnsi="Times New Roman" w:cs="Times New Roman"/>
                      <w:color w:val="auto"/>
                      <w:kern w:val="0"/>
                      <w:szCs w:val="21"/>
                      <w:lang w:eastAsia="zh-CN"/>
                    </w:rPr>
                    <w:t>。</w:t>
                  </w:r>
                </w:p>
                <w:p w14:paraId="433316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33、应急广播电视系统建设</w:t>
                  </w:r>
                  <w:r>
                    <w:rPr>
                      <w:rFonts w:hint="eastAsia" w:ascii="Times New Roman" w:hAnsi="Times New Roman" w:cs="Times New Roman"/>
                      <w:color w:val="auto"/>
                      <w:kern w:val="0"/>
                      <w:szCs w:val="21"/>
                      <w:lang w:eastAsia="zh-CN"/>
                    </w:rPr>
                    <w:t>。</w:t>
                  </w:r>
                </w:p>
                <w:p w14:paraId="2753AD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34、量子通信设备</w:t>
                  </w:r>
                  <w:r>
                    <w:rPr>
                      <w:rFonts w:hint="eastAsia" w:ascii="Times New Roman" w:hAnsi="Times New Roman" w:cs="Times New Roman"/>
                      <w:color w:val="auto"/>
                      <w:kern w:val="0"/>
                      <w:szCs w:val="21"/>
                      <w:lang w:eastAsia="zh-CN"/>
                    </w:rPr>
                    <w:t>。</w:t>
                  </w:r>
                </w:p>
                <w:p w14:paraId="23B9B1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35、</w:t>
                  </w:r>
                  <w:r>
                    <w:rPr>
                      <w:rFonts w:hint="eastAsia" w:ascii="Times New Roman" w:hAnsi="Times New Roman" w:cs="Times New Roman"/>
                      <w:color w:val="auto"/>
                      <w:kern w:val="0"/>
                      <w:szCs w:val="21"/>
                      <w:lang w:eastAsia="zh-CN"/>
                    </w:rPr>
                    <w:t>t</w:t>
                  </w:r>
                  <w:r>
                    <w:rPr>
                      <w:rFonts w:hint="default" w:ascii="Times New Roman" w:hAnsi="Times New Roman" w:cs="Times New Roman"/>
                      <w:color w:val="auto"/>
                      <w:kern w:val="0"/>
                      <w:szCs w:val="21"/>
                    </w:rPr>
                    <w:t>F</w:t>
                  </w:r>
                  <w:r>
                    <w:rPr>
                      <w:rFonts w:hint="eastAsia" w:ascii="Times New Roman" w:hAnsi="Times New Roman" w:cs="Times New Roman"/>
                      <w:color w:val="auto"/>
                      <w:kern w:val="0"/>
                      <w:szCs w:val="21"/>
                      <w:lang w:eastAsia="zh-CN"/>
                    </w:rPr>
                    <w:t>t</w:t>
                  </w:r>
                  <w:r>
                    <w:rPr>
                      <w:rFonts w:hint="default" w:ascii="Times New Roman" w:hAnsi="Times New Roman" w:cs="Times New Roman"/>
                      <w:color w:val="auto"/>
                      <w:kern w:val="0"/>
                      <w:szCs w:val="21"/>
                    </w:rPr>
                    <w:t>-LCD、PDP、OLED、激光显示、3D显示等新型平板显示器件生产专用设备</w:t>
                  </w:r>
                  <w:r>
                    <w:rPr>
                      <w:rFonts w:hint="eastAsia" w:ascii="Times New Roman" w:hAnsi="Times New Roman" w:cs="Times New Roman"/>
                      <w:color w:val="auto"/>
                      <w:kern w:val="0"/>
                      <w:szCs w:val="21"/>
                      <w:lang w:eastAsia="zh-CN"/>
                    </w:rPr>
                    <w:t>。</w:t>
                  </w:r>
                </w:p>
                <w:p w14:paraId="4576076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36、半导体照明衬底、外延、芯片、封装及材料等</w:t>
                  </w:r>
                  <w:r>
                    <w:rPr>
                      <w:rFonts w:hint="eastAsia" w:ascii="Times New Roman" w:hAnsi="Times New Roman" w:cs="Times New Roman"/>
                      <w:color w:val="auto"/>
                      <w:kern w:val="0"/>
                      <w:szCs w:val="21"/>
                      <w:lang w:eastAsia="zh-CN"/>
                    </w:rPr>
                    <w:t>。</w:t>
                  </w:r>
                </w:p>
                <w:p w14:paraId="355125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37、数字音乐、手机媒体、动漫游戏等数字内容产品的开发系统</w:t>
                  </w:r>
                  <w:r>
                    <w:rPr>
                      <w:rFonts w:hint="eastAsia" w:ascii="Times New Roman" w:hAnsi="Times New Roman" w:cs="Times New Roman"/>
                      <w:color w:val="auto"/>
                      <w:kern w:val="0"/>
                      <w:szCs w:val="21"/>
                      <w:lang w:eastAsia="zh-CN"/>
                    </w:rPr>
                    <w:t>。</w:t>
                  </w:r>
                </w:p>
                <w:p w14:paraId="25F6C7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38、防伪技术开发与运用</w:t>
                  </w:r>
                  <w:r>
                    <w:rPr>
                      <w:rFonts w:hint="eastAsia" w:ascii="Times New Roman" w:hAnsi="Times New Roman" w:cs="Times New Roman"/>
                      <w:color w:val="auto"/>
                      <w:kern w:val="0"/>
                      <w:szCs w:val="21"/>
                      <w:lang w:eastAsia="zh-CN"/>
                    </w:rPr>
                    <w:t>。</w:t>
                  </w:r>
                </w:p>
                <w:p w14:paraId="4719F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kern w:val="0"/>
                      <w:sz w:val="21"/>
                      <w:szCs w:val="21"/>
                    </w:rPr>
                  </w:pPr>
                  <w:r>
                    <w:rPr>
                      <w:rFonts w:hint="default" w:ascii="Times New Roman" w:hAnsi="Times New Roman" w:cs="Times New Roman"/>
                      <w:color w:val="auto"/>
                      <w:kern w:val="0"/>
                      <w:szCs w:val="21"/>
                    </w:rPr>
                    <w:t>39、其他新发布或另行规定鼓励开发生产的项目、工艺、装置和产品</w:t>
                  </w:r>
                  <w:r>
                    <w:rPr>
                      <w:rFonts w:hint="eastAsia" w:ascii="Times New Roman" w:hAnsi="Times New Roman" w:cs="Times New Roman"/>
                      <w:color w:val="auto"/>
                      <w:kern w:val="0"/>
                      <w:szCs w:val="21"/>
                      <w:lang w:eastAsia="zh-CN"/>
                    </w:rPr>
                    <w:t>。</w:t>
                  </w:r>
                </w:p>
              </w:tc>
              <w:tc>
                <w:tcPr>
                  <w:tcW w:w="827" w:type="pct"/>
                  <w:noWrap w:val="0"/>
                  <w:vAlign w:val="center"/>
                </w:tcPr>
                <w:p w14:paraId="16A0FC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291" w:type="pct"/>
                  <w:noWrap w:val="0"/>
                  <w:vAlign w:val="center"/>
                </w:tcPr>
                <w:p w14:paraId="3377D2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cs="Times New Roman"/>
                      <w:kern w:val="0"/>
                      <w:sz w:val="21"/>
                      <w:szCs w:val="21"/>
                      <w:lang w:val="en-US" w:eastAsia="zh-CN"/>
                    </w:rPr>
                    <w:t>/</w:t>
                  </w:r>
                </w:p>
              </w:tc>
            </w:tr>
            <w:tr w14:paraId="77C46A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6" w:type="pct"/>
                  <w:vMerge w:val="continue"/>
                  <w:noWrap w:val="0"/>
                  <w:vAlign w:val="center"/>
                </w:tcPr>
                <w:p w14:paraId="036963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kern w:val="0"/>
                      <w:sz w:val="21"/>
                      <w:szCs w:val="21"/>
                    </w:rPr>
                  </w:pPr>
                </w:p>
              </w:tc>
              <w:tc>
                <w:tcPr>
                  <w:tcW w:w="419" w:type="pct"/>
                  <w:noWrap w:val="0"/>
                  <w:vAlign w:val="center"/>
                </w:tcPr>
                <w:p w14:paraId="2EBC1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eastAsia="zh-CN"/>
                    </w:rPr>
                  </w:pPr>
                  <w:r>
                    <w:rPr>
                      <w:rFonts w:hint="eastAsia" w:ascii="宋体" w:hAnsi="宋体" w:cs="宋体"/>
                      <w:kern w:val="0"/>
                      <w:sz w:val="21"/>
                      <w:szCs w:val="21"/>
                      <w:lang w:val="en-US" w:eastAsia="zh-CN" w:bidi="ar"/>
                    </w:rPr>
                    <w:t>食品产业</w:t>
                  </w:r>
                </w:p>
              </w:tc>
              <w:tc>
                <w:tcPr>
                  <w:tcW w:w="3154" w:type="pct"/>
                  <w:noWrap w:val="0"/>
                  <w:vAlign w:val="center"/>
                </w:tcPr>
                <w:p w14:paraId="164D56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1、食品饮料罐加工及配套设备制造</w:t>
                  </w:r>
                  <w:r>
                    <w:rPr>
                      <w:rFonts w:hint="eastAsia" w:ascii="Times New Roman" w:hAnsi="Times New Roman" w:cs="Times New Roman"/>
                      <w:color w:val="auto"/>
                      <w:kern w:val="0"/>
                      <w:szCs w:val="21"/>
                      <w:lang w:eastAsia="zh-CN"/>
                    </w:rPr>
                    <w:t>。</w:t>
                  </w:r>
                </w:p>
                <w:p w14:paraId="53B3DD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2、天然食品添加剂、天然香料新技术开发与生产</w:t>
                  </w:r>
                  <w:r>
                    <w:rPr>
                      <w:rFonts w:hint="eastAsia" w:ascii="Times New Roman" w:hAnsi="Times New Roman" w:cs="Times New Roman"/>
                      <w:color w:val="auto"/>
                      <w:kern w:val="0"/>
                      <w:szCs w:val="21"/>
                      <w:lang w:eastAsia="zh-CN"/>
                    </w:rPr>
                    <w:t>。</w:t>
                  </w:r>
                </w:p>
                <w:p w14:paraId="3C801E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3、先进的食品生产设备研发与制造</w:t>
                  </w:r>
                  <w:r>
                    <w:rPr>
                      <w:rFonts w:hint="eastAsia" w:ascii="Times New Roman" w:hAnsi="Times New Roman" w:cs="Times New Roman"/>
                      <w:color w:val="auto"/>
                      <w:kern w:val="0"/>
                      <w:szCs w:val="21"/>
                      <w:lang w:eastAsia="zh-CN"/>
                    </w:rPr>
                    <w:t>。</w:t>
                  </w:r>
                </w:p>
                <w:p w14:paraId="25756E9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4、热带果汁、浆果果汁、谷物饮料、本草饮料、茶浓缩液、茶粉、植物蛋白饮料等高附加价值植物饮料的开发生产与加工原料基地建设；果渣、茶渣等的综合开发与利用</w:t>
                  </w:r>
                  <w:r>
                    <w:rPr>
                      <w:rFonts w:hint="eastAsia" w:ascii="Times New Roman" w:hAnsi="Times New Roman" w:cs="Times New Roman"/>
                      <w:color w:val="auto"/>
                      <w:kern w:val="0"/>
                      <w:szCs w:val="21"/>
                      <w:lang w:eastAsia="zh-CN"/>
                    </w:rPr>
                    <w:t>。</w:t>
                  </w:r>
                </w:p>
                <w:p w14:paraId="6495C1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rPr>
                    <w:t>、营养健康型大米、小麦粉（食品专用米、发芽糙米、留胚米、食品专用粉、全麦粉及营养强化产品等）及制品的开发生产；传统主食工业化生产；杂粮加工专用设备开发与生产</w:t>
                  </w:r>
                  <w:r>
                    <w:rPr>
                      <w:rFonts w:hint="eastAsia" w:ascii="Times New Roman" w:hAnsi="Times New Roman" w:cs="Times New Roman"/>
                      <w:color w:val="auto"/>
                      <w:kern w:val="0"/>
                      <w:szCs w:val="21"/>
                      <w:lang w:eastAsia="zh-CN"/>
                    </w:rPr>
                    <w:t>。</w:t>
                  </w:r>
                </w:p>
                <w:p w14:paraId="2452EE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6、粮油加工副产物（稻壳、米糠、麸皮、胚芽、饼粕等）综合利用关键技术开发应用</w:t>
                  </w:r>
                  <w:r>
                    <w:rPr>
                      <w:rFonts w:hint="eastAsia" w:ascii="Times New Roman" w:hAnsi="Times New Roman" w:cs="Times New Roman"/>
                      <w:color w:val="auto"/>
                      <w:kern w:val="0"/>
                      <w:szCs w:val="21"/>
                      <w:lang w:eastAsia="zh-CN"/>
                    </w:rPr>
                    <w:t>。</w:t>
                  </w:r>
                </w:p>
                <w:p w14:paraId="252949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7、菜籽油生产线：采用膨化、负压蒸发、热能自平衡利用、低消耗蒸汽真空系统等技术，油菜籽主产区日处理油菜籽400吨及以上、吨料溶剂消耗 1.5公斤以下（其中西部地区日处理油菜籽200吨及以上、吨料溶剂消耗2公斤）以下；花生油生产线：花生主产区日处理花生200吨及以上，吨料溶剂消耗2公斤以下；棉籽油生产线：棉籽产区日处理棉籽300吨及以上，吨料溶剂消耗2公斤以下；米糠油生产线：采用分散快速膨化，集中制油、精炼技术；玉米胚芽油生产线；油茶籽、核桃等木本油料和胡麻、芝麻、葵花籽等小品种油料加工生产线</w:t>
                  </w:r>
                  <w:r>
                    <w:rPr>
                      <w:rFonts w:hint="eastAsia" w:ascii="Times New Roman" w:hAnsi="Times New Roman" w:cs="Times New Roman"/>
                      <w:color w:val="auto"/>
                      <w:kern w:val="0"/>
                      <w:szCs w:val="21"/>
                      <w:lang w:eastAsia="zh-CN"/>
                    </w:rPr>
                    <w:t>。</w:t>
                  </w:r>
                </w:p>
                <w:p w14:paraId="24AED7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8、绿色无公害饲料及添加剂开发</w:t>
                  </w:r>
                  <w:r>
                    <w:rPr>
                      <w:rFonts w:hint="eastAsia" w:ascii="Times New Roman" w:hAnsi="Times New Roman" w:cs="Times New Roman"/>
                      <w:color w:val="auto"/>
                      <w:kern w:val="0"/>
                      <w:szCs w:val="21"/>
                      <w:lang w:eastAsia="zh-CN"/>
                    </w:rPr>
                    <w:t>。</w:t>
                  </w:r>
                </w:p>
                <w:p w14:paraId="70FB84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9、农业生物技术开发与应用</w:t>
                  </w:r>
                  <w:r>
                    <w:rPr>
                      <w:rFonts w:hint="eastAsia" w:ascii="Times New Roman" w:hAnsi="Times New Roman" w:cs="Times New Roman"/>
                      <w:color w:val="auto"/>
                      <w:kern w:val="0"/>
                      <w:szCs w:val="21"/>
                      <w:lang w:eastAsia="zh-CN"/>
                    </w:rPr>
                    <w:t>。</w:t>
                  </w:r>
                </w:p>
                <w:p w14:paraId="2286DC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10、农作物秸秆还田与综合利用（非粮饲料资源开发利用等）</w:t>
                  </w:r>
                  <w:r>
                    <w:rPr>
                      <w:rFonts w:hint="eastAsia" w:ascii="Times New Roman" w:hAnsi="Times New Roman" w:cs="Times New Roman"/>
                      <w:color w:val="auto"/>
                      <w:kern w:val="0"/>
                      <w:szCs w:val="21"/>
                      <w:lang w:eastAsia="zh-CN"/>
                    </w:rPr>
                    <w:t>。</w:t>
                  </w:r>
                </w:p>
                <w:p w14:paraId="7E8AF7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11、生物可降解塑料及其系列产品开发、生产与应用</w:t>
                  </w:r>
                  <w:r>
                    <w:rPr>
                      <w:rFonts w:hint="eastAsia" w:ascii="Times New Roman" w:hAnsi="Times New Roman" w:cs="Times New Roman"/>
                      <w:color w:val="auto"/>
                      <w:kern w:val="0"/>
                      <w:szCs w:val="21"/>
                      <w:lang w:eastAsia="zh-CN"/>
                    </w:rPr>
                    <w:t>。</w:t>
                  </w:r>
                </w:p>
                <w:p w14:paraId="479B58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发酵法工艺生产小品种氨基酸（赖氨酸、谷氨酸除外），新型酶制剂（糖化酶、淀粉酶除外）、多元醇、功能性发酵制品（功能性糖类、真菌多糖、功能性红曲、发酵法抗氧化和复合功能配料、活性肽、微生态制剂）等生产</w:t>
                  </w:r>
                  <w:r>
                    <w:rPr>
                      <w:rFonts w:hint="eastAsia" w:ascii="Times New Roman" w:hAnsi="Times New Roman" w:cs="Times New Roman"/>
                      <w:color w:val="auto"/>
                      <w:kern w:val="0"/>
                      <w:szCs w:val="21"/>
                      <w:lang w:eastAsia="zh-CN"/>
                    </w:rPr>
                    <w:t>。</w:t>
                  </w:r>
                </w:p>
                <w:p w14:paraId="65A744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kern w:val="0"/>
                      <w:sz w:val="21"/>
                      <w:szCs w:val="21"/>
                    </w:rPr>
                  </w:pPr>
                  <w:r>
                    <w:rPr>
                      <w:rFonts w:hint="default" w:ascii="Times New Roman" w:hAnsi="Times New Roman" w:cs="Times New Roman"/>
                      <w:color w:val="auto"/>
                      <w:kern w:val="0"/>
                      <w:szCs w:val="21"/>
                    </w:rPr>
                    <w:t>12、其他新发布或另行规定鼓励开发生产的项目、工艺、装置和产品</w:t>
                  </w:r>
                  <w:r>
                    <w:rPr>
                      <w:rFonts w:hint="default" w:ascii="Times New Roman" w:hAnsi="Times New Roman" w:cs="Times New Roman"/>
                      <w:kern w:val="0"/>
                      <w:sz w:val="21"/>
                      <w:szCs w:val="21"/>
                      <w:lang w:bidi="ar"/>
                    </w:rPr>
                    <w:t>。</w:t>
                  </w:r>
                </w:p>
              </w:tc>
              <w:tc>
                <w:tcPr>
                  <w:tcW w:w="827" w:type="pct"/>
                  <w:noWrap w:val="0"/>
                  <w:vAlign w:val="center"/>
                </w:tcPr>
                <w:p w14:paraId="20B40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kern w:val="0"/>
                      <w:szCs w:val="21"/>
                    </w:rPr>
                    <w:t>本项目为休闲食品、婴幼儿食品加工，</w:t>
                  </w:r>
                  <w:r>
                    <w:rPr>
                      <w:rFonts w:hint="eastAsia" w:cs="Times New Roman"/>
                      <w:kern w:val="0"/>
                      <w:sz w:val="21"/>
                      <w:szCs w:val="21"/>
                      <w:lang w:val="en-US" w:eastAsia="zh-CN"/>
                    </w:rPr>
                    <w:t>主要原料为谷物粉、果粉等，属于“</w:t>
                  </w:r>
                  <w:r>
                    <w:rPr>
                      <w:rFonts w:hint="eastAsia"/>
                      <w:kern w:val="0"/>
                      <w:szCs w:val="21"/>
                    </w:rPr>
                    <w:t>营养健康型大米、小麦粉（食品专用米、发芽糙米、留胚米、食品专用粉、全麦粉及营养强化产品等）及制品的开发生产</w:t>
                  </w:r>
                  <w:r>
                    <w:rPr>
                      <w:rFonts w:hint="eastAsia"/>
                      <w:kern w:val="0"/>
                      <w:szCs w:val="21"/>
                      <w:lang w:eastAsia="zh-CN"/>
                    </w:rPr>
                    <w:t>”，</w:t>
                  </w:r>
                  <w:r>
                    <w:rPr>
                      <w:rFonts w:hint="eastAsia"/>
                      <w:kern w:val="0"/>
                      <w:szCs w:val="21"/>
                      <w:lang w:val="en-US" w:eastAsia="zh-CN"/>
                    </w:rPr>
                    <w:t>为鼓励类</w:t>
                  </w:r>
                </w:p>
              </w:tc>
              <w:tc>
                <w:tcPr>
                  <w:tcW w:w="291" w:type="pct"/>
                  <w:noWrap w:val="0"/>
                  <w:vAlign w:val="center"/>
                </w:tcPr>
                <w:p w14:paraId="769D69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符合</w:t>
                  </w:r>
                </w:p>
              </w:tc>
            </w:tr>
            <w:tr w14:paraId="66870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6" w:type="pct"/>
                  <w:vMerge w:val="restart"/>
                  <w:noWrap w:val="0"/>
                  <w:vAlign w:val="center"/>
                </w:tcPr>
                <w:p w14:paraId="55F049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eastAsia="zh-CN"/>
                    </w:rPr>
                  </w:pPr>
                  <w:r>
                    <w:rPr>
                      <w:rFonts w:hint="eastAsia" w:ascii="宋体" w:hAnsi="宋体" w:cs="宋体"/>
                      <w:kern w:val="0"/>
                      <w:sz w:val="21"/>
                      <w:szCs w:val="21"/>
                      <w:lang w:val="en-US" w:eastAsia="zh-CN" w:bidi="ar"/>
                    </w:rPr>
                    <w:t>禁止类</w:t>
                  </w:r>
                </w:p>
              </w:tc>
              <w:tc>
                <w:tcPr>
                  <w:tcW w:w="419" w:type="pct"/>
                  <w:noWrap w:val="0"/>
                  <w:vAlign w:val="center"/>
                </w:tcPr>
                <w:p w14:paraId="7D1AB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信息产业</w:t>
                  </w:r>
                </w:p>
              </w:tc>
              <w:tc>
                <w:tcPr>
                  <w:tcW w:w="3154" w:type="pct"/>
                  <w:noWrap w:val="0"/>
                  <w:vAlign w:val="center"/>
                </w:tcPr>
                <w:p w14:paraId="4E0040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1、各级广播电台（站）、电视台（站）、广播电视频道（率）、广播电视传输 覆盖网（发射台、转播台、广播电视卫星、卫星上行站、卫星收转站、微波站、监测台、有线广播电视传输覆盖网），广播电视视频点播业务和卫星电视广播地面接收设施安装服务</w:t>
                  </w:r>
                  <w:r>
                    <w:rPr>
                      <w:rFonts w:hint="eastAsia" w:ascii="Times New Roman" w:hAnsi="Times New Roman" w:cs="Times New Roman"/>
                      <w:color w:val="auto"/>
                      <w:kern w:val="0"/>
                      <w:szCs w:val="21"/>
                      <w:lang w:eastAsia="zh-CN"/>
                    </w:rPr>
                    <w:t>。</w:t>
                  </w:r>
                </w:p>
                <w:p w14:paraId="0C3B3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kern w:val="0"/>
                      <w:sz w:val="21"/>
                      <w:szCs w:val="21"/>
                    </w:rPr>
                  </w:pPr>
                  <w:r>
                    <w:rPr>
                      <w:rFonts w:hint="default" w:ascii="Times New Roman" w:hAnsi="Times New Roman" w:cs="Times New Roman"/>
                      <w:color w:val="auto"/>
                      <w:kern w:val="0"/>
                      <w:szCs w:val="21"/>
                    </w:rPr>
                    <w:t>2、其他新发布或另行规定禁止开发生产的项目、工艺、装置和产品</w:t>
                  </w:r>
                  <w:r>
                    <w:rPr>
                      <w:rFonts w:hint="eastAsia" w:ascii="Times New Roman" w:hAnsi="Times New Roman" w:cs="Times New Roman"/>
                      <w:color w:val="auto"/>
                      <w:kern w:val="0"/>
                      <w:szCs w:val="21"/>
                      <w:lang w:eastAsia="zh-CN"/>
                    </w:rPr>
                    <w:t>。</w:t>
                  </w:r>
                </w:p>
              </w:tc>
              <w:tc>
                <w:tcPr>
                  <w:tcW w:w="827" w:type="pct"/>
                  <w:noWrap w:val="0"/>
                  <w:vAlign w:val="center"/>
                </w:tcPr>
                <w:p w14:paraId="53FAAC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w:t>
                  </w:r>
                </w:p>
              </w:tc>
              <w:tc>
                <w:tcPr>
                  <w:tcW w:w="291" w:type="pct"/>
                  <w:noWrap w:val="0"/>
                  <w:vAlign w:val="center"/>
                </w:tcPr>
                <w:p w14:paraId="5334FE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w:t>
                  </w:r>
                </w:p>
              </w:tc>
            </w:tr>
            <w:tr w14:paraId="60E070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06" w:type="pct"/>
                  <w:vMerge w:val="continue"/>
                  <w:noWrap w:val="0"/>
                  <w:vAlign w:val="center"/>
                </w:tcPr>
                <w:p w14:paraId="5D7548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kern w:val="0"/>
                      <w:sz w:val="21"/>
                      <w:szCs w:val="21"/>
                      <w:lang w:val="en-US" w:eastAsia="zh-CN" w:bidi="ar"/>
                    </w:rPr>
                  </w:pPr>
                </w:p>
              </w:tc>
              <w:tc>
                <w:tcPr>
                  <w:tcW w:w="419" w:type="pct"/>
                  <w:noWrap w:val="0"/>
                  <w:vAlign w:val="center"/>
                </w:tcPr>
                <w:p w14:paraId="4B118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kern w:val="0"/>
                      <w:sz w:val="21"/>
                      <w:szCs w:val="21"/>
                      <w:lang w:val="en-US" w:eastAsia="zh-CN" w:bidi="ar"/>
                    </w:rPr>
                  </w:pPr>
                  <w:r>
                    <w:rPr>
                      <w:rFonts w:hint="eastAsia" w:ascii="Times New Roman" w:hAnsi="Times New Roman" w:cs="Times New Roman"/>
                      <w:color w:val="auto"/>
                      <w:kern w:val="0"/>
                      <w:szCs w:val="21"/>
                      <w:lang w:eastAsia="zh-CN"/>
                    </w:rPr>
                    <w:t>食品产业</w:t>
                  </w:r>
                </w:p>
              </w:tc>
              <w:tc>
                <w:tcPr>
                  <w:tcW w:w="3154" w:type="pct"/>
                  <w:noWrap w:val="0"/>
                  <w:vAlign w:val="center"/>
                </w:tcPr>
                <w:p w14:paraId="1B03D2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1、单套10万吨/年以下的真空制盐装置、20万吨/年以下的湖盐和30万吨/年以下的北方海盐生产设施</w:t>
                  </w:r>
                  <w:r>
                    <w:rPr>
                      <w:rFonts w:hint="eastAsia" w:ascii="Times New Roman" w:hAnsi="Times New Roman" w:cs="Times New Roman"/>
                      <w:color w:val="auto"/>
                      <w:kern w:val="0"/>
                      <w:szCs w:val="21"/>
                      <w:lang w:eastAsia="zh-CN"/>
                    </w:rPr>
                    <w:t>。</w:t>
                  </w:r>
                </w:p>
                <w:p w14:paraId="4D3E90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2、利用矿盐卤水、油气田水且采用平锅、滩晒制盐的生产工艺与装置</w:t>
                  </w:r>
                  <w:r>
                    <w:rPr>
                      <w:rFonts w:hint="eastAsia" w:ascii="Times New Roman" w:hAnsi="Times New Roman" w:cs="Times New Roman"/>
                      <w:color w:val="auto"/>
                      <w:kern w:val="0"/>
                      <w:szCs w:val="21"/>
                      <w:lang w:eastAsia="zh-CN"/>
                    </w:rPr>
                    <w:t>。</w:t>
                  </w:r>
                </w:p>
                <w:p w14:paraId="0A5F74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3、2 万吨/年及以下的南方海盐生产装置</w:t>
                  </w:r>
                  <w:r>
                    <w:rPr>
                      <w:rFonts w:hint="eastAsia" w:ascii="Times New Roman" w:hAnsi="Times New Roman" w:cs="Times New Roman"/>
                      <w:color w:val="auto"/>
                      <w:kern w:val="0"/>
                      <w:szCs w:val="21"/>
                      <w:lang w:eastAsia="zh-CN"/>
                    </w:rPr>
                    <w:t>。</w:t>
                  </w:r>
                </w:p>
                <w:p w14:paraId="21F2C5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4、生产能力12000瓶/时以下的玻璃瓶啤酒灌装生产线</w:t>
                  </w:r>
                  <w:r>
                    <w:rPr>
                      <w:rFonts w:hint="eastAsia" w:ascii="Times New Roman" w:hAnsi="Times New Roman" w:cs="Times New Roman"/>
                      <w:color w:val="auto"/>
                      <w:kern w:val="0"/>
                      <w:szCs w:val="21"/>
                      <w:lang w:eastAsia="zh-CN"/>
                    </w:rPr>
                    <w:t>。</w:t>
                  </w:r>
                </w:p>
                <w:p w14:paraId="4F7E16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5、生产能力150瓶/分钟以下（瓶容在250毫升及以下）的碳酸饮料生产线6、日处理原料乳能力（两班）20吨以下浓缩、喷雾干燥等设施；200千克/小时以下的手动及半自动液体乳灌装设备</w:t>
                  </w:r>
                  <w:r>
                    <w:rPr>
                      <w:rFonts w:hint="eastAsia" w:ascii="Times New Roman" w:hAnsi="Times New Roman" w:cs="Times New Roman"/>
                      <w:color w:val="auto"/>
                      <w:kern w:val="0"/>
                      <w:szCs w:val="21"/>
                      <w:lang w:eastAsia="zh-CN"/>
                    </w:rPr>
                    <w:t>。</w:t>
                  </w:r>
                </w:p>
                <w:p w14:paraId="32B5B6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7、3 万吨/年以下酒精生产线（废糖蜜制酒精除外）</w:t>
                  </w:r>
                  <w:r>
                    <w:rPr>
                      <w:rFonts w:hint="eastAsia" w:ascii="Times New Roman" w:hAnsi="Times New Roman" w:cs="Times New Roman"/>
                      <w:color w:val="auto"/>
                      <w:kern w:val="0"/>
                      <w:szCs w:val="21"/>
                      <w:lang w:eastAsia="zh-CN"/>
                    </w:rPr>
                    <w:t>。</w:t>
                  </w:r>
                </w:p>
                <w:p w14:paraId="08C5A2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8、3 万吨/年以下味精生产装置</w:t>
                  </w:r>
                  <w:r>
                    <w:rPr>
                      <w:rFonts w:hint="eastAsia" w:ascii="Times New Roman" w:hAnsi="Times New Roman" w:cs="Times New Roman"/>
                      <w:color w:val="auto"/>
                      <w:kern w:val="0"/>
                      <w:szCs w:val="21"/>
                      <w:lang w:eastAsia="zh-CN"/>
                    </w:rPr>
                    <w:t>。</w:t>
                  </w:r>
                </w:p>
                <w:p w14:paraId="50F874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9、2 万吨/年及以下柠檬酸生产装置</w:t>
                  </w:r>
                  <w:r>
                    <w:rPr>
                      <w:rFonts w:hint="eastAsia" w:ascii="Times New Roman" w:hAnsi="Times New Roman" w:cs="Times New Roman"/>
                      <w:color w:val="auto"/>
                      <w:kern w:val="0"/>
                      <w:szCs w:val="21"/>
                      <w:lang w:eastAsia="zh-CN"/>
                    </w:rPr>
                    <w:t>。</w:t>
                  </w:r>
                </w:p>
                <w:p w14:paraId="3ABA8F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10、年处理10万吨以下、总干物收率 97%以下的湿法玉米淀粉生产</w:t>
                  </w:r>
                  <w:r>
                    <w:rPr>
                      <w:rFonts w:hint="eastAsia" w:ascii="Times New Roman" w:hAnsi="Times New Roman" w:cs="Times New Roman"/>
                      <w:color w:val="auto"/>
                      <w:kern w:val="0"/>
                      <w:szCs w:val="21"/>
                      <w:lang w:eastAsia="zh-CN"/>
                    </w:rPr>
                    <w:t>线</w:t>
                  </w:r>
                </w:p>
                <w:p w14:paraId="796FE6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cs="Times New Roman"/>
                      <w:color w:val="auto"/>
                      <w:kern w:val="0"/>
                      <w:szCs w:val="21"/>
                      <w:lang w:eastAsia="zh-CN"/>
                    </w:rPr>
                  </w:pPr>
                  <w:r>
                    <w:rPr>
                      <w:rFonts w:hint="default" w:ascii="Times New Roman" w:hAnsi="Times New Roman" w:cs="Times New Roman"/>
                      <w:color w:val="auto"/>
                      <w:kern w:val="0"/>
                      <w:szCs w:val="21"/>
                    </w:rPr>
                    <w:t>11、桥式劈半锯、敞式生猪烫毛机等生猪屠宰设备</w:t>
                  </w:r>
                  <w:r>
                    <w:rPr>
                      <w:rFonts w:hint="eastAsia" w:ascii="Times New Roman" w:hAnsi="Times New Roman" w:cs="Times New Roman"/>
                      <w:color w:val="auto"/>
                      <w:kern w:val="0"/>
                      <w:szCs w:val="21"/>
                      <w:lang w:eastAsia="zh-CN"/>
                    </w:rPr>
                    <w:t>。</w:t>
                  </w:r>
                </w:p>
                <w:p w14:paraId="148FC4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12、猪、牛、羊、禽手工屠宰工艺</w:t>
                  </w:r>
                  <w:r>
                    <w:rPr>
                      <w:rFonts w:hint="eastAsia" w:ascii="Times New Roman" w:hAnsi="Times New Roman" w:cs="Times New Roman"/>
                      <w:color w:val="auto"/>
                      <w:kern w:val="0"/>
                      <w:szCs w:val="21"/>
                      <w:lang w:eastAsia="zh-CN"/>
                    </w:rPr>
                    <w:t>。</w:t>
                  </w:r>
                </w:p>
                <w:p w14:paraId="26FFC3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13、小麦粉增白剂（过氧化苯甲酰、过氧化钙）的添加工艺</w:t>
                  </w:r>
                  <w:r>
                    <w:rPr>
                      <w:rFonts w:hint="eastAsia" w:ascii="Times New Roman" w:hAnsi="Times New Roman" w:cs="Times New Roman"/>
                      <w:color w:val="auto"/>
                      <w:kern w:val="0"/>
                      <w:szCs w:val="21"/>
                      <w:lang w:eastAsia="zh-CN"/>
                    </w:rPr>
                    <w:t>。</w:t>
                  </w:r>
                </w:p>
                <w:p w14:paraId="4E5F68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14、软木塞烫腊包装药品工艺</w:t>
                  </w:r>
                  <w:r>
                    <w:rPr>
                      <w:rFonts w:hint="eastAsia" w:ascii="Times New Roman" w:hAnsi="Times New Roman" w:cs="Times New Roman"/>
                      <w:color w:val="auto"/>
                      <w:kern w:val="0"/>
                      <w:szCs w:val="21"/>
                      <w:lang w:eastAsia="zh-CN"/>
                    </w:rPr>
                    <w:t>。</w:t>
                  </w:r>
                </w:p>
                <w:p w14:paraId="455A0F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15、不符合GMP要求的安瓿拉丝灌封机</w:t>
                  </w:r>
                  <w:r>
                    <w:rPr>
                      <w:rFonts w:hint="eastAsia" w:ascii="Times New Roman" w:hAnsi="Times New Roman" w:cs="Times New Roman"/>
                      <w:color w:val="auto"/>
                      <w:kern w:val="0"/>
                      <w:szCs w:val="21"/>
                      <w:lang w:eastAsia="zh-CN"/>
                    </w:rPr>
                    <w:t>。</w:t>
                  </w:r>
                </w:p>
                <w:p w14:paraId="5CB419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16、塔式重蒸馏水器</w:t>
                  </w:r>
                  <w:r>
                    <w:rPr>
                      <w:rFonts w:hint="eastAsia" w:ascii="Times New Roman" w:hAnsi="Times New Roman" w:cs="Times New Roman"/>
                      <w:color w:val="auto"/>
                      <w:kern w:val="0"/>
                      <w:szCs w:val="21"/>
                      <w:lang w:eastAsia="zh-CN"/>
                    </w:rPr>
                    <w:t>。</w:t>
                  </w:r>
                </w:p>
                <w:p w14:paraId="7DAF83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17、无净化设施的热风干燥箱</w:t>
                  </w:r>
                  <w:r>
                    <w:rPr>
                      <w:rFonts w:hint="eastAsia" w:ascii="Times New Roman" w:hAnsi="Times New Roman" w:cs="Times New Roman"/>
                      <w:color w:val="auto"/>
                      <w:kern w:val="0"/>
                      <w:szCs w:val="21"/>
                      <w:lang w:eastAsia="zh-CN"/>
                    </w:rPr>
                    <w:t>。</w:t>
                  </w:r>
                </w:p>
                <w:p w14:paraId="7F97EA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18、手工胶囊填充工艺</w:t>
                  </w:r>
                  <w:r>
                    <w:rPr>
                      <w:rFonts w:hint="eastAsia" w:ascii="Times New Roman" w:hAnsi="Times New Roman" w:cs="Times New Roman"/>
                      <w:color w:val="auto"/>
                      <w:kern w:val="0"/>
                      <w:szCs w:val="21"/>
                      <w:lang w:eastAsia="zh-CN"/>
                    </w:rPr>
                    <w:t>。</w:t>
                  </w:r>
                </w:p>
                <w:p w14:paraId="62CA7F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19、中药饮片的蒸、炒、炙、煅等炮制技术的应用及中成药保密处方产品的生产（外商）</w:t>
                  </w:r>
                  <w:r>
                    <w:rPr>
                      <w:rFonts w:hint="eastAsia" w:ascii="Times New Roman" w:hAnsi="Times New Roman" w:cs="Times New Roman"/>
                      <w:color w:val="auto"/>
                      <w:kern w:val="0"/>
                      <w:szCs w:val="21"/>
                      <w:lang w:eastAsia="zh-CN"/>
                    </w:rPr>
                    <w:t>。</w:t>
                  </w:r>
                </w:p>
                <w:p w14:paraId="47AA21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20、其他新发布或另行规定禁止开发生产的项目、工艺、装置和产品</w:t>
                  </w:r>
                  <w:r>
                    <w:rPr>
                      <w:rFonts w:hint="eastAsia" w:ascii="Times New Roman" w:hAnsi="Times New Roman" w:cs="Times New Roman"/>
                      <w:color w:val="auto"/>
                      <w:kern w:val="0"/>
                      <w:szCs w:val="21"/>
                      <w:lang w:eastAsia="zh-CN"/>
                    </w:rPr>
                    <w:t>。</w:t>
                  </w:r>
                </w:p>
              </w:tc>
              <w:tc>
                <w:tcPr>
                  <w:tcW w:w="827" w:type="pct"/>
                  <w:noWrap w:val="0"/>
                  <w:vAlign w:val="center"/>
                </w:tcPr>
                <w:p w14:paraId="41B952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不涉及</w:t>
                  </w:r>
                </w:p>
              </w:tc>
              <w:tc>
                <w:tcPr>
                  <w:tcW w:w="291" w:type="pct"/>
                  <w:noWrap w:val="0"/>
                  <w:vAlign w:val="center"/>
                </w:tcPr>
                <w:p w14:paraId="46B096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符合</w:t>
                  </w:r>
                </w:p>
              </w:tc>
            </w:tr>
            <w:tr w14:paraId="08AED3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306" w:type="pct"/>
                  <w:vMerge w:val="restart"/>
                  <w:noWrap w:val="0"/>
                  <w:vAlign w:val="center"/>
                </w:tcPr>
                <w:p w14:paraId="7AE256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eastAsia="zh-CN"/>
                    </w:rPr>
                  </w:pPr>
                  <w:r>
                    <w:rPr>
                      <w:rFonts w:hint="eastAsia" w:ascii="宋体" w:hAnsi="宋体" w:cs="宋体"/>
                      <w:kern w:val="0"/>
                      <w:sz w:val="21"/>
                      <w:szCs w:val="21"/>
                      <w:lang w:val="en-US" w:eastAsia="zh-CN" w:bidi="ar"/>
                    </w:rPr>
                    <w:t>限制类</w:t>
                  </w:r>
                </w:p>
              </w:tc>
              <w:tc>
                <w:tcPr>
                  <w:tcW w:w="419" w:type="pct"/>
                  <w:noWrap w:val="0"/>
                  <w:vAlign w:val="center"/>
                </w:tcPr>
                <w:p w14:paraId="484443D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Times New Roman" w:hAnsi="Times New Roman" w:cs="Times New Roman"/>
                      <w:color w:val="auto"/>
                      <w:kern w:val="0"/>
                      <w:szCs w:val="21"/>
                    </w:rPr>
                  </w:pPr>
                  <w:r>
                    <w:rPr>
                      <w:rFonts w:hint="eastAsia" w:ascii="Times New Roman" w:hAnsi="Times New Roman" w:cs="Times New Roman"/>
                      <w:color w:val="auto"/>
                      <w:kern w:val="0"/>
                      <w:szCs w:val="21"/>
                    </w:rPr>
                    <w:t>信</w:t>
                  </w:r>
                </w:p>
                <w:p w14:paraId="523725D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Times New Roman" w:hAnsi="Times New Roman" w:cs="Times New Roman"/>
                      <w:color w:val="auto"/>
                      <w:kern w:val="0"/>
                      <w:szCs w:val="21"/>
                    </w:rPr>
                  </w:pPr>
                  <w:r>
                    <w:rPr>
                      <w:rFonts w:hint="eastAsia" w:ascii="Times New Roman" w:hAnsi="Times New Roman" w:cs="Times New Roman"/>
                      <w:color w:val="auto"/>
                      <w:kern w:val="0"/>
                      <w:szCs w:val="21"/>
                    </w:rPr>
                    <w:t>息</w:t>
                  </w:r>
                </w:p>
                <w:p w14:paraId="34D5D2E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Times New Roman" w:hAnsi="Times New Roman" w:cs="Times New Roman"/>
                      <w:color w:val="auto"/>
                      <w:kern w:val="0"/>
                      <w:szCs w:val="21"/>
                    </w:rPr>
                  </w:pPr>
                  <w:r>
                    <w:rPr>
                      <w:rFonts w:hint="eastAsia" w:ascii="Times New Roman" w:hAnsi="Times New Roman" w:cs="Times New Roman"/>
                      <w:color w:val="auto"/>
                      <w:kern w:val="0"/>
                      <w:szCs w:val="21"/>
                    </w:rPr>
                    <w:t>产</w:t>
                  </w:r>
                </w:p>
                <w:p w14:paraId="26ACC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kern w:val="0"/>
                      <w:sz w:val="21"/>
                      <w:szCs w:val="21"/>
                      <w:lang w:bidi="ar"/>
                    </w:rPr>
                  </w:pPr>
                  <w:r>
                    <w:rPr>
                      <w:rFonts w:hint="eastAsia" w:ascii="Times New Roman" w:hAnsi="Times New Roman" w:cs="Times New Roman"/>
                      <w:color w:val="auto"/>
                      <w:kern w:val="0"/>
                      <w:szCs w:val="21"/>
                    </w:rPr>
                    <w:t>业</w:t>
                  </w:r>
                </w:p>
              </w:tc>
              <w:tc>
                <w:tcPr>
                  <w:tcW w:w="3154" w:type="pct"/>
                  <w:noWrap w:val="0"/>
                  <w:vAlign w:val="center"/>
                </w:tcPr>
                <w:p w14:paraId="0D0093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1、激光视盘机生产线（VCD系列整机产品）</w:t>
                  </w:r>
                  <w:r>
                    <w:rPr>
                      <w:rFonts w:hint="eastAsia" w:ascii="Times New Roman" w:hAnsi="Times New Roman" w:cs="Times New Roman"/>
                      <w:color w:val="auto"/>
                      <w:kern w:val="0"/>
                      <w:szCs w:val="21"/>
                      <w:lang w:eastAsia="zh-CN"/>
                    </w:rPr>
                    <w:t>。</w:t>
                  </w:r>
                </w:p>
                <w:p w14:paraId="54EABB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2、模拟CR</w:t>
                  </w:r>
                  <w:r>
                    <w:rPr>
                      <w:rFonts w:hint="eastAsia" w:ascii="Times New Roman" w:hAnsi="Times New Roman" w:cs="Times New Roman"/>
                      <w:color w:val="auto"/>
                      <w:kern w:val="0"/>
                      <w:szCs w:val="21"/>
                      <w:lang w:eastAsia="zh-CN"/>
                    </w:rPr>
                    <w:t>t</w:t>
                  </w:r>
                  <w:r>
                    <w:rPr>
                      <w:rFonts w:hint="default" w:ascii="Times New Roman" w:hAnsi="Times New Roman" w:cs="Times New Roman"/>
                      <w:color w:val="auto"/>
                      <w:kern w:val="0"/>
                      <w:szCs w:val="21"/>
                    </w:rPr>
                    <w:t>黑白及彩色电视机项目</w:t>
                  </w:r>
                  <w:r>
                    <w:rPr>
                      <w:rFonts w:hint="eastAsia" w:ascii="Times New Roman" w:hAnsi="Times New Roman" w:cs="Times New Roman"/>
                      <w:color w:val="auto"/>
                      <w:kern w:val="0"/>
                      <w:szCs w:val="21"/>
                      <w:lang w:eastAsia="zh-CN"/>
                    </w:rPr>
                    <w:t>。</w:t>
                  </w:r>
                </w:p>
                <w:p w14:paraId="697885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3、卫星电视广播地面接收设施及关键件生产（外商）</w:t>
                  </w:r>
                  <w:r>
                    <w:rPr>
                      <w:rFonts w:hint="eastAsia" w:ascii="Times New Roman" w:hAnsi="Times New Roman" w:cs="Times New Roman"/>
                      <w:color w:val="auto"/>
                      <w:kern w:val="0"/>
                      <w:szCs w:val="21"/>
                      <w:lang w:eastAsia="zh-CN"/>
                    </w:rPr>
                    <w:t>。</w:t>
                  </w:r>
                </w:p>
                <w:p w14:paraId="351CD2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4、电信公司：限于W</w:t>
                  </w:r>
                  <w:r>
                    <w:rPr>
                      <w:rFonts w:hint="eastAsia" w:ascii="Times New Roman" w:hAnsi="Times New Roman" w:cs="Times New Roman"/>
                      <w:color w:val="auto"/>
                      <w:kern w:val="0"/>
                      <w:szCs w:val="21"/>
                      <w:lang w:eastAsia="zh-CN"/>
                    </w:rPr>
                    <w:t>t</w:t>
                  </w:r>
                  <w:r>
                    <w:rPr>
                      <w:rFonts w:hint="default" w:ascii="Times New Roman" w:hAnsi="Times New Roman" w:cs="Times New Roman"/>
                      <w:color w:val="auto"/>
                      <w:kern w:val="0"/>
                      <w:szCs w:val="21"/>
                    </w:rPr>
                    <w:t>O承诺开放的业务，增值电信业务（外资比例不超过 50%，电子商务除外），基础电信业务（中方控股）（外商）</w:t>
                  </w:r>
                  <w:r>
                    <w:rPr>
                      <w:rFonts w:hint="eastAsia" w:ascii="Times New Roman" w:hAnsi="Times New Roman" w:cs="Times New Roman"/>
                      <w:color w:val="auto"/>
                      <w:kern w:val="0"/>
                      <w:szCs w:val="21"/>
                      <w:lang w:eastAsia="zh-CN"/>
                    </w:rPr>
                    <w:t>。</w:t>
                  </w:r>
                </w:p>
                <w:p w14:paraId="17CE44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kern w:val="0"/>
                      <w:sz w:val="21"/>
                      <w:szCs w:val="21"/>
                    </w:rPr>
                  </w:pPr>
                  <w:r>
                    <w:rPr>
                      <w:rFonts w:hint="default" w:ascii="Times New Roman" w:hAnsi="Times New Roman" w:cs="Times New Roman"/>
                      <w:color w:val="auto"/>
                      <w:kern w:val="0"/>
                      <w:szCs w:val="21"/>
                    </w:rPr>
                    <w:t>5、其他新发布或另行规定的限制开发生产的项目、工艺、装置和产品</w:t>
                  </w:r>
                  <w:r>
                    <w:rPr>
                      <w:rFonts w:hint="eastAsia" w:ascii="宋体" w:hAnsi="宋体" w:cs="宋体"/>
                      <w:kern w:val="0"/>
                      <w:sz w:val="21"/>
                      <w:szCs w:val="21"/>
                      <w:lang w:bidi="ar"/>
                    </w:rPr>
                    <w:t>。</w:t>
                  </w:r>
                </w:p>
              </w:tc>
              <w:tc>
                <w:tcPr>
                  <w:tcW w:w="827" w:type="pct"/>
                  <w:noWrap w:val="0"/>
                  <w:vAlign w:val="center"/>
                </w:tcPr>
                <w:p w14:paraId="13F789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kern w:val="0"/>
                      <w:sz w:val="21"/>
                      <w:szCs w:val="21"/>
                    </w:rPr>
                  </w:pPr>
                  <w:r>
                    <w:rPr>
                      <w:rFonts w:hint="eastAsia" w:cs="Times New Roman"/>
                      <w:sz w:val="21"/>
                      <w:szCs w:val="21"/>
                      <w:lang w:val="en-US" w:eastAsia="zh-CN"/>
                    </w:rPr>
                    <w:t>/</w:t>
                  </w:r>
                </w:p>
              </w:tc>
              <w:tc>
                <w:tcPr>
                  <w:tcW w:w="291" w:type="pct"/>
                  <w:noWrap w:val="0"/>
                  <w:vAlign w:val="center"/>
                </w:tcPr>
                <w:p w14:paraId="23F9F4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w:t>
                  </w:r>
                </w:p>
              </w:tc>
            </w:tr>
            <w:tr w14:paraId="70EF35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306" w:type="pct"/>
                  <w:vMerge w:val="continue"/>
                  <w:noWrap w:val="0"/>
                  <w:vAlign w:val="center"/>
                </w:tcPr>
                <w:p w14:paraId="7342FF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kern w:val="0"/>
                      <w:sz w:val="21"/>
                      <w:szCs w:val="21"/>
                      <w:lang w:val="en-US" w:eastAsia="zh-CN" w:bidi="ar"/>
                    </w:rPr>
                  </w:pPr>
                </w:p>
              </w:tc>
              <w:tc>
                <w:tcPr>
                  <w:tcW w:w="419" w:type="pct"/>
                  <w:noWrap w:val="0"/>
                  <w:vAlign w:val="center"/>
                </w:tcPr>
                <w:p w14:paraId="6E95F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kern w:val="0"/>
                      <w:szCs w:val="21"/>
                    </w:rPr>
                  </w:pPr>
                  <w:r>
                    <w:rPr>
                      <w:rFonts w:hint="eastAsia" w:ascii="Times New Roman" w:hAnsi="Times New Roman" w:cs="Times New Roman"/>
                      <w:color w:val="auto"/>
                      <w:kern w:val="0"/>
                      <w:szCs w:val="21"/>
                      <w:lang w:eastAsia="zh-CN"/>
                    </w:rPr>
                    <w:t>食品产业</w:t>
                  </w:r>
                </w:p>
              </w:tc>
              <w:tc>
                <w:tcPr>
                  <w:tcW w:w="3154" w:type="pct"/>
                  <w:noWrap w:val="0"/>
                  <w:vAlign w:val="center"/>
                </w:tcPr>
                <w:p w14:paraId="198EB78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cs="Times New Roman"/>
                      <w:color w:val="auto"/>
                      <w:kern w:val="0"/>
                      <w:szCs w:val="21"/>
                      <w:lang w:eastAsia="zh-CN"/>
                    </w:rPr>
                  </w:pPr>
                  <w:r>
                    <w:rPr>
                      <w:rFonts w:hint="default" w:ascii="Times New Roman" w:hAnsi="Times New Roman" w:cs="Times New Roman"/>
                      <w:color w:val="auto"/>
                      <w:kern w:val="0"/>
                      <w:szCs w:val="21"/>
                    </w:rPr>
                    <w:t>1、生产能力小于18000瓶/时的啤酒灌装生产线</w:t>
                  </w:r>
                  <w:r>
                    <w:rPr>
                      <w:rFonts w:hint="eastAsia" w:ascii="Times New Roman" w:hAnsi="Times New Roman" w:cs="Times New Roman"/>
                      <w:color w:val="auto"/>
                      <w:kern w:val="0"/>
                      <w:szCs w:val="21"/>
                      <w:lang w:eastAsia="zh-CN"/>
                    </w:rPr>
                    <w:t>。</w:t>
                  </w:r>
                </w:p>
                <w:p w14:paraId="030DB9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2、羰基合成法及齐格勒法生产的脂肪醇产品</w:t>
                  </w:r>
                  <w:r>
                    <w:rPr>
                      <w:rFonts w:hint="eastAsia" w:ascii="Times New Roman" w:hAnsi="Times New Roman" w:cs="Times New Roman"/>
                      <w:color w:val="auto"/>
                      <w:kern w:val="0"/>
                      <w:szCs w:val="21"/>
                      <w:lang w:eastAsia="zh-CN"/>
                    </w:rPr>
                    <w:t>。</w:t>
                  </w:r>
                </w:p>
                <w:p w14:paraId="7234E1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3、100万吨/年以下北方海盐项目；新建南方海盐盐场项目；60万吨/年以下矿（井）盐项目</w:t>
                  </w:r>
                  <w:r>
                    <w:rPr>
                      <w:rFonts w:hint="eastAsia" w:ascii="Times New Roman" w:hAnsi="Times New Roman" w:cs="Times New Roman"/>
                      <w:color w:val="auto"/>
                      <w:kern w:val="0"/>
                      <w:szCs w:val="21"/>
                      <w:lang w:eastAsia="zh-CN"/>
                    </w:rPr>
                    <w:t>。</w:t>
                  </w:r>
                </w:p>
                <w:p w14:paraId="34A32F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4、原糖加工项目及日处理甘蔗5000吨、日处理甜菜3000吨以下的新建项目</w:t>
                  </w:r>
                  <w:r>
                    <w:rPr>
                      <w:rFonts w:hint="eastAsia" w:ascii="Times New Roman" w:hAnsi="Times New Roman" w:cs="Times New Roman"/>
                      <w:color w:val="auto"/>
                      <w:kern w:val="0"/>
                      <w:szCs w:val="21"/>
                      <w:lang w:eastAsia="zh-CN"/>
                    </w:rPr>
                    <w:t>。</w:t>
                  </w:r>
                </w:p>
                <w:p w14:paraId="0C0C94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5、白酒生产线</w:t>
                  </w:r>
                  <w:r>
                    <w:rPr>
                      <w:rFonts w:hint="eastAsia" w:ascii="Times New Roman" w:hAnsi="Times New Roman" w:cs="Times New Roman"/>
                      <w:color w:val="auto"/>
                      <w:kern w:val="0"/>
                      <w:szCs w:val="21"/>
                      <w:lang w:eastAsia="zh-CN"/>
                    </w:rPr>
                    <w:t>。</w:t>
                  </w:r>
                </w:p>
                <w:p w14:paraId="744B99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6、酒精生产线</w:t>
                  </w:r>
                  <w:r>
                    <w:rPr>
                      <w:rFonts w:hint="eastAsia" w:ascii="Times New Roman" w:hAnsi="Times New Roman" w:cs="Times New Roman"/>
                      <w:color w:val="auto"/>
                      <w:kern w:val="0"/>
                      <w:szCs w:val="21"/>
                      <w:lang w:eastAsia="zh-CN"/>
                    </w:rPr>
                    <w:t>。</w:t>
                  </w:r>
                </w:p>
                <w:p w14:paraId="68F1770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7、5 万吨/年及以下且采用等电离交工艺的味精生产线</w:t>
                  </w:r>
                  <w:r>
                    <w:rPr>
                      <w:rFonts w:hint="eastAsia" w:ascii="Times New Roman" w:hAnsi="Times New Roman" w:cs="Times New Roman"/>
                      <w:color w:val="auto"/>
                      <w:kern w:val="0"/>
                      <w:szCs w:val="21"/>
                      <w:lang w:eastAsia="zh-CN"/>
                    </w:rPr>
                    <w:t>。</w:t>
                  </w:r>
                </w:p>
                <w:p w14:paraId="44EC89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8、糖精等化学合成甜味剂生产线</w:t>
                  </w:r>
                  <w:r>
                    <w:rPr>
                      <w:rFonts w:hint="eastAsia" w:ascii="Times New Roman" w:hAnsi="Times New Roman" w:cs="Times New Roman"/>
                      <w:color w:val="auto"/>
                      <w:kern w:val="0"/>
                      <w:szCs w:val="21"/>
                      <w:lang w:eastAsia="zh-CN"/>
                    </w:rPr>
                    <w:t>。</w:t>
                  </w:r>
                </w:p>
                <w:p w14:paraId="79DBC3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9、浓缩苹果汁生产线</w:t>
                  </w:r>
                  <w:r>
                    <w:rPr>
                      <w:rFonts w:hint="eastAsia" w:ascii="Times New Roman" w:hAnsi="Times New Roman" w:cs="Times New Roman"/>
                      <w:color w:val="auto"/>
                      <w:kern w:val="0"/>
                      <w:szCs w:val="21"/>
                      <w:lang w:eastAsia="zh-CN"/>
                    </w:rPr>
                    <w:t>。</w:t>
                  </w:r>
                </w:p>
                <w:p w14:paraId="3D4C65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10、大豆压榨及浸出项目；东、中部地区单线日处理油菜籽、棉籽200吨及以下，花生100吨及以下的油料加工项目</w:t>
                  </w:r>
                  <w:r>
                    <w:rPr>
                      <w:rFonts w:hint="eastAsia" w:ascii="Times New Roman" w:hAnsi="Times New Roman" w:cs="Times New Roman"/>
                      <w:color w:val="auto"/>
                      <w:kern w:val="0"/>
                      <w:szCs w:val="21"/>
                      <w:lang w:eastAsia="zh-CN"/>
                    </w:rPr>
                    <w:t>。</w:t>
                  </w:r>
                </w:p>
                <w:p w14:paraId="2F9352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11、年加工玉米30万吨以下、绝干收率在98%以下玉米淀粉湿法生产线</w:t>
                  </w:r>
                  <w:r>
                    <w:rPr>
                      <w:rFonts w:hint="eastAsia" w:ascii="Times New Roman" w:hAnsi="Times New Roman" w:cs="Times New Roman"/>
                      <w:color w:val="auto"/>
                      <w:kern w:val="0"/>
                      <w:szCs w:val="21"/>
                      <w:lang w:eastAsia="zh-CN"/>
                    </w:rPr>
                    <w:t>。</w:t>
                  </w:r>
                </w:p>
                <w:p w14:paraId="41A7E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kern w:val="0"/>
                      <w:szCs w:val="21"/>
                      <w:lang w:eastAsia="zh-CN"/>
                    </w:rPr>
                  </w:pPr>
                  <w:r>
                    <w:rPr>
                      <w:rFonts w:hint="default" w:ascii="Times New Roman" w:hAnsi="Times New Roman" w:cs="Times New Roman"/>
                      <w:color w:val="auto"/>
                      <w:kern w:val="0"/>
                      <w:szCs w:val="21"/>
                    </w:rPr>
                    <w:t>12、3000吨/年及以下的西式肉制品加工项目</w:t>
                  </w:r>
                  <w:r>
                    <w:rPr>
                      <w:rFonts w:hint="eastAsia" w:ascii="Times New Roman" w:hAnsi="Times New Roman" w:cs="Times New Roman"/>
                      <w:color w:val="auto"/>
                      <w:kern w:val="0"/>
                      <w:szCs w:val="21"/>
                      <w:lang w:eastAsia="zh-CN"/>
                    </w:rPr>
                    <w:t>。</w:t>
                  </w:r>
                </w:p>
                <w:p w14:paraId="44C38B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13、2000吨/年及以下的酵母加工项目</w:t>
                  </w:r>
                  <w:r>
                    <w:rPr>
                      <w:rFonts w:hint="eastAsia" w:ascii="Times New Roman" w:hAnsi="Times New Roman" w:cs="Times New Roman"/>
                      <w:color w:val="auto"/>
                      <w:kern w:val="0"/>
                      <w:szCs w:val="21"/>
                      <w:lang w:eastAsia="zh-CN"/>
                    </w:rPr>
                    <w:t>。</w:t>
                  </w:r>
                </w:p>
                <w:p w14:paraId="06096D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14、冷冻海水鱼糜生产线</w:t>
                  </w:r>
                  <w:r>
                    <w:rPr>
                      <w:rFonts w:hint="eastAsia" w:ascii="Times New Roman" w:hAnsi="Times New Roman" w:cs="Times New Roman"/>
                      <w:color w:val="auto"/>
                      <w:kern w:val="0"/>
                      <w:szCs w:val="21"/>
                      <w:lang w:eastAsia="zh-CN"/>
                    </w:rPr>
                    <w:t>。</w:t>
                  </w:r>
                </w:p>
                <w:p w14:paraId="3D54B6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15、新建、扩建古龙酸和维生素C原粉（包括药用、食品用和饲料用、化妆品用）生产装置，新建药品、食品、饲料、化妆品等用途的维生素B1、维生素B2、维生素B12</w:t>
                  </w:r>
                  <w:r>
                    <w:rPr>
                      <w:rFonts w:hint="eastAsia" w:ascii="宋体" w:hAnsi="宋体" w:eastAsia="宋体" w:cs="宋体"/>
                      <w:color w:val="auto"/>
                      <w:kern w:val="0"/>
                      <w:szCs w:val="21"/>
                    </w:rPr>
                    <w:t xml:space="preserve"> (综合利用除外)、</w:t>
                  </w:r>
                  <w:r>
                    <w:rPr>
                      <w:rFonts w:hint="default" w:ascii="Times New Roman" w:hAnsi="Times New Roman" w:cs="Times New Roman"/>
                      <w:color w:val="auto"/>
                      <w:kern w:val="0"/>
                      <w:szCs w:val="21"/>
                    </w:rPr>
                    <w:t>维生素E原料生产装置</w:t>
                  </w:r>
                  <w:r>
                    <w:rPr>
                      <w:rFonts w:hint="eastAsia" w:ascii="Times New Roman" w:hAnsi="Times New Roman" w:cs="Times New Roman"/>
                      <w:color w:val="auto"/>
                      <w:kern w:val="0"/>
                      <w:szCs w:val="21"/>
                      <w:lang w:eastAsia="zh-CN"/>
                    </w:rPr>
                    <w:t>。</w:t>
                  </w:r>
                </w:p>
                <w:p w14:paraId="5D76EC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16、新建紫杉醇（配套红豆杉种植除外）、植物提取法黄连素（配套黄连种植除外）生产装置</w:t>
                  </w:r>
                  <w:r>
                    <w:rPr>
                      <w:rFonts w:hint="eastAsia" w:ascii="Times New Roman" w:hAnsi="Times New Roman" w:cs="Times New Roman"/>
                      <w:color w:val="auto"/>
                      <w:kern w:val="0"/>
                      <w:szCs w:val="21"/>
                      <w:lang w:eastAsia="zh-CN"/>
                    </w:rPr>
                    <w:t>。</w:t>
                  </w:r>
                </w:p>
                <w:p w14:paraId="56E968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17、新建及改扩建原料含有尚未规模化种植或养殖的濒危动植物药材的产品生产装置</w:t>
                  </w:r>
                  <w:r>
                    <w:rPr>
                      <w:rFonts w:hint="eastAsia" w:ascii="Times New Roman" w:hAnsi="Times New Roman" w:cs="Times New Roman"/>
                      <w:color w:val="auto"/>
                      <w:kern w:val="0"/>
                      <w:szCs w:val="21"/>
                      <w:lang w:eastAsia="zh-CN"/>
                    </w:rPr>
                    <w:t>。</w:t>
                  </w:r>
                </w:p>
                <w:p w14:paraId="70CB4FFF">
                  <w:pPr>
                    <w:pStyle w:val="47"/>
                    <w:keepNext w:val="0"/>
                    <w:keepLines w:val="0"/>
                    <w:pageBreakBefore w:val="0"/>
                    <w:suppressLineNumbers w:val="0"/>
                    <w:kinsoku/>
                    <w:wordWrap/>
                    <w:overflowPunct/>
                    <w:topLinePunct w:val="0"/>
                    <w:bidi w:val="0"/>
                    <w:spacing w:before="0" w:beforeAutospacing="0" w:after="0" w:afterAutospacing="0"/>
                    <w:ind w:left="0" w:right="0" w:firstLine="0" w:firstLineChars="0"/>
                    <w:jc w:val="both"/>
                    <w:textAlignment w:val="auto"/>
                    <w:rPr>
                      <w:rFonts w:hint="eastAsia"/>
                      <w:lang w:eastAsia="zh-CN"/>
                    </w:rPr>
                  </w:pPr>
                  <w:r>
                    <w:rPr>
                      <w:rFonts w:hint="default" w:ascii="Times New Roman" w:hAnsi="Times New Roman" w:cs="Times New Roman"/>
                      <w:color w:val="auto"/>
                      <w:kern w:val="0"/>
                      <w:sz w:val="21"/>
                      <w:szCs w:val="21"/>
                    </w:rPr>
                    <w:t>18、其他新发布或另行规定限制开发生产的项目、工艺、装置和产品。</w:t>
                  </w:r>
                </w:p>
              </w:tc>
              <w:tc>
                <w:tcPr>
                  <w:tcW w:w="827" w:type="pct"/>
                  <w:noWrap w:val="0"/>
                  <w:vAlign w:val="center"/>
                </w:tcPr>
                <w:p w14:paraId="0F3694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不涉及</w:t>
                  </w:r>
                </w:p>
              </w:tc>
              <w:tc>
                <w:tcPr>
                  <w:tcW w:w="291" w:type="pct"/>
                  <w:noWrap w:val="0"/>
                  <w:vAlign w:val="center"/>
                </w:tcPr>
                <w:p w14:paraId="272A3E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符合</w:t>
                  </w:r>
                </w:p>
              </w:tc>
            </w:tr>
          </w:tbl>
          <w:p w14:paraId="5176BE3B">
            <w:pPr>
              <w:pStyle w:val="10"/>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本项目为</w:t>
            </w:r>
            <w:r>
              <w:rPr>
                <w:rFonts w:hint="eastAsia" w:ascii="Times New Roman" w:hAnsi="Times New Roman" w:cs="Times New Roman"/>
                <w:sz w:val="24"/>
                <w:szCs w:val="24"/>
                <w:lang w:val="en-US" w:eastAsia="zh-CN"/>
              </w:rPr>
              <w:t>休闲食品、婴幼儿食品加工</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属于</w:t>
            </w:r>
            <w:r>
              <w:rPr>
                <w:rFonts w:hint="eastAsia" w:ascii="Times New Roman" w:hAnsi="Times New Roman" w:cs="Times New Roman"/>
                <w:sz w:val="24"/>
                <w:szCs w:val="24"/>
              </w:rPr>
              <w:t>“食品制造业”中“其他未列明食品制造”</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为安徽淮北相山经济开发区</w:t>
            </w:r>
            <w:r>
              <w:rPr>
                <w:rFonts w:hint="default" w:ascii="Times New Roman" w:hAnsi="Times New Roman" w:cs="Times New Roman"/>
                <w:sz w:val="24"/>
                <w:szCs w:val="24"/>
              </w:rPr>
              <w:t>主导产业</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绿色食品</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不在开发区生态环境负面清单内</w:t>
            </w:r>
            <w:r>
              <w:rPr>
                <w:rFonts w:hint="eastAsia" w:ascii="Times New Roman" w:hAnsi="Times New Roman" w:cs="Times New Roman"/>
                <w:sz w:val="24"/>
                <w:szCs w:val="24"/>
              </w:rPr>
              <w:t>。</w:t>
            </w:r>
          </w:p>
          <w:p w14:paraId="5FE0EFC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cs="Times New Roman"/>
                <w:kern w:val="0"/>
                <w:sz w:val="24"/>
                <w:lang w:bidi="ar"/>
              </w:rPr>
            </w:pPr>
            <w:r>
              <w:rPr>
                <w:rFonts w:hint="default" w:ascii="Times New Roman" w:hAnsi="Times New Roman" w:cs="Times New Roman"/>
                <w:kern w:val="0"/>
                <w:sz w:val="24"/>
                <w:lang w:bidi="ar"/>
              </w:rPr>
              <w:t xml:space="preserve">综上所述，本项目不在主导生态功能区范围内，不在当地饮用水源、风景区、自然保护区等生态保护区内；区域环境质量经过治理后基本满足项目所在地环境功能区划要求，有一定的环境容量，且各污染物均可做到达标排放；项目使用资源为清洁的电能，利用率较高，不触及资源利用上线；符合国家产业、地方政策和环境准入标准和要求。 </w:t>
            </w:r>
          </w:p>
          <w:p w14:paraId="7C32C56E">
            <w:pPr>
              <w:pStyle w:val="5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2、产业政策符合性分析</w:t>
            </w:r>
          </w:p>
          <w:p w14:paraId="20BFA900">
            <w:pPr>
              <w:pStyle w:val="59"/>
              <w:keepNext w:val="0"/>
              <w:keepLines w:val="0"/>
              <w:pageBreakBefore w:val="0"/>
              <w:suppressLineNumbers w:val="0"/>
              <w:kinsoku/>
              <w:wordWrap/>
              <w:overflowPunct/>
              <w:bidi w:val="0"/>
              <w:spacing w:before="0" w:beforeAutospacing="0" w:after="0" w:afterAutospacing="0" w:line="360" w:lineRule="auto"/>
              <w:ind w:left="0" w:right="0" w:firstLine="480"/>
              <w:jc w:val="left"/>
              <w:textAlignment w:val="auto"/>
              <w:rPr>
                <w:rFonts w:hint="default" w:ascii="Times New Roman" w:hAnsi="Times New Roman" w:cs="Times New Roman"/>
                <w:sz w:val="24"/>
              </w:rPr>
            </w:pPr>
            <w:r>
              <w:rPr>
                <w:rFonts w:hint="default" w:ascii="Times New Roman" w:hAnsi="Times New Roman" w:eastAsia="宋体" w:cs="Times New Roman"/>
                <w:sz w:val="24"/>
                <w:szCs w:val="24"/>
              </w:rPr>
              <w:t>本项目为</w:t>
            </w:r>
            <w:r>
              <w:rPr>
                <w:rFonts w:hint="default" w:ascii="Times New Roman" w:hAnsi="Times New Roman" w:eastAsia="宋体" w:cs="Times New Roman"/>
                <w:sz w:val="24"/>
                <w:szCs w:val="24"/>
                <w:lang w:val="en-US" w:eastAsia="zh-CN"/>
              </w:rPr>
              <w:t>休闲食品、婴幼儿食品加工</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属于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食品制造业</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中</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C1499其他未列明食品制造</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根据《产业结构调整指导目录（20</w:t>
            </w:r>
            <w:r>
              <w:rPr>
                <w:rFonts w:hint="eastAsia"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年本）》，本项目不属于</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鼓励类</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淘汰类</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限制类</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，视为允许类</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同时，该项目于202</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月2日</w:t>
            </w:r>
            <w:r>
              <w:rPr>
                <w:rFonts w:hint="default" w:ascii="Times New Roman" w:hAnsi="Times New Roman" w:cs="Times New Roman"/>
                <w:b w:val="0"/>
                <w:bCs w:val="0"/>
                <w:color w:val="auto"/>
                <w:sz w:val="24"/>
                <w:szCs w:val="24"/>
                <w:lang w:eastAsia="zh-CN"/>
              </w:rPr>
              <w:t>取得了</w:t>
            </w:r>
            <w:r>
              <w:rPr>
                <w:rFonts w:hint="eastAsia" w:ascii="Times New Roman" w:hAnsi="Times New Roman" w:cs="Times New Roman"/>
                <w:b w:val="0"/>
                <w:bCs w:val="0"/>
                <w:color w:val="auto"/>
                <w:sz w:val="24"/>
                <w:szCs w:val="24"/>
                <w:lang w:eastAsia="zh-CN"/>
              </w:rPr>
              <w:t>安徽淮北相山经济开发区管理委员会下达的</w:t>
            </w:r>
            <w:r>
              <w:rPr>
                <w:rFonts w:hint="default"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vertAlign w:val="baseline"/>
                <w:lang w:val="en-US" w:eastAsia="zh-CN"/>
              </w:rPr>
              <w:t>关于休闲食品及婴幼儿食品加工项目备案的申请回复的函</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经开区技改【2025】1号</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sz w:val="24"/>
              </w:rPr>
              <w:t>。因此，本项目的建设符合国家和地方相关产业政策。</w:t>
            </w:r>
          </w:p>
          <w:p w14:paraId="771A85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cs="Times New Roman"/>
                <w:b/>
                <w:bCs/>
                <w:sz w:val="24"/>
              </w:rPr>
            </w:pPr>
            <w:r>
              <w:rPr>
                <w:rFonts w:hint="default" w:ascii="Times New Roman" w:hAnsi="Times New Roman" w:cs="Times New Roman"/>
                <w:b/>
                <w:bCs/>
                <w:sz w:val="24"/>
              </w:rPr>
              <w:t>3、选址合理性分析</w:t>
            </w:r>
          </w:p>
          <w:p w14:paraId="7D971A45">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（1）选址合理性</w:t>
            </w:r>
          </w:p>
          <w:p w14:paraId="0B00B6F8">
            <w:pPr>
              <w:keepNext w:val="0"/>
              <w:keepLines w:val="0"/>
              <w:pageBreakBefore w:val="0"/>
              <w:widowControl/>
              <w:suppressLineNumbers w:val="0"/>
              <w:kinsoku/>
              <w:wordWrap/>
              <w:overflowPunct/>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本项目选址于安徽省淮北市相山经济开发区凤凰路16号2幢</w:t>
            </w:r>
            <w:r>
              <w:rPr>
                <w:rFonts w:hint="default" w:ascii="Times New Roman" w:hAnsi="Times New Roman" w:eastAsia="宋体" w:cs="Times New Roman"/>
                <w:kern w:val="0"/>
                <w:sz w:val="24"/>
                <w:szCs w:val="24"/>
                <w:lang w:bidi="ar"/>
              </w:rPr>
              <w:t>。根据《安徽淮北相山经济开发区</w:t>
            </w:r>
            <w:r>
              <w:rPr>
                <w:rFonts w:hint="eastAsia" w:cs="Times New Roman"/>
                <w:kern w:val="0"/>
                <w:sz w:val="24"/>
                <w:szCs w:val="24"/>
                <w:lang w:val="en-US" w:eastAsia="zh-CN" w:bidi="ar"/>
              </w:rPr>
              <w:t>总体</w:t>
            </w:r>
            <w:r>
              <w:rPr>
                <w:rFonts w:hint="default" w:ascii="Times New Roman" w:hAnsi="Times New Roman" w:eastAsia="宋体" w:cs="Times New Roman"/>
                <w:kern w:val="0"/>
                <w:sz w:val="24"/>
                <w:szCs w:val="24"/>
                <w:lang w:bidi="ar"/>
              </w:rPr>
              <w:t>发展规划（20</w:t>
            </w:r>
            <w:r>
              <w:rPr>
                <w:rFonts w:hint="eastAsia" w:cs="Times New Roman"/>
                <w:kern w:val="0"/>
                <w:sz w:val="24"/>
                <w:szCs w:val="24"/>
                <w:lang w:val="en-US" w:eastAsia="zh-CN" w:bidi="ar"/>
              </w:rPr>
              <w:t>24</w:t>
            </w:r>
            <w:r>
              <w:rPr>
                <w:rFonts w:hint="default" w:ascii="Times New Roman" w:hAnsi="Times New Roman" w:eastAsia="宋体" w:cs="Times New Roman"/>
                <w:kern w:val="0"/>
                <w:sz w:val="24"/>
                <w:szCs w:val="24"/>
                <w:lang w:bidi="ar"/>
              </w:rPr>
              <w:t>-203</w:t>
            </w:r>
            <w:r>
              <w:rPr>
                <w:rFonts w:hint="eastAsia" w:cs="Times New Roman"/>
                <w:kern w:val="0"/>
                <w:sz w:val="24"/>
                <w:szCs w:val="24"/>
                <w:lang w:val="en-US" w:eastAsia="zh-CN" w:bidi="ar"/>
              </w:rPr>
              <w:t>5</w:t>
            </w:r>
            <w:r>
              <w:rPr>
                <w:rFonts w:hint="default" w:ascii="Times New Roman" w:hAnsi="Times New Roman" w:eastAsia="宋体" w:cs="Times New Roman"/>
                <w:kern w:val="0"/>
                <w:sz w:val="24"/>
                <w:szCs w:val="24"/>
                <w:lang w:bidi="ar"/>
              </w:rPr>
              <w:t>）》，</w:t>
            </w:r>
            <w:r>
              <w:rPr>
                <w:rFonts w:hint="eastAsia" w:cs="Times New Roman"/>
                <w:kern w:val="0"/>
                <w:sz w:val="24"/>
                <w:szCs w:val="24"/>
                <w:lang w:val="en-US" w:eastAsia="zh-CN" w:bidi="ar"/>
              </w:rPr>
              <w:t>项目用地</w:t>
            </w:r>
            <w:r>
              <w:rPr>
                <w:rFonts w:hint="eastAsia" w:ascii="Times New Roman" w:hAnsi="Times New Roman" w:eastAsia="宋体" w:cs="Times New Roman"/>
                <w:sz w:val="24"/>
                <w:szCs w:val="24"/>
                <w:lang w:val="en-US" w:eastAsia="zh-CN"/>
              </w:rPr>
              <w:t>为</w:t>
            </w:r>
            <w:r>
              <w:rPr>
                <w:rFonts w:hint="default" w:ascii="Times New Roman" w:hAnsi="Times New Roman" w:eastAsia="宋体" w:cs="Times New Roman"/>
                <w:sz w:val="24"/>
                <w:szCs w:val="24"/>
              </w:rPr>
              <w:t>规划的工业用地</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项目建成后从事</w:t>
            </w:r>
            <w:r>
              <w:rPr>
                <w:rFonts w:hint="default" w:ascii="Times New Roman" w:hAnsi="Times New Roman" w:eastAsia="宋体" w:cs="Times New Roman"/>
                <w:sz w:val="24"/>
                <w:szCs w:val="24"/>
                <w:lang w:val="en-US" w:eastAsia="zh-CN"/>
              </w:rPr>
              <w:t>休闲食品、婴幼儿食品加工</w:t>
            </w:r>
            <w:r>
              <w:rPr>
                <w:rFonts w:hint="eastAsia" w:ascii="Times New Roman" w:hAnsi="Times New Roman" w:eastAsia="宋体" w:cs="Times New Roman"/>
                <w:sz w:val="24"/>
                <w:szCs w:val="24"/>
                <w:lang w:val="en-US" w:eastAsia="zh-CN"/>
              </w:rPr>
              <w:t>，符合产业发展导向</w:t>
            </w:r>
            <w:r>
              <w:rPr>
                <w:rFonts w:hint="default" w:ascii="Times New Roman" w:hAnsi="Times New Roman" w:eastAsia="宋体" w:cs="Times New Roman"/>
                <w:sz w:val="24"/>
                <w:szCs w:val="24"/>
              </w:rPr>
              <w:t>。因此，项目</w:t>
            </w:r>
            <w:r>
              <w:rPr>
                <w:rFonts w:hint="eastAsia" w:ascii="Times New Roman" w:hAnsi="Times New Roman" w:eastAsia="宋体" w:cs="Times New Roman"/>
                <w:sz w:val="24"/>
                <w:szCs w:val="24"/>
                <w:lang w:val="en-US" w:eastAsia="zh-CN"/>
              </w:rPr>
              <w:t>选址</w:t>
            </w:r>
            <w:r>
              <w:rPr>
                <w:rFonts w:hint="default" w:ascii="Times New Roman" w:hAnsi="Times New Roman" w:eastAsia="宋体" w:cs="Times New Roman"/>
                <w:sz w:val="24"/>
                <w:szCs w:val="24"/>
              </w:rPr>
              <w:t>符合相山经济开发区规划要求。</w:t>
            </w:r>
          </w:p>
          <w:p w14:paraId="0BE84937">
            <w:pPr>
              <w:keepNext w:val="0"/>
              <w:keepLines w:val="0"/>
              <w:pageBreakBefore w:val="0"/>
              <w:suppressLineNumbers w:val="0"/>
              <w:kinsoku/>
              <w:wordWrap/>
              <w:overflowPunct/>
              <w:topLinePunct/>
              <w:autoSpaceDE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（2）建设条件可行性分析</w:t>
            </w:r>
          </w:p>
          <w:p w14:paraId="0CF3B83A">
            <w:pPr>
              <w:keepNext w:val="0"/>
              <w:keepLines w:val="0"/>
              <w:pageBreakBefore w:val="0"/>
              <w:suppressLineNumbers w:val="0"/>
              <w:kinsoku/>
              <w:wordWrap/>
              <w:overflowPunct/>
              <w:topLinePunct/>
              <w:autoSpaceDE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厂址区域属于工业用地，租用</w:t>
            </w:r>
            <w:r>
              <w:rPr>
                <w:rFonts w:hint="eastAsia" w:cs="Times New Roman"/>
                <w:b w:val="0"/>
                <w:bCs w:val="0"/>
                <w:color w:val="000000"/>
                <w:kern w:val="2"/>
                <w:sz w:val="24"/>
                <w:szCs w:val="24"/>
                <w:lang w:val="en-US" w:eastAsia="zh-CN" w:bidi="ar-SA"/>
              </w:rPr>
              <w:t>淮北市欣然食品有限责任公司</w:t>
            </w:r>
            <w:r>
              <w:rPr>
                <w:rFonts w:hint="default" w:ascii="Times New Roman" w:hAnsi="Times New Roman" w:eastAsia="宋体" w:cs="Times New Roman"/>
                <w:b w:val="0"/>
                <w:bCs w:val="0"/>
                <w:color w:val="000000"/>
                <w:kern w:val="2"/>
                <w:sz w:val="24"/>
                <w:szCs w:val="24"/>
                <w:lang w:val="en-US" w:eastAsia="zh-CN" w:bidi="ar-SA"/>
              </w:rPr>
              <w:t>空置厂房</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建设</w:t>
            </w:r>
            <w:r>
              <w:rPr>
                <w:rFonts w:hint="default" w:ascii="Times New Roman" w:hAnsi="Times New Roman" w:eastAsia="宋体" w:cs="Times New Roman"/>
                <w:sz w:val="24"/>
                <w:szCs w:val="24"/>
              </w:rPr>
              <w:t>条件良好。厂区外部道路、供电、给排水管均由市政工程提供，外部交通十分便利。</w:t>
            </w:r>
          </w:p>
          <w:p w14:paraId="466E1DE8">
            <w:pPr>
              <w:keepNext w:val="0"/>
              <w:keepLines w:val="0"/>
              <w:pageBreakBefore w:val="0"/>
              <w:suppressLineNumbers w:val="0"/>
              <w:kinsoku/>
              <w:wordWrap/>
              <w:overflowPunct/>
              <w:topLinePunct/>
              <w:autoSpaceDE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w:t>
            </w:r>
            <w:r>
              <w:rPr>
                <w:rFonts w:hint="default" w:ascii="Times New Roman" w:hAnsi="Times New Roman" w:eastAsia="宋体" w:cs="Times New Roman"/>
                <w:sz w:val="24"/>
                <w:szCs w:val="24"/>
                <w:lang w:val="en-US" w:eastAsia="zh-CN"/>
              </w:rPr>
              <w:t>相容</w:t>
            </w:r>
            <w:r>
              <w:rPr>
                <w:rFonts w:hint="default" w:ascii="Times New Roman" w:hAnsi="Times New Roman" w:eastAsia="宋体" w:cs="Times New Roman"/>
                <w:sz w:val="24"/>
                <w:szCs w:val="24"/>
              </w:rPr>
              <w:t>性</w:t>
            </w:r>
          </w:p>
          <w:p w14:paraId="537EE738">
            <w:pPr>
              <w:keepNext w:val="0"/>
              <w:keepLines w:val="0"/>
              <w:pageBreakBefore w:val="0"/>
              <w:widowControl/>
              <w:suppressLineNumbers w:val="0"/>
              <w:kinsoku/>
              <w:wordWrap/>
              <w:overflowPunct/>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sz w:val="24"/>
                <w:szCs w:val="24"/>
              </w:rPr>
              <w:t>评价区域内无自然保护区和珍稀动植物资源保护区。本项目自身产生的污染物相对简单，主要是废气、废水、设备噪声、固废等，在采取相应的治理措施后，对区域环境影响较小。本项目</w:t>
            </w:r>
            <w:r>
              <w:rPr>
                <w:rFonts w:hint="default" w:ascii="Times New Roman" w:hAnsi="Times New Roman" w:eastAsia="宋体" w:cs="Times New Roman"/>
                <w:sz w:val="24"/>
                <w:szCs w:val="24"/>
                <w:lang w:val="en-US" w:eastAsia="zh-CN"/>
              </w:rPr>
              <w:t>位</w:t>
            </w:r>
            <w:r>
              <w:rPr>
                <w:rFonts w:hint="default" w:ascii="Times New Roman" w:hAnsi="Times New Roman" w:eastAsia="宋体" w:cs="Times New Roman"/>
                <w:sz w:val="24"/>
                <w:szCs w:val="24"/>
              </w:rPr>
              <w:t>于安徽省淮北市相山经济开发区凤凰路16号2幢</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项目周边</w:t>
            </w:r>
            <w:r>
              <w:rPr>
                <w:rFonts w:hint="default" w:ascii="Times New Roman" w:hAnsi="Times New Roman" w:eastAsia="宋体" w:cs="Times New Roman"/>
                <w:sz w:val="24"/>
                <w:szCs w:val="24"/>
                <w:lang w:val="en-US" w:eastAsia="zh-CN"/>
              </w:rPr>
              <w:t>分布着安徽金富士食品有限公司、安徽</w:t>
            </w:r>
            <w:r>
              <w:rPr>
                <w:rFonts w:hint="eastAsia" w:cs="Times New Roman"/>
                <w:sz w:val="24"/>
                <w:szCs w:val="24"/>
                <w:lang w:val="en-US" w:eastAsia="zh-CN"/>
              </w:rPr>
              <w:t>鲜满多</w:t>
            </w:r>
            <w:r>
              <w:rPr>
                <w:rFonts w:hint="default" w:ascii="Times New Roman" w:hAnsi="Times New Roman" w:eastAsia="宋体" w:cs="Times New Roman"/>
                <w:sz w:val="24"/>
                <w:szCs w:val="24"/>
                <w:lang w:val="en-US" w:eastAsia="zh-CN"/>
              </w:rPr>
              <w:t>食品有限公司等食品生产企业，与本项目均属于园区主导产业中的农副食品加工业。</w:t>
            </w:r>
            <w:r>
              <w:rPr>
                <w:rFonts w:hint="default" w:ascii="Times New Roman" w:hAnsi="Times New Roman" w:eastAsia="宋体" w:cs="Times New Roman"/>
                <w:kern w:val="0"/>
                <w:sz w:val="24"/>
                <w:szCs w:val="24"/>
                <w:lang w:bidi="ar"/>
              </w:rPr>
              <w:t>周围无特别需要保护的敏感点，周边项目污染较小，污染物均得到了有效治理，所以相互之间并无明显影响。因此本项目选址与周边环境相容。</w:t>
            </w:r>
            <w:r>
              <w:rPr>
                <w:rFonts w:hint="eastAsia" w:cs="Times New Roman"/>
                <w:kern w:val="0"/>
                <w:sz w:val="24"/>
                <w:szCs w:val="24"/>
                <w:lang w:val="en-US" w:eastAsia="zh-CN" w:bidi="ar"/>
              </w:rPr>
              <w:t>本</w:t>
            </w:r>
            <w:r>
              <w:rPr>
                <w:rFonts w:hint="default"/>
                <w:kern w:val="0"/>
                <w:sz w:val="24"/>
                <w:lang w:bidi="ar"/>
              </w:rPr>
              <w:t>项目周边环境概况</w:t>
            </w:r>
            <w:r>
              <w:rPr>
                <w:rFonts w:hint="eastAsia"/>
                <w:kern w:val="0"/>
                <w:sz w:val="24"/>
                <w:lang w:val="en-US" w:eastAsia="zh-CN" w:bidi="ar"/>
              </w:rPr>
              <w:t>情况</w:t>
            </w:r>
            <w:r>
              <w:rPr>
                <w:rFonts w:hint="default"/>
                <w:kern w:val="0"/>
                <w:sz w:val="24"/>
                <w:lang w:bidi="ar"/>
              </w:rPr>
              <w:t>见附图</w:t>
            </w:r>
            <w:r>
              <w:rPr>
                <w:rFonts w:hint="eastAsia"/>
                <w:kern w:val="0"/>
                <w:sz w:val="24"/>
                <w:lang w:val="en-US" w:eastAsia="zh-CN" w:bidi="ar"/>
              </w:rPr>
              <w:t>10。</w:t>
            </w:r>
          </w:p>
          <w:p w14:paraId="1A6CE4DC">
            <w:pPr>
              <w:keepNext w:val="0"/>
              <w:keepLines w:val="0"/>
              <w:pageBreakBefore w:val="0"/>
              <w:widowControl/>
              <w:suppressLineNumbers w:val="0"/>
              <w:kinsoku/>
              <w:wordWrap/>
              <w:overflowPunct/>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环境承载能力</w:t>
            </w:r>
          </w:p>
          <w:p w14:paraId="3C0A4C87">
            <w:pPr>
              <w:keepNext w:val="0"/>
              <w:keepLines w:val="0"/>
              <w:pageBreakBefore w:val="0"/>
              <w:widowControl/>
              <w:suppressLineNumbers w:val="0"/>
              <w:kinsoku/>
              <w:wordWrap/>
              <w:overflowPunct/>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本项目周边500m范围</w:t>
            </w:r>
            <w:r>
              <w:rPr>
                <w:rFonts w:hint="default" w:ascii="Times New Roman" w:hAnsi="Times New Roman" w:eastAsia="宋体" w:cs="Times New Roman"/>
                <w:sz w:val="24"/>
                <w:szCs w:val="24"/>
                <w:lang w:val="en-US" w:eastAsia="zh-CN"/>
              </w:rPr>
              <w:t>内</w:t>
            </w:r>
            <w:r>
              <w:rPr>
                <w:rFonts w:hint="default" w:ascii="Times New Roman" w:hAnsi="Times New Roman" w:eastAsia="宋体" w:cs="Times New Roman"/>
                <w:sz w:val="24"/>
                <w:szCs w:val="24"/>
              </w:rPr>
              <w:t>环境敏感对象</w:t>
            </w:r>
            <w:r>
              <w:rPr>
                <w:rFonts w:hint="default" w:ascii="Times New Roman" w:hAnsi="Times New Roman" w:eastAsia="宋体" w:cs="Times New Roman"/>
                <w:sz w:val="24"/>
                <w:szCs w:val="24"/>
                <w:lang w:val="en-US" w:eastAsia="zh-CN"/>
              </w:rPr>
              <w:t>为</w:t>
            </w:r>
            <w:r>
              <w:rPr>
                <w:rFonts w:hint="default" w:ascii="Times New Roman" w:hAnsi="Times New Roman" w:eastAsia="宋体" w:cs="Times New Roman"/>
                <w:color w:val="auto"/>
                <w:sz w:val="24"/>
                <w:szCs w:val="24"/>
                <w:lang w:val="en-US" w:eastAsia="zh-CN"/>
              </w:rPr>
              <w:t>相山区分局西区派出所</w:t>
            </w:r>
            <w:r>
              <w:rPr>
                <w:rFonts w:hint="default" w:ascii="Times New Roman" w:hAnsi="Times New Roman" w:eastAsia="宋体" w:cs="Times New Roman"/>
                <w:sz w:val="24"/>
                <w:szCs w:val="24"/>
              </w:rPr>
              <w:t>；项目所在地交通方便，水电供应可靠；本项目在做好废气治理和废水处理措施的前提下，对环境质量的影响较小，建成后不会造成环境质量下降。因此，项目在环境承载能力内。</w:t>
            </w:r>
          </w:p>
          <w:p w14:paraId="27859519">
            <w:pPr>
              <w:keepNext w:val="0"/>
              <w:keepLines w:val="0"/>
              <w:pageBreakBefore w:val="0"/>
              <w:suppressLineNumbers w:val="0"/>
              <w:kinsoku/>
              <w:wordWrap/>
              <w:overflowPunct/>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rPr>
              <w:t>环境功能区划相符性分析</w:t>
            </w:r>
          </w:p>
          <w:p w14:paraId="1B793397">
            <w:pPr>
              <w:keepNext w:val="0"/>
              <w:keepLines w:val="0"/>
              <w:pageBreakBefore w:val="0"/>
              <w:suppressLineNumbers w:val="0"/>
              <w:kinsoku/>
              <w:wordWrap/>
              <w:overflowPunct/>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本项目区域环境空气质量功能区属于二类区，项目评价区域六项污染中</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不满足《环境空气质量标准》（GB3095-2012）及其修改单中的二级标准</w:t>
            </w:r>
            <w:r>
              <w:rPr>
                <w:rFonts w:hint="eastAsia"/>
                <w:sz w:val="24"/>
                <w:lang w:eastAsia="zh-CN"/>
              </w:rPr>
              <w:t>，本项目所在区域环境空气质量判定为不达标区。淮北市政府通过大力推进锅炉淘汰改造、施工工地扬尘治理、强化移动污染源防治等系列整治措施，改善环境空气质量，项目实施后在采取了本次评价提出的各项废气污染防治措施后</w:t>
            </w:r>
            <w:r>
              <w:rPr>
                <w:rFonts w:hint="eastAsia"/>
                <w:sz w:val="24"/>
                <w:lang w:val="en-US" w:eastAsia="zh-CN"/>
              </w:rPr>
              <w:t>不会</w:t>
            </w:r>
            <w:r>
              <w:rPr>
                <w:rFonts w:hint="eastAsia"/>
                <w:sz w:val="24"/>
                <w:lang w:eastAsia="zh-CN"/>
              </w:rPr>
              <w:t>降低区域的环境空气质量</w:t>
            </w:r>
            <w:r>
              <w:rPr>
                <w:rFonts w:hint="default" w:ascii="Times New Roman" w:hAnsi="Times New Roman" w:eastAsia="宋体" w:cs="Times New Roman"/>
                <w:color w:val="auto"/>
                <w:sz w:val="24"/>
                <w:szCs w:val="24"/>
              </w:rPr>
              <w:t>；项目区域地表水环境</w:t>
            </w:r>
            <w:r>
              <w:rPr>
                <w:rFonts w:hint="default" w:ascii="Times New Roman" w:hAnsi="Times New Roman" w:eastAsia="宋体" w:cs="Times New Roman"/>
                <w:sz w:val="24"/>
                <w:szCs w:val="24"/>
                <w:lang w:val="en-US" w:eastAsia="zh-CN"/>
              </w:rPr>
              <w:t>老</w:t>
            </w:r>
            <w:r>
              <w:rPr>
                <w:rFonts w:hint="default" w:ascii="Times New Roman" w:hAnsi="Times New Roman" w:eastAsia="宋体" w:cs="Times New Roman"/>
                <w:color w:val="auto"/>
                <w:sz w:val="24"/>
                <w:szCs w:val="24"/>
              </w:rPr>
              <w:t>濉河水质满足《地表水环境质量标准》（GB3838-2002）中的</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4 \* ROMAN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z w:val="24"/>
                <w:szCs w:val="24"/>
              </w:rPr>
              <w:t>IV</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类标准；项目区域声环境满足《声环境质量标准》（GB3096-2008）3类标准要求。本项目实施后不会降低区域环境质量现有的功能要求。</w:t>
            </w:r>
          </w:p>
          <w:p w14:paraId="76363677">
            <w:pPr>
              <w:keepNext w:val="0"/>
              <w:keepLines w:val="0"/>
              <w:pageBreakBefore w:val="0"/>
              <w:suppressLineNumbers w:val="0"/>
              <w:kinsoku/>
              <w:wordWrap/>
              <w:overflowPunct/>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lang w:eastAsia="zh-CN"/>
              </w:rPr>
            </w:pPr>
            <w:r>
              <w:rPr>
                <w:rFonts w:hint="default" w:ascii="Times New Roman" w:hAnsi="Times New Roman" w:eastAsia="宋体" w:cs="Times New Roman"/>
                <w:color w:val="auto"/>
                <w:sz w:val="24"/>
                <w:szCs w:val="24"/>
              </w:rPr>
              <w:t>综上所述，本项目的选址符合</w:t>
            </w:r>
            <w:r>
              <w:rPr>
                <w:rFonts w:hint="default" w:ascii="Times New Roman" w:hAnsi="Times New Roman" w:eastAsia="宋体" w:cs="Times New Roman"/>
                <w:color w:val="auto"/>
                <w:sz w:val="24"/>
                <w:szCs w:val="24"/>
                <w:lang w:val="en-US" w:eastAsia="zh-CN"/>
              </w:rPr>
              <w:t>安徽淮北</w:t>
            </w:r>
            <w:r>
              <w:rPr>
                <w:rFonts w:hint="default" w:ascii="Times New Roman" w:hAnsi="Times New Roman" w:eastAsia="宋体" w:cs="Times New Roman"/>
                <w:color w:val="auto"/>
                <w:sz w:val="24"/>
                <w:szCs w:val="24"/>
              </w:rPr>
              <w:t>相山经济开发区</w:t>
            </w:r>
            <w:r>
              <w:rPr>
                <w:rFonts w:hint="default" w:ascii="Times New Roman" w:hAnsi="Times New Roman" w:eastAsia="宋体" w:cs="Times New Roman"/>
                <w:sz w:val="24"/>
                <w:szCs w:val="24"/>
              </w:rPr>
              <w:t>总体规划，符合区域环境功能区划，与周边环境相容，在环境承载能力内，项目选址合理。</w:t>
            </w:r>
          </w:p>
          <w:p w14:paraId="6BD313D9">
            <w:pPr>
              <w:pStyle w:val="60"/>
              <w:keepNext w:val="0"/>
              <w:keepLines w:val="0"/>
              <w:widowControl/>
              <w:numPr>
                <w:ilvl w:val="0"/>
                <w:numId w:val="0"/>
              </w:numPr>
              <w:suppressLineNumbers w:val="0"/>
              <w:autoSpaceDE w:val="0"/>
              <w:adjustRightInd w:val="0"/>
              <w:snapToGrid w:val="0"/>
              <w:spacing w:before="0" w:beforeAutospacing="0" w:after="0" w:afterAutospacing="0" w:line="360" w:lineRule="auto"/>
              <w:ind w:left="0" w:right="0"/>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4、</w:t>
            </w:r>
            <w:r>
              <w:rPr>
                <w:rFonts w:hint="eastAsia" w:cs="Times New Roman"/>
                <w:b/>
                <w:bCs/>
                <w:sz w:val="24"/>
                <w:szCs w:val="24"/>
                <w:lang w:val="en-US" w:eastAsia="zh-CN"/>
              </w:rPr>
              <w:t>其他</w:t>
            </w:r>
            <w:r>
              <w:rPr>
                <w:rFonts w:hint="eastAsia" w:ascii="Times New Roman" w:hAnsi="Times New Roman" w:cs="Times New Roman"/>
                <w:b/>
                <w:bCs/>
                <w:sz w:val="24"/>
                <w:szCs w:val="24"/>
                <w:lang w:val="en-US" w:eastAsia="zh-CN"/>
              </w:rPr>
              <w:t>政策</w:t>
            </w:r>
            <w:r>
              <w:rPr>
                <w:rFonts w:hint="default" w:ascii="Times New Roman" w:hAnsi="Times New Roman" w:cs="Times New Roman"/>
                <w:b/>
                <w:bCs/>
                <w:sz w:val="24"/>
                <w:szCs w:val="24"/>
              </w:rPr>
              <w:t>符合性分析</w:t>
            </w:r>
          </w:p>
          <w:p w14:paraId="7C7E55C7">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b/>
                <w:bCs/>
                <w:sz w:val="24"/>
                <w:szCs w:val="24"/>
              </w:rPr>
              <w:t>表1-</w:t>
            </w:r>
            <w:r>
              <w:rPr>
                <w:rFonts w:hint="eastAsia" w:cs="Times New Roman"/>
                <w:b/>
                <w:bCs/>
                <w:sz w:val="24"/>
                <w:szCs w:val="24"/>
                <w:lang w:val="en-US" w:eastAsia="zh-CN"/>
              </w:rPr>
              <w:t>3</w:t>
            </w:r>
            <w:r>
              <w:rPr>
                <w:rFonts w:hint="eastAsia" w:ascii="Times New Roman" w:hAnsi="Times New Roman" w:cs="Times New Roman"/>
                <w:b/>
                <w:bCs/>
                <w:sz w:val="24"/>
                <w:szCs w:val="24"/>
                <w:lang w:val="en-US" w:eastAsia="zh-CN"/>
              </w:rPr>
              <w:t xml:space="preserve">  与</w:t>
            </w:r>
            <w:r>
              <w:rPr>
                <w:rFonts w:hint="eastAsia" w:ascii="Times New Roman" w:hAnsi="Times New Roman" w:cs="Times New Roman"/>
                <w:b/>
                <w:bCs/>
                <w:sz w:val="24"/>
                <w:lang w:val="en-US" w:eastAsia="zh-CN"/>
              </w:rPr>
              <w:t>其他相关政策</w:t>
            </w:r>
            <w:r>
              <w:rPr>
                <w:rFonts w:hint="default" w:ascii="Times New Roman" w:hAnsi="Times New Roman" w:cs="Times New Roman"/>
                <w:b/>
                <w:bCs/>
                <w:sz w:val="24"/>
                <w:szCs w:val="24"/>
              </w:rPr>
              <w:t>符合性分析一览表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570"/>
              <w:gridCol w:w="2225"/>
              <w:gridCol w:w="506"/>
            </w:tblGrid>
            <w:tr w14:paraId="7ED25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noWrap w:val="0"/>
                  <w:vAlign w:val="center"/>
                </w:tcPr>
                <w:p w14:paraId="2EC11325">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sz w:val="21"/>
                      <w:szCs w:val="21"/>
                      <w:lang w:val="en-US"/>
                    </w:rPr>
                  </w:pPr>
                  <w:r>
                    <w:rPr>
                      <w:rFonts w:hint="eastAsia"/>
                      <w:b/>
                      <w:bCs/>
                      <w:sz w:val="21"/>
                      <w:szCs w:val="21"/>
                      <w:lang w:val="en-US" w:eastAsia="zh-CN"/>
                    </w:rPr>
                    <w:t>政策类别</w:t>
                  </w:r>
                </w:p>
              </w:tc>
              <w:tc>
                <w:tcPr>
                  <w:tcW w:w="2493" w:type="pct"/>
                  <w:noWrap w:val="0"/>
                  <w:vAlign w:val="center"/>
                </w:tcPr>
                <w:p w14:paraId="78AFF954">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b/>
                      <w:bCs/>
                      <w:sz w:val="21"/>
                      <w:szCs w:val="21"/>
                    </w:rPr>
                  </w:pPr>
                  <w:r>
                    <w:rPr>
                      <w:rFonts w:hint="eastAsia"/>
                      <w:b/>
                      <w:bCs/>
                      <w:sz w:val="21"/>
                      <w:szCs w:val="21"/>
                    </w:rPr>
                    <w:t>相关要求</w:t>
                  </w:r>
                </w:p>
              </w:tc>
              <w:tc>
                <w:tcPr>
                  <w:tcW w:w="1553" w:type="pct"/>
                  <w:noWrap w:val="0"/>
                  <w:vAlign w:val="center"/>
                </w:tcPr>
                <w:p w14:paraId="729E6104">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b/>
                      <w:bCs/>
                      <w:sz w:val="21"/>
                      <w:szCs w:val="21"/>
                    </w:rPr>
                  </w:pPr>
                  <w:r>
                    <w:rPr>
                      <w:rFonts w:hint="eastAsia"/>
                      <w:b/>
                      <w:bCs/>
                      <w:sz w:val="21"/>
                      <w:szCs w:val="21"/>
                    </w:rPr>
                    <w:t>本</w:t>
                  </w:r>
                  <w:r>
                    <w:rPr>
                      <w:rFonts w:hint="default"/>
                      <w:b/>
                      <w:bCs/>
                      <w:sz w:val="21"/>
                      <w:szCs w:val="21"/>
                    </w:rPr>
                    <w:t>项目情况</w:t>
                  </w:r>
                </w:p>
              </w:tc>
              <w:tc>
                <w:tcPr>
                  <w:tcW w:w="353" w:type="pct"/>
                  <w:noWrap w:val="0"/>
                  <w:vAlign w:val="center"/>
                </w:tcPr>
                <w:p w14:paraId="10765C82">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b/>
                      <w:bCs/>
                      <w:sz w:val="21"/>
                      <w:szCs w:val="21"/>
                    </w:rPr>
                  </w:pPr>
                  <w:r>
                    <w:rPr>
                      <w:rFonts w:hint="default"/>
                      <w:b/>
                      <w:bCs/>
                      <w:sz w:val="21"/>
                      <w:szCs w:val="21"/>
                    </w:rPr>
                    <w:t>符合性</w:t>
                  </w:r>
                </w:p>
              </w:tc>
            </w:tr>
            <w:tr w14:paraId="4F6B3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1" w:hRule="atLeast"/>
              </w:trPr>
              <w:tc>
                <w:tcPr>
                  <w:tcW w:w="599" w:type="pct"/>
                  <w:vMerge w:val="restart"/>
                  <w:noWrap w:val="0"/>
                  <w:vAlign w:val="center"/>
                </w:tcPr>
                <w:p w14:paraId="18EC9E6F">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rPr>
                    <w:t>安徽省淮河流域水污染防治条例</w:t>
                  </w:r>
                </w:p>
              </w:tc>
              <w:tc>
                <w:tcPr>
                  <w:tcW w:w="2493" w:type="pct"/>
                  <w:noWrap w:val="0"/>
                  <w:vAlign w:val="center"/>
                </w:tcPr>
                <w:p w14:paraId="595BEA1B">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1553" w:type="pct"/>
                  <w:noWrap w:val="0"/>
                  <w:vAlign w:val="center"/>
                </w:tcPr>
                <w:p w14:paraId="6FF08982">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本项目为</w:t>
                  </w:r>
                  <w:r>
                    <w:rPr>
                      <w:rFonts w:hint="eastAsia" w:ascii="Times New Roman" w:hAnsi="Times New Roman" w:cs="Times New Roman"/>
                      <w:b w:val="0"/>
                      <w:bCs w:val="0"/>
                      <w:sz w:val="21"/>
                      <w:szCs w:val="21"/>
                      <w:lang w:val="en-US" w:eastAsia="zh-CN"/>
                    </w:rPr>
                    <w:t>休闲食品及婴幼儿食品加工项目</w:t>
                  </w:r>
                  <w:r>
                    <w:rPr>
                      <w:rFonts w:hint="default" w:ascii="Times New Roman" w:hAnsi="Times New Roman" w:cs="Times New Roman"/>
                      <w:b w:val="0"/>
                      <w:bCs w:val="0"/>
                      <w:sz w:val="21"/>
                      <w:szCs w:val="21"/>
                    </w:rPr>
                    <w:t>，</w:t>
                  </w:r>
                  <w:r>
                    <w:rPr>
                      <w:rFonts w:hint="eastAsia" w:ascii="Times New Roman" w:hAnsi="Times New Roman" w:eastAsia="宋体" w:cs="Times New Roman"/>
                      <w:b w:val="0"/>
                      <w:bCs w:val="0"/>
                      <w:sz w:val="21"/>
                      <w:szCs w:val="21"/>
                      <w:lang w:val="en-US" w:eastAsia="zh-CN"/>
                    </w:rPr>
                    <w:t>属于“其他未列明食品制造【C1499】”，</w:t>
                  </w:r>
                  <w:r>
                    <w:rPr>
                      <w:rFonts w:hint="default" w:ascii="Times New Roman" w:hAnsi="Times New Roman" w:cs="Times New Roman"/>
                      <w:b w:val="0"/>
                      <w:bCs w:val="0"/>
                      <w:sz w:val="21"/>
                      <w:szCs w:val="21"/>
                    </w:rPr>
                    <w:t>不属于左侧所列行业。</w:t>
                  </w:r>
                </w:p>
              </w:tc>
              <w:tc>
                <w:tcPr>
                  <w:tcW w:w="353" w:type="pct"/>
                  <w:noWrap w:val="0"/>
                  <w:vAlign w:val="center"/>
                </w:tcPr>
                <w:p w14:paraId="160040D0">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符合</w:t>
                  </w:r>
                </w:p>
              </w:tc>
            </w:tr>
            <w:tr w14:paraId="003BF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noWrap w:val="0"/>
                  <w:vAlign w:val="center"/>
                </w:tcPr>
                <w:p w14:paraId="6753EDE0">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val="0"/>
                      <w:sz w:val="21"/>
                      <w:szCs w:val="21"/>
                      <w:lang w:val="en-US" w:eastAsia="zh-CN"/>
                    </w:rPr>
                  </w:pPr>
                </w:p>
              </w:tc>
              <w:tc>
                <w:tcPr>
                  <w:tcW w:w="2493" w:type="pct"/>
                  <w:noWrap w:val="0"/>
                  <w:vAlign w:val="center"/>
                </w:tcPr>
                <w:p w14:paraId="1AB6D1AB">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新建、扩建、改建项目，除执行前款规定外，还应当遵守下列规定：</w:t>
                  </w:r>
                </w:p>
                <w:p w14:paraId="2553AE5C">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（一）新建项目的选址应符合城市总体规划，避开饮用水水源地和对环境有特殊要求的功能区；</w:t>
                  </w:r>
                </w:p>
                <w:p w14:paraId="59051BBD">
                  <w:pPr>
                    <w:pStyle w:val="61"/>
                    <w:keepNext w:val="0"/>
                    <w:keepLines w:val="0"/>
                    <w:pageBreakBefore w:val="0"/>
                    <w:numPr>
                      <w:ilvl w:val="0"/>
                      <w:numId w:val="3"/>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采用资源利用率高、污染物排放量少的先进设备和先进工艺；</w:t>
                  </w:r>
                </w:p>
                <w:p w14:paraId="0D343633">
                  <w:pPr>
                    <w:pStyle w:val="61"/>
                    <w:keepNext w:val="0"/>
                    <w:keepLines w:val="0"/>
                    <w:pageBreakBefore w:val="0"/>
                    <w:numPr>
                      <w:ilvl w:val="0"/>
                      <w:numId w:val="3"/>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不得投入生产或者使用。</w:t>
                  </w:r>
                </w:p>
              </w:tc>
              <w:tc>
                <w:tcPr>
                  <w:tcW w:w="1553" w:type="pct"/>
                  <w:noWrap w:val="0"/>
                  <w:vAlign w:val="center"/>
                </w:tcPr>
                <w:p w14:paraId="0DAA1E24">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本项目正在履行环评手续，符合园区规划；本项目</w:t>
                  </w:r>
                  <w:r>
                    <w:rPr>
                      <w:rFonts w:hint="eastAsia" w:ascii="Times New Roman" w:hAnsi="Times New Roman" w:cs="Times New Roman"/>
                      <w:b w:val="0"/>
                      <w:bCs w:val="0"/>
                      <w:sz w:val="21"/>
                      <w:szCs w:val="21"/>
                      <w:lang w:val="en-US" w:eastAsia="zh-CN"/>
                    </w:rPr>
                    <w:t>生产废水通过</w:t>
                  </w:r>
                  <w:r>
                    <w:rPr>
                      <w:rFonts w:hint="default" w:ascii="Times New Roman" w:hAnsi="Times New Roman" w:cs="Times New Roman"/>
                      <w:b w:val="0"/>
                      <w:bCs w:val="0"/>
                      <w:sz w:val="21"/>
                      <w:szCs w:val="21"/>
                    </w:rPr>
                    <w:t>处理</w:t>
                  </w:r>
                  <w:r>
                    <w:rPr>
                      <w:rFonts w:hint="eastAsia" w:ascii="Times New Roman" w:hAnsi="Times New Roman" w:cs="Times New Roman"/>
                      <w:b w:val="0"/>
                      <w:bCs w:val="0"/>
                      <w:sz w:val="21"/>
                      <w:szCs w:val="21"/>
                    </w:rPr>
                    <w:t>达到</w:t>
                  </w:r>
                  <w:r>
                    <w:rPr>
                      <w:rFonts w:hint="eastAsia"/>
                    </w:rPr>
                    <w:t>安徽淮相科技发展有限公司第二污水处理厂</w:t>
                  </w:r>
                  <w:r>
                    <w:rPr>
                      <w:rFonts w:hint="eastAsia" w:ascii="Times New Roman" w:hAnsi="Times New Roman" w:cs="Times New Roman"/>
                      <w:b w:val="0"/>
                      <w:bCs w:val="0"/>
                      <w:sz w:val="21"/>
                      <w:szCs w:val="21"/>
                    </w:rPr>
                    <w:t>接管标准后通过</w:t>
                  </w:r>
                  <w:r>
                    <w:rPr>
                      <w:rFonts w:hint="eastAsia" w:cs="Times New Roman"/>
                      <w:b w:val="0"/>
                      <w:bCs w:val="0"/>
                      <w:sz w:val="21"/>
                      <w:szCs w:val="21"/>
                      <w:lang w:val="en-US" w:eastAsia="zh-CN"/>
                    </w:rPr>
                    <w:t>园区</w:t>
                  </w:r>
                  <w:r>
                    <w:rPr>
                      <w:rFonts w:hint="eastAsia" w:ascii="Times New Roman" w:hAnsi="Times New Roman" w:cs="Times New Roman"/>
                      <w:b w:val="0"/>
                      <w:bCs w:val="0"/>
                      <w:sz w:val="21"/>
                      <w:szCs w:val="21"/>
                    </w:rPr>
                    <w:t>污水管网进入污水处理厂</w:t>
                  </w:r>
                </w:p>
              </w:tc>
              <w:tc>
                <w:tcPr>
                  <w:tcW w:w="353" w:type="pct"/>
                  <w:noWrap w:val="0"/>
                  <w:vAlign w:val="center"/>
                </w:tcPr>
                <w:p w14:paraId="2E14C0C0">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符合</w:t>
                  </w:r>
                </w:p>
              </w:tc>
            </w:tr>
            <w:tr w14:paraId="1D2A9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noWrap w:val="0"/>
                  <w:vAlign w:val="center"/>
                </w:tcPr>
                <w:p w14:paraId="1DFFBE65">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val="0"/>
                      <w:sz w:val="21"/>
                      <w:szCs w:val="21"/>
                      <w:lang w:val="en-US" w:eastAsia="zh-CN"/>
                    </w:rPr>
                  </w:pPr>
                </w:p>
              </w:tc>
              <w:tc>
                <w:tcPr>
                  <w:tcW w:w="2493" w:type="pct"/>
                  <w:noWrap w:val="0"/>
                  <w:vAlign w:val="center"/>
                </w:tcPr>
                <w:p w14:paraId="336D7B56">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在淮河流域城市公共排水设施覆盖区域内，应当实行雨水、污水分流；排水户应当将雨水、污水分别排入公共雨水、污水管网及其附属设施。现有排水设施未实行雨水、污水分流的，应当编制规划，进行分流改造。</w:t>
                  </w:r>
                </w:p>
              </w:tc>
              <w:tc>
                <w:tcPr>
                  <w:tcW w:w="1553" w:type="pct"/>
                  <w:noWrap w:val="0"/>
                  <w:vAlign w:val="center"/>
                </w:tcPr>
                <w:p w14:paraId="3C6DAF87">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本项目厂区实行雨污分流制度</w:t>
                  </w:r>
                </w:p>
              </w:tc>
              <w:tc>
                <w:tcPr>
                  <w:tcW w:w="353" w:type="pct"/>
                  <w:noWrap w:val="0"/>
                  <w:vAlign w:val="center"/>
                </w:tcPr>
                <w:p w14:paraId="66B2E160">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符合</w:t>
                  </w:r>
                </w:p>
              </w:tc>
            </w:tr>
            <w:tr w14:paraId="686AD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9" w:type="pct"/>
                  <w:noWrap w:val="0"/>
                  <w:vAlign w:val="center"/>
                </w:tcPr>
                <w:p w14:paraId="2E37903F">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eastAsia" w:ascii="Times New Roman" w:hAnsi="Times New Roman" w:eastAsia="宋体" w:cs="Times New Roman"/>
                      <w:b w:val="0"/>
                      <w:bCs w:val="0"/>
                      <w:kern w:val="2"/>
                      <w:sz w:val="21"/>
                      <w:szCs w:val="21"/>
                      <w:lang w:eastAsia="zh-CN" w:bidi="ar"/>
                    </w:rPr>
                    <w:t>《安徽省空气质量持续改善行动方案》（</w:t>
                  </w:r>
                  <w:r>
                    <w:rPr>
                      <w:rFonts w:hint="eastAsia" w:ascii="Times New Roman" w:hAnsi="Times New Roman" w:eastAsia="宋体" w:cs="Times New Roman"/>
                      <w:b w:val="0"/>
                      <w:bCs w:val="0"/>
                      <w:sz w:val="21"/>
                      <w:lang w:bidi="ar"/>
                    </w:rPr>
                    <w:t>皖政〔2024〕36号</w:t>
                  </w:r>
                  <w:r>
                    <w:rPr>
                      <w:rFonts w:hint="eastAsia" w:ascii="Times New Roman" w:hAnsi="Times New Roman" w:eastAsia="宋体" w:cs="Times New Roman"/>
                      <w:b w:val="0"/>
                      <w:bCs w:val="0"/>
                      <w:kern w:val="2"/>
                      <w:sz w:val="21"/>
                      <w:szCs w:val="21"/>
                      <w:lang w:eastAsia="zh-CN" w:bidi="ar"/>
                    </w:rPr>
                    <w:t>）</w:t>
                  </w:r>
                </w:p>
              </w:tc>
              <w:tc>
                <w:tcPr>
                  <w:tcW w:w="2493" w:type="pct"/>
                  <w:noWrap w:val="0"/>
                  <w:vAlign w:val="center"/>
                </w:tcPr>
                <w:p w14:paraId="2D3C8F6F">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rPr>
                    <w:t>加快推广使用清洁能源。深入实施风电光伏发电装机倍增工程，提高电能占终端能源消费比重。到2025年，非化石能源消费比重达到15.5%以上，电能占终端能源消费比重达到30%左右。加快推进天然气入皖管道建设，提升城镇燃气管网覆盖率，增强天然气供应能力，新增天然气优先保障居民生活和清洁取暖需求</w:t>
                  </w:r>
                  <w:r>
                    <w:rPr>
                      <w:rFonts w:hint="default" w:ascii="Times New Roman" w:hAnsi="Times New Roman" w:cs="Times New Roman"/>
                      <w:b w:val="0"/>
                      <w:bCs w:val="0"/>
                      <w:sz w:val="21"/>
                      <w:szCs w:val="21"/>
                    </w:rPr>
                    <w:t>。</w:t>
                  </w:r>
                </w:p>
              </w:tc>
              <w:tc>
                <w:tcPr>
                  <w:tcW w:w="1553" w:type="pct"/>
                  <w:noWrap w:val="0"/>
                  <w:vAlign w:val="center"/>
                </w:tcPr>
                <w:p w14:paraId="52558A92">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cs="Times New Roman"/>
                      <w:b w:val="0"/>
                      <w:bCs w:val="0"/>
                      <w:color w:val="auto"/>
                      <w:lang w:val="en-US" w:eastAsia="zh-CN"/>
                    </w:rPr>
                  </w:pPr>
                  <w:r>
                    <w:rPr>
                      <w:rFonts w:hint="default" w:ascii="Times New Roman" w:hAnsi="Times New Roman" w:cs="Times New Roman"/>
                      <w:b w:val="0"/>
                      <w:bCs w:val="0"/>
                      <w:sz w:val="21"/>
                      <w:szCs w:val="21"/>
                    </w:rPr>
                    <w:t>本项目</w:t>
                  </w:r>
                  <w:r>
                    <w:rPr>
                      <w:rFonts w:hint="eastAsia" w:ascii="Times New Roman" w:hAnsi="Times New Roman" w:cs="Times New Roman"/>
                      <w:b w:val="0"/>
                      <w:bCs w:val="0"/>
                      <w:sz w:val="21"/>
                      <w:szCs w:val="21"/>
                      <w:lang w:val="en-US" w:eastAsia="zh-CN"/>
                    </w:rPr>
                    <w:t>使用电能源</w:t>
                  </w:r>
                </w:p>
              </w:tc>
              <w:tc>
                <w:tcPr>
                  <w:tcW w:w="353" w:type="pct"/>
                  <w:noWrap w:val="0"/>
                  <w:vAlign w:val="center"/>
                </w:tcPr>
                <w:p w14:paraId="0C93EA74">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符合</w:t>
                  </w:r>
                </w:p>
              </w:tc>
            </w:tr>
            <w:tr w14:paraId="4BBA5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5" w:hRule="atLeast"/>
              </w:trPr>
              <w:tc>
                <w:tcPr>
                  <w:tcW w:w="599" w:type="pct"/>
                  <w:vMerge w:val="restart"/>
                  <w:noWrap w:val="0"/>
                  <w:vAlign w:val="center"/>
                </w:tcPr>
                <w:p w14:paraId="78DFFACF">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《淮北市生态环境保护“十四五”规划》</w:t>
                  </w:r>
                </w:p>
              </w:tc>
              <w:tc>
                <w:tcPr>
                  <w:tcW w:w="2493" w:type="pct"/>
                  <w:noWrap w:val="0"/>
                  <w:vAlign w:val="center"/>
                </w:tcPr>
                <w:p w14:paraId="6898CB1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持续淘汰落后产能。严格执行国家和安徽省落后生产能力淘汰政策，加快淘汰一批不具有资源节约和环保优势、产品附加值较低、相对落后和过剩的生产能力。全面排查装备水平低、环保设施差的小型工业企业，开展对环境影响较大的“低小散”落后企业、加工点、作坊的专项整治。推动高污染企业逐步退出，城市建成区内污染较重的企业有序搬迁、改造或依法关闭。</w:t>
                  </w:r>
                </w:p>
              </w:tc>
              <w:tc>
                <w:tcPr>
                  <w:tcW w:w="1553" w:type="pct"/>
                  <w:noWrap w:val="0"/>
                  <w:vAlign w:val="center"/>
                </w:tcPr>
                <w:p w14:paraId="47F218D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本项目为</w:t>
                  </w:r>
                  <w:r>
                    <w:rPr>
                      <w:rFonts w:hint="eastAsia" w:ascii="Times New Roman" w:hAnsi="Times New Roman" w:cs="Times New Roman"/>
                      <w:b w:val="0"/>
                      <w:bCs w:val="0"/>
                      <w:sz w:val="21"/>
                      <w:szCs w:val="21"/>
                      <w:lang w:val="en-US" w:eastAsia="zh-CN"/>
                    </w:rPr>
                    <w:t>休闲食品及婴幼儿食品加工，属于食品制造</w:t>
                  </w:r>
                  <w:r>
                    <w:rPr>
                      <w:rFonts w:hint="default" w:ascii="Times New Roman" w:hAnsi="Times New Roman" w:cs="Times New Roman"/>
                      <w:b w:val="0"/>
                      <w:bCs w:val="0"/>
                      <w:sz w:val="21"/>
                      <w:szCs w:val="21"/>
                    </w:rPr>
                    <w:t>行业，项目建设符合国家产业政策要求，不属于对环境影响较大的</w:t>
                  </w:r>
                  <w:r>
                    <w:rPr>
                      <w:rFonts w:hint="eastAsia" w:ascii="Times New Roman" w:hAnsi="Times New Roman" w:cs="Times New Roman"/>
                      <w:b w:val="0"/>
                      <w:bCs w:val="0"/>
                      <w:sz w:val="21"/>
                      <w:szCs w:val="21"/>
                    </w:rPr>
                    <w:t>“</w:t>
                  </w:r>
                  <w:r>
                    <w:rPr>
                      <w:rFonts w:hint="default" w:ascii="Times New Roman" w:hAnsi="Times New Roman" w:cs="Times New Roman"/>
                      <w:b w:val="0"/>
                      <w:bCs w:val="0"/>
                      <w:sz w:val="21"/>
                      <w:szCs w:val="21"/>
                    </w:rPr>
                    <w:t>低小散</w:t>
                  </w:r>
                  <w:r>
                    <w:rPr>
                      <w:rFonts w:hint="eastAsia" w:ascii="Times New Roman" w:hAnsi="Times New Roman" w:cs="Times New Roman"/>
                      <w:b w:val="0"/>
                      <w:bCs w:val="0"/>
                      <w:sz w:val="21"/>
                      <w:szCs w:val="21"/>
                    </w:rPr>
                    <w:t>”</w:t>
                  </w:r>
                  <w:r>
                    <w:rPr>
                      <w:rFonts w:hint="default" w:ascii="Times New Roman" w:hAnsi="Times New Roman" w:cs="Times New Roman"/>
                      <w:b w:val="0"/>
                      <w:bCs w:val="0"/>
                      <w:sz w:val="21"/>
                      <w:szCs w:val="21"/>
                    </w:rPr>
                    <w:t>落后企业、加工点、作坊</w:t>
                  </w:r>
                </w:p>
              </w:tc>
              <w:tc>
                <w:tcPr>
                  <w:tcW w:w="353" w:type="pct"/>
                  <w:noWrap w:val="0"/>
                  <w:vAlign w:val="center"/>
                </w:tcPr>
                <w:p w14:paraId="7F486AA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符合</w:t>
                  </w:r>
                </w:p>
              </w:tc>
            </w:tr>
            <w:tr w14:paraId="125CC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noWrap w:val="0"/>
                  <w:vAlign w:val="center"/>
                </w:tcPr>
                <w:p w14:paraId="2424AF49">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p>
              </w:tc>
              <w:tc>
                <w:tcPr>
                  <w:tcW w:w="2493" w:type="pct"/>
                  <w:noWrap w:val="0"/>
                  <w:vAlign w:val="center"/>
                </w:tcPr>
                <w:p w14:paraId="554423B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坚决控制煤炭消费总量。持续强化煤炭消费总量与强度双控制度，严格控制新增煤耗项目，新、改、扩建项目实施煤炭减量或等量替代，推动煤炭消费指标向优质高效项目倾斜。完成30万千瓦及以上热电联产机组供热半径15公里范围内燃煤锅炉和低效燃煤小热电关停整合。到2025年，严格控制全市煤炭消费总量在省下达目标之内。</w:t>
                  </w:r>
                </w:p>
              </w:tc>
              <w:tc>
                <w:tcPr>
                  <w:tcW w:w="1553" w:type="pct"/>
                  <w:noWrap w:val="0"/>
                  <w:vAlign w:val="center"/>
                </w:tcPr>
                <w:p w14:paraId="14A51B4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本项目使用电加热，不设锅炉</w:t>
                  </w:r>
                </w:p>
              </w:tc>
              <w:tc>
                <w:tcPr>
                  <w:tcW w:w="353" w:type="pct"/>
                  <w:noWrap w:val="0"/>
                  <w:vAlign w:val="center"/>
                </w:tcPr>
                <w:p w14:paraId="76F39BC8">
                  <w:pPr>
                    <w:pStyle w:val="10"/>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符合</w:t>
                  </w:r>
                </w:p>
              </w:tc>
            </w:tr>
            <w:tr w14:paraId="5771C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noWrap w:val="0"/>
                  <w:vAlign w:val="center"/>
                </w:tcPr>
                <w:p w14:paraId="72C52241">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p>
              </w:tc>
              <w:tc>
                <w:tcPr>
                  <w:tcW w:w="2493" w:type="pct"/>
                  <w:noWrap w:val="0"/>
                  <w:vAlign w:val="center"/>
                </w:tcPr>
                <w:p w14:paraId="5F5C5D5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其他污染治理。积极开展消耗臭氧层物质（ODS）管理工作，落实ODS申报登记、核查和监管制度，加大执法检查力度，打击违法违规行为。全面开展臭气异味源的排查工作，组织实施工业臭气异味治理。督促涉臭气异味企业采取封闭、加盖等收集处理措施，提高臭气废气收集率和处理率，显著减少工业臭气异味的排放。加强生活垃圾臭气处理，采取有效防臭除臭措施，提升生活垃圾处理各环节恶臭治理水平。加强污水处理厂和泵站臭气异味控制。</w:t>
                  </w:r>
                </w:p>
              </w:tc>
              <w:tc>
                <w:tcPr>
                  <w:tcW w:w="1553" w:type="pct"/>
                  <w:noWrap w:val="0"/>
                  <w:vAlign w:val="center"/>
                </w:tcPr>
                <w:p w14:paraId="10EC5BA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本项目</w:t>
                  </w:r>
                  <w:r>
                    <w:rPr>
                      <w:rFonts w:hint="default"/>
                      <w:szCs w:val="21"/>
                    </w:rPr>
                    <w:t>本项目所使用的制冷剂R507主要成分为五氟乙烷/三氟乙烷，ODP 值为零，不含任何破坏臭氧层的物质</w:t>
                  </w:r>
                  <w:r>
                    <w:rPr>
                      <w:rFonts w:hint="eastAsia"/>
                      <w:lang w:eastAsia="zh-CN"/>
                    </w:rPr>
                    <w:t>。污水预处理设施产生的臭气：加盖后无组织排放，定时投放除臭剂；</w:t>
                  </w:r>
                  <w:r>
                    <w:rPr>
                      <w:rFonts w:hint="eastAsia"/>
                      <w:lang w:val="en-US" w:eastAsia="zh-CN"/>
                    </w:rPr>
                    <w:t>鱼虾清洗产生主要污染物为臭气浓度、氨、硫化氢。由于生产过程中用到的鱼、虾较少，恶臭产生浓度较低，</w:t>
                  </w:r>
                  <w:r>
                    <w:rPr>
                      <w:rFonts w:hint="eastAsia"/>
                    </w:rPr>
                    <w:t>无法做到全车间收集的，故为降低鱼虾使用过程产生的恶臭污染物对厂区周边环境的不良影响</w:t>
                  </w:r>
                  <w:r>
                    <w:rPr>
                      <w:rFonts w:hint="eastAsia"/>
                      <w:lang w:eastAsia="zh-CN"/>
                    </w:rPr>
                    <w:t>，</w:t>
                  </w:r>
                  <w:r>
                    <w:rPr>
                      <w:rFonts w:hint="eastAsia"/>
                    </w:rPr>
                    <w:t>本次评价要求企业在生产车间周边定期喷洒满足食品生产标准要求的微生物除臭剂，降低项目实施过程的不良环境影响程度</w:t>
                  </w:r>
                </w:p>
              </w:tc>
              <w:tc>
                <w:tcPr>
                  <w:tcW w:w="353" w:type="pct"/>
                  <w:noWrap w:val="0"/>
                  <w:vAlign w:val="center"/>
                </w:tcPr>
                <w:p w14:paraId="352A9F1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符合</w:t>
                  </w:r>
                </w:p>
              </w:tc>
            </w:tr>
            <w:tr w14:paraId="0D2A2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noWrap w:val="0"/>
                  <w:vAlign w:val="center"/>
                </w:tcPr>
                <w:p w14:paraId="5CB80D4A">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p>
              </w:tc>
              <w:tc>
                <w:tcPr>
                  <w:tcW w:w="2493" w:type="pct"/>
                  <w:noWrap w:val="0"/>
                  <w:vAlign w:val="center"/>
                </w:tcPr>
                <w:p w14:paraId="0C675F1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加强重点污染源监管。动态更新土壤污染重点监管单位名录，落实新改扩项目土壤环境影响评价、污染隐患排查、自行监测、拆除活动污染防治等制度，依法在排污许可证中载明土壤污染防治要求。强化重金属污染防控，持续推进涉重行业企业污染源排查与整治，建立污染源排查整治清单。严格执行重金属污染物排放标准和总量控制要求，严控土壤和地下水新增污染。</w:t>
                  </w:r>
                </w:p>
              </w:tc>
              <w:tc>
                <w:tcPr>
                  <w:tcW w:w="1553" w:type="pct"/>
                  <w:noWrap w:val="0"/>
                  <w:vAlign w:val="center"/>
                </w:tcPr>
                <w:p w14:paraId="254A048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eastAsia" w:cs="Times New Roman"/>
                      <w:b w:val="0"/>
                      <w:bCs w:val="0"/>
                      <w:sz w:val="21"/>
                      <w:szCs w:val="21"/>
                      <w:lang w:val="en-US" w:eastAsia="zh-CN"/>
                    </w:rPr>
                    <w:t>企业</w:t>
                  </w:r>
                  <w:r>
                    <w:rPr>
                      <w:rFonts w:hint="default" w:ascii="Times New Roman" w:hAnsi="Times New Roman" w:cs="Times New Roman"/>
                      <w:b w:val="0"/>
                      <w:bCs w:val="0"/>
                      <w:sz w:val="21"/>
                      <w:szCs w:val="21"/>
                    </w:rPr>
                    <w:t>生产车间、一般固废库、沉淀池做一般防渗；危废库做重点防渗</w:t>
                  </w:r>
                  <w:r>
                    <w:rPr>
                      <w:rFonts w:hint="eastAsia" w:cs="Times New Roman"/>
                      <w:b w:val="0"/>
                      <w:bCs w:val="0"/>
                      <w:sz w:val="21"/>
                      <w:szCs w:val="21"/>
                      <w:lang w:eastAsia="zh-CN"/>
                    </w:rPr>
                    <w:t>，</w:t>
                  </w:r>
                  <w:r>
                    <w:rPr>
                      <w:rFonts w:hint="default" w:ascii="Times New Roman" w:hAnsi="Times New Roman" w:cs="Times New Roman"/>
                      <w:b w:val="0"/>
                      <w:bCs w:val="0"/>
                      <w:sz w:val="21"/>
                      <w:szCs w:val="21"/>
                    </w:rPr>
                    <w:t>本项目污染地下水、土壤的途径或可能性很小；项目水污染物排放满足总量控制指标。</w:t>
                  </w:r>
                </w:p>
              </w:tc>
              <w:tc>
                <w:tcPr>
                  <w:tcW w:w="353" w:type="pct"/>
                  <w:noWrap w:val="0"/>
                  <w:vAlign w:val="center"/>
                </w:tcPr>
                <w:p w14:paraId="51EA0B3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符合</w:t>
                  </w:r>
                </w:p>
              </w:tc>
            </w:tr>
            <w:tr w14:paraId="3E448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noWrap w:val="0"/>
                  <w:vAlign w:val="center"/>
                </w:tcPr>
                <w:p w14:paraId="6FA6012A">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p>
              </w:tc>
              <w:tc>
                <w:tcPr>
                  <w:tcW w:w="2493" w:type="pct"/>
                  <w:noWrap w:val="0"/>
                  <w:vAlign w:val="center"/>
                </w:tcPr>
                <w:p w14:paraId="434C8FB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严格落实地下水环境分区管控。完成地下水污染防治分区划定，形成地下水污染分区、分类防控体系，提出地下水污染分区防治及污染源分类监管措施。严格执行地下水禁采区和限采区划分方案，加强地下水资源保护。建立全市地下水污染防治管理体系，全市地下水环境质量稳定向好。</w:t>
                  </w:r>
                </w:p>
              </w:tc>
              <w:tc>
                <w:tcPr>
                  <w:tcW w:w="1553" w:type="pct"/>
                  <w:noWrap w:val="0"/>
                  <w:vAlign w:val="center"/>
                </w:tcPr>
                <w:p w14:paraId="6E175AB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本项目严格落实地下水污染分区防治措施，项目用水来自于市政供水管网。</w:t>
                  </w:r>
                </w:p>
              </w:tc>
              <w:tc>
                <w:tcPr>
                  <w:tcW w:w="353" w:type="pct"/>
                  <w:noWrap w:val="0"/>
                  <w:vAlign w:val="center"/>
                </w:tcPr>
                <w:p w14:paraId="6EABCB9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符合</w:t>
                  </w:r>
                </w:p>
              </w:tc>
            </w:tr>
            <w:tr w14:paraId="2FB41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noWrap w:val="0"/>
                  <w:vAlign w:val="center"/>
                </w:tcPr>
                <w:p w14:paraId="706D3F68">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p>
              </w:tc>
              <w:tc>
                <w:tcPr>
                  <w:tcW w:w="2493" w:type="pct"/>
                  <w:noWrap w:val="0"/>
                  <w:vAlign w:val="center"/>
                </w:tcPr>
                <w:p w14:paraId="3194E59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完善工业和社会生活噪声管理。严格执行声环境功能区建设项目准入要求，加强工业噪声污染管控。规范客货流集中区域噪声管理，优化车流、人流通道设置，通过限制装卸货物时间和规范装卸货操作，减少对周边敏感建筑物的噪声影响。规范固定设备噪声源管理，开展全市固定噪声源控制设备自查，建立管理台账。</w:t>
                  </w:r>
                </w:p>
              </w:tc>
              <w:tc>
                <w:tcPr>
                  <w:tcW w:w="1553" w:type="pct"/>
                  <w:noWrap w:val="0"/>
                  <w:vAlign w:val="center"/>
                </w:tcPr>
                <w:p w14:paraId="174A736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本项目加强工业噪声污染防治，严格执行声环境功能区达标要求。</w:t>
                  </w:r>
                </w:p>
              </w:tc>
              <w:tc>
                <w:tcPr>
                  <w:tcW w:w="353" w:type="pct"/>
                  <w:noWrap w:val="0"/>
                  <w:vAlign w:val="center"/>
                </w:tcPr>
                <w:p w14:paraId="16360BA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符合</w:t>
                  </w:r>
                </w:p>
              </w:tc>
            </w:tr>
            <w:tr w14:paraId="04162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noWrap w:val="0"/>
                  <w:vAlign w:val="center"/>
                </w:tcPr>
                <w:p w14:paraId="6E3383D7">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p>
              </w:tc>
              <w:tc>
                <w:tcPr>
                  <w:tcW w:w="2493" w:type="pct"/>
                  <w:noWrap w:val="0"/>
                  <w:vAlign w:val="center"/>
                </w:tcPr>
                <w:p w14:paraId="173E648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优化产业空间布局。优化总量分配和调控机制，重点污染物排放总量指标优先向重大建设项目、重点产业园区、战略性新兴产业倾斜。引导新建的大气污染物排放建设项目入园管理。对现有重污染项目实施深度治理，严格控制“两高”行业新增产能。落实空间开发保护原则、边界，坚持节约优先、保护优先、自然恢复为主的方针，开展资源环境承载能力和国土空间开发适宜性评价。强化“三线一单”在政策制定、环境准入、园区管理、执法监管等方面的应用。</w:t>
                  </w:r>
                </w:p>
              </w:tc>
              <w:tc>
                <w:tcPr>
                  <w:tcW w:w="1553" w:type="pct"/>
                  <w:noWrap w:val="0"/>
                  <w:vAlign w:val="center"/>
                </w:tcPr>
                <w:p w14:paraId="1F95217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本项目为</w:t>
                  </w:r>
                  <w:r>
                    <w:rPr>
                      <w:rFonts w:hint="eastAsia" w:ascii="Times New Roman" w:hAnsi="Times New Roman" w:cs="Times New Roman"/>
                      <w:b w:val="0"/>
                      <w:bCs w:val="0"/>
                      <w:sz w:val="21"/>
                      <w:szCs w:val="21"/>
                      <w:lang w:val="en-US" w:eastAsia="zh-CN"/>
                    </w:rPr>
                    <w:t>食品制造行业</w:t>
                  </w:r>
                  <w:r>
                    <w:rPr>
                      <w:rFonts w:hint="default" w:ascii="Times New Roman" w:hAnsi="Times New Roman" w:cs="Times New Roman"/>
                      <w:b w:val="0"/>
                      <w:bCs w:val="0"/>
                      <w:sz w:val="21"/>
                      <w:szCs w:val="21"/>
                    </w:rPr>
                    <w:t>，不属于</w:t>
                  </w:r>
                  <w:r>
                    <w:rPr>
                      <w:rFonts w:hint="eastAsia" w:ascii="Times New Roman" w:hAnsi="Times New Roman" w:cs="Times New Roman"/>
                      <w:b w:val="0"/>
                      <w:bCs w:val="0"/>
                      <w:sz w:val="21"/>
                      <w:szCs w:val="21"/>
                    </w:rPr>
                    <w:t>“</w:t>
                  </w:r>
                  <w:r>
                    <w:rPr>
                      <w:rFonts w:hint="default" w:ascii="Times New Roman" w:hAnsi="Times New Roman" w:cs="Times New Roman"/>
                      <w:b w:val="0"/>
                      <w:bCs w:val="0"/>
                      <w:sz w:val="21"/>
                      <w:szCs w:val="21"/>
                    </w:rPr>
                    <w:t>两高</w:t>
                  </w:r>
                  <w:r>
                    <w:rPr>
                      <w:rFonts w:hint="eastAsia" w:ascii="Times New Roman" w:hAnsi="Times New Roman" w:cs="Times New Roman"/>
                      <w:b w:val="0"/>
                      <w:bCs w:val="0"/>
                      <w:sz w:val="21"/>
                      <w:szCs w:val="21"/>
                    </w:rPr>
                    <w:t>”</w:t>
                  </w:r>
                  <w:r>
                    <w:rPr>
                      <w:rFonts w:hint="default" w:ascii="Times New Roman" w:hAnsi="Times New Roman" w:cs="Times New Roman"/>
                      <w:b w:val="0"/>
                      <w:bCs w:val="0"/>
                      <w:sz w:val="21"/>
                      <w:szCs w:val="21"/>
                    </w:rPr>
                    <w:t>行业，项目建设符合</w:t>
                  </w:r>
                  <w:r>
                    <w:rPr>
                      <w:rFonts w:hint="eastAsia" w:ascii="Times New Roman" w:hAnsi="Times New Roman" w:cs="Times New Roman"/>
                      <w:b w:val="0"/>
                      <w:bCs w:val="0"/>
                      <w:sz w:val="21"/>
                      <w:szCs w:val="21"/>
                    </w:rPr>
                    <w:t>“</w:t>
                  </w:r>
                  <w:r>
                    <w:rPr>
                      <w:rFonts w:hint="default" w:ascii="Times New Roman" w:hAnsi="Times New Roman" w:cs="Times New Roman"/>
                      <w:b w:val="0"/>
                      <w:bCs w:val="0"/>
                      <w:sz w:val="21"/>
                      <w:szCs w:val="21"/>
                    </w:rPr>
                    <w:t>三线一单</w:t>
                  </w:r>
                  <w:r>
                    <w:rPr>
                      <w:rFonts w:hint="eastAsia" w:ascii="Times New Roman" w:hAnsi="Times New Roman" w:cs="Times New Roman"/>
                      <w:b w:val="0"/>
                      <w:bCs w:val="0"/>
                      <w:sz w:val="21"/>
                      <w:szCs w:val="21"/>
                    </w:rPr>
                    <w:t>”</w:t>
                  </w:r>
                  <w:r>
                    <w:rPr>
                      <w:rFonts w:hint="default" w:ascii="Times New Roman" w:hAnsi="Times New Roman" w:cs="Times New Roman"/>
                      <w:b w:val="0"/>
                      <w:bCs w:val="0"/>
                      <w:sz w:val="21"/>
                      <w:szCs w:val="21"/>
                    </w:rPr>
                    <w:t>等政策要求。</w:t>
                  </w:r>
                </w:p>
              </w:tc>
              <w:tc>
                <w:tcPr>
                  <w:tcW w:w="353" w:type="pct"/>
                  <w:noWrap w:val="0"/>
                  <w:vAlign w:val="center"/>
                </w:tcPr>
                <w:p w14:paraId="4030265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符合</w:t>
                  </w:r>
                </w:p>
              </w:tc>
            </w:tr>
            <w:tr w14:paraId="1ADDB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pct"/>
                  <w:vMerge w:val="continue"/>
                  <w:noWrap w:val="0"/>
                  <w:vAlign w:val="center"/>
                </w:tcPr>
                <w:p w14:paraId="10F9405E">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p>
              </w:tc>
              <w:tc>
                <w:tcPr>
                  <w:tcW w:w="2493" w:type="pct"/>
                  <w:noWrap w:val="0"/>
                  <w:vAlign w:val="center"/>
                </w:tcPr>
                <w:p w14:paraId="6BD420D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推进风险全过程监管。强化企业环境风险主体责任，督促企业开展环境风险隐患排查并建立档案。抓好重点行业企业和重点区域的环境风险评估工作，实施环境风险分级管理，持续推进企业、园区、行政区域的三级防控体系。建立企业突发环境事件报告与应急处理制度、特征污染物监测报告等制度，探索建立建设项目验收与企业环境应急预案备案的联动机制，推广“标杆式”、“卡片式”预案管理模式。严格源头防控、深化过程监管，严厉打击污染治理设施不规范、不运行、偷排、漏排等行为，强化责任追究，将环境风险防范纳入到日常环境管理。</w:t>
                  </w:r>
                </w:p>
              </w:tc>
              <w:tc>
                <w:tcPr>
                  <w:tcW w:w="1553" w:type="pct"/>
                  <w:noWrap w:val="0"/>
                  <w:vAlign w:val="center"/>
                </w:tcPr>
                <w:p w14:paraId="5F0ADE4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eastAsia" w:ascii="Times New Roman" w:hAnsi="Times New Roman" w:cs="Times New Roman"/>
                      <w:b w:val="0"/>
                      <w:bCs w:val="0"/>
                      <w:sz w:val="21"/>
                      <w:szCs w:val="21"/>
                      <w:lang w:val="en-US" w:eastAsia="zh-CN"/>
                    </w:rPr>
                    <w:t>本</w:t>
                  </w:r>
                  <w:r>
                    <w:rPr>
                      <w:rFonts w:hint="default" w:ascii="Times New Roman" w:hAnsi="Times New Roman" w:cs="Times New Roman"/>
                      <w:b w:val="0"/>
                      <w:bCs w:val="0"/>
                      <w:sz w:val="21"/>
                      <w:szCs w:val="21"/>
                    </w:rPr>
                    <w:t>项目需制定完善的环境事件应急预案报生态环境部门备案，定期对工作人员开展相关培训，加强风险管控。</w:t>
                  </w:r>
                </w:p>
              </w:tc>
              <w:tc>
                <w:tcPr>
                  <w:tcW w:w="353" w:type="pct"/>
                  <w:noWrap w:val="0"/>
                  <w:vAlign w:val="center"/>
                </w:tcPr>
                <w:p w14:paraId="67A8641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符合</w:t>
                  </w:r>
                </w:p>
              </w:tc>
            </w:tr>
            <w:tr w14:paraId="05429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599" w:type="pct"/>
                  <w:vMerge w:val="continue"/>
                  <w:noWrap w:val="0"/>
                  <w:vAlign w:val="center"/>
                </w:tcPr>
                <w:p w14:paraId="5CEA22F0">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p>
              </w:tc>
              <w:tc>
                <w:tcPr>
                  <w:tcW w:w="2493" w:type="pct"/>
                  <w:noWrap w:val="0"/>
                  <w:vAlign w:val="center"/>
                </w:tcPr>
                <w:p w14:paraId="36F054A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加强危险废物安全处置。加快实施危险废物处置工程，提升危险废物安全处置能力。严格落实申报登记和经营许可管理，规范危险废物处理处置市场，严禁无证经营和超范围经营，确保各类危险废物的安全处理处置。实施危险废物转移联单管理，采取密封、防水等措施防止收集运输过程造成环境污染。继续强化医疗废物管理工作，开展危险废物和危险化学品污染事故应急能力建设，防范环境污染风险。以提高危险废物资源化利用水平为重点，完善危险废物运输、转运和处理机制，杜绝危险废物混入一般工业固体废物或生活垃圾进行处理处置的现象，培育技术先进、综合利用水平高、环境治理设施完善的危险废物持证经营单位，加强危险废物资源化利用，确保危险废物安全处置利用率达到100%。完善危险废物管理台帐、转移联单等管理制度，提高危险废物收集、运输、处理处置的全过程信息化管理水平。</w:t>
                  </w:r>
                </w:p>
              </w:tc>
              <w:tc>
                <w:tcPr>
                  <w:tcW w:w="1553" w:type="pct"/>
                  <w:noWrap w:val="0"/>
                  <w:vAlign w:val="center"/>
                </w:tcPr>
                <w:p w14:paraId="7E716CF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本项目</w:t>
                  </w:r>
                  <w:r>
                    <w:rPr>
                      <w:rFonts w:hint="eastAsia" w:ascii="Times New Roman" w:hAnsi="Times New Roman" w:cs="Times New Roman"/>
                      <w:b w:val="0"/>
                      <w:bCs w:val="0"/>
                      <w:sz w:val="21"/>
                      <w:szCs w:val="21"/>
                      <w:lang w:val="en-US" w:eastAsia="zh-CN"/>
                    </w:rPr>
                    <w:t>沉淀池运行</w:t>
                  </w:r>
                  <w:r>
                    <w:rPr>
                      <w:rFonts w:hint="default" w:ascii="Times New Roman" w:hAnsi="Times New Roman" w:cs="Times New Roman"/>
                      <w:b w:val="0"/>
                      <w:bCs w:val="0"/>
                      <w:sz w:val="21"/>
                      <w:szCs w:val="21"/>
                    </w:rPr>
                    <w:t>产生的污泥</w:t>
                  </w:r>
                  <w:r>
                    <w:rPr>
                      <w:rFonts w:hint="eastAsia" w:ascii="Times New Roman" w:hAnsi="Times New Roman" w:cs="Times New Roman"/>
                      <w:b w:val="0"/>
                      <w:bCs w:val="0"/>
                      <w:sz w:val="21"/>
                      <w:szCs w:val="21"/>
                      <w:lang w:val="en-US" w:eastAsia="zh-CN"/>
                    </w:rPr>
                    <w:t>，</w:t>
                  </w:r>
                  <w:r>
                    <w:rPr>
                      <w:rFonts w:hint="eastAsia" w:cs="Times New Roman"/>
                      <w:b w:val="0"/>
                      <w:bCs w:val="0"/>
                      <w:sz w:val="21"/>
                      <w:szCs w:val="21"/>
                      <w:lang w:val="en-US" w:eastAsia="zh-CN"/>
                    </w:rPr>
                    <w:t>属于一般固废，</w:t>
                  </w:r>
                  <w:r>
                    <w:rPr>
                      <w:rFonts w:hint="default" w:ascii="Times New Roman" w:hAnsi="Times New Roman" w:cs="Times New Roman"/>
                      <w:b w:val="0"/>
                      <w:bCs w:val="0"/>
                      <w:sz w:val="21"/>
                      <w:szCs w:val="21"/>
                    </w:rPr>
                    <w:t>委托</w:t>
                  </w:r>
                  <w:r>
                    <w:rPr>
                      <w:rFonts w:hint="eastAsia" w:cs="Times New Roman"/>
                      <w:b w:val="0"/>
                      <w:bCs w:val="0"/>
                      <w:sz w:val="21"/>
                      <w:szCs w:val="21"/>
                      <w:lang w:val="en-US" w:eastAsia="zh-CN"/>
                    </w:rPr>
                    <w:t>环卫部门定期清运</w:t>
                  </w:r>
                </w:p>
              </w:tc>
              <w:tc>
                <w:tcPr>
                  <w:tcW w:w="353" w:type="pct"/>
                  <w:noWrap w:val="0"/>
                  <w:vAlign w:val="center"/>
                </w:tcPr>
                <w:p w14:paraId="4433553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符合</w:t>
                  </w:r>
                </w:p>
              </w:tc>
            </w:tr>
            <w:tr w14:paraId="5372F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9" w:type="pct"/>
                  <w:vMerge w:val="continue"/>
                  <w:noWrap w:val="0"/>
                  <w:vAlign w:val="center"/>
                </w:tcPr>
                <w:p w14:paraId="263B85A6">
                  <w:pPr>
                    <w:pStyle w:val="6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val="0"/>
                      <w:bCs w:val="0"/>
                      <w:sz w:val="21"/>
                      <w:szCs w:val="21"/>
                    </w:rPr>
                  </w:pPr>
                </w:p>
              </w:tc>
              <w:tc>
                <w:tcPr>
                  <w:tcW w:w="2493" w:type="pct"/>
                  <w:noWrap w:val="0"/>
                  <w:vAlign w:val="center"/>
                </w:tcPr>
                <w:p w14:paraId="69E8425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强化污泥安全处理处置。以完善污泥产生、运输和处理处置单位的管理为重点，严格执行严控废物处理许可管理，相关单位必须建立污泥管理台帐，如实填写转移联单，定期向所在地生态环境部门报告，禁止污泥运输、处理处置单位接收、转运和处理处置无转移联单的污泥。积极推进污泥的资源化利用。加强污泥产生源的监督管理，强化污水处理厂对污泥处理的主体责任，对污泥产生、运输、贮存、处理和处置实施全过程管理，严禁擅自倾倒、堆放、丢弃和遗撒污泥。</w:t>
                  </w:r>
                </w:p>
              </w:tc>
              <w:tc>
                <w:tcPr>
                  <w:tcW w:w="1553" w:type="pct"/>
                  <w:noWrap w:val="0"/>
                  <w:vAlign w:val="center"/>
                </w:tcPr>
                <w:p w14:paraId="06355AF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sz w:val="21"/>
                      <w:szCs w:val="21"/>
                    </w:rPr>
                    <w:t>本项目</w:t>
                  </w:r>
                  <w:r>
                    <w:rPr>
                      <w:rFonts w:hint="eastAsia" w:ascii="Times New Roman" w:hAnsi="Times New Roman" w:cs="Times New Roman"/>
                      <w:b w:val="0"/>
                      <w:bCs w:val="0"/>
                      <w:sz w:val="21"/>
                      <w:szCs w:val="21"/>
                      <w:lang w:val="en-US" w:eastAsia="zh-CN"/>
                    </w:rPr>
                    <w:t>沉淀池运行</w:t>
                  </w:r>
                  <w:r>
                    <w:rPr>
                      <w:rFonts w:hint="default" w:ascii="Times New Roman" w:hAnsi="Times New Roman" w:cs="Times New Roman"/>
                      <w:b w:val="0"/>
                      <w:bCs w:val="0"/>
                      <w:sz w:val="21"/>
                      <w:szCs w:val="21"/>
                    </w:rPr>
                    <w:t>产生的污泥，</w:t>
                  </w:r>
                  <w:r>
                    <w:rPr>
                      <w:rFonts w:hint="eastAsia" w:ascii="Times New Roman" w:hAnsi="Times New Roman" w:cs="Times New Roman"/>
                      <w:b w:val="0"/>
                      <w:bCs w:val="0"/>
                      <w:sz w:val="21"/>
                      <w:szCs w:val="21"/>
                    </w:rPr>
                    <w:t>属于</w:t>
                  </w:r>
                  <w:r>
                    <w:rPr>
                      <w:rFonts w:hint="eastAsia" w:ascii="Times New Roman" w:hAnsi="Times New Roman" w:cs="Times New Roman"/>
                      <w:b w:val="0"/>
                      <w:bCs w:val="0"/>
                      <w:sz w:val="21"/>
                      <w:szCs w:val="21"/>
                      <w:lang w:val="en-US" w:eastAsia="zh-CN"/>
                    </w:rPr>
                    <w:t>一般固体废物</w:t>
                  </w:r>
                  <w:r>
                    <w:rPr>
                      <w:rFonts w:hint="eastAsia" w:ascii="Times New Roman" w:hAnsi="Times New Roman" w:cs="Times New Roman"/>
                      <w:b w:val="0"/>
                      <w:bCs w:val="0"/>
                      <w:sz w:val="21"/>
                      <w:szCs w:val="21"/>
                    </w:rPr>
                    <w:t>，委托环卫部门定期清运</w:t>
                  </w:r>
                  <w:r>
                    <w:rPr>
                      <w:rFonts w:hint="eastAsia"/>
                      <w:lang w:eastAsia="zh-CN"/>
                    </w:rPr>
                    <w:t>；</w:t>
                  </w:r>
                  <w:r>
                    <w:rPr>
                      <w:rFonts w:hint="eastAsia"/>
                      <w:lang w:val="en-US" w:eastAsia="zh-CN"/>
                    </w:rPr>
                    <w:t>本项目产生的废紫外灯管暂存于危废库，委托有资质单位处理</w:t>
                  </w:r>
                </w:p>
              </w:tc>
              <w:tc>
                <w:tcPr>
                  <w:tcW w:w="353" w:type="pct"/>
                  <w:noWrap w:val="0"/>
                  <w:vAlign w:val="center"/>
                </w:tcPr>
                <w:p w14:paraId="0E01424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rPr>
                    <w:t>符合</w:t>
                  </w:r>
                </w:p>
              </w:tc>
            </w:tr>
          </w:tbl>
          <w:p w14:paraId="40771A02">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cs="Times New Roman"/>
                <w:kern w:val="0"/>
                <w:sz w:val="24"/>
              </w:rPr>
            </w:pPr>
          </w:p>
        </w:tc>
      </w:tr>
    </w:tbl>
    <w:p w14:paraId="254BAC45">
      <w:pPr>
        <w:spacing w:line="360" w:lineRule="auto"/>
        <w:outlineLvl w:val="0"/>
        <w:rPr>
          <w:rFonts w:eastAsia="黑体"/>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294D699">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418"/>
      </w:tblGrid>
      <w:tr w14:paraId="68E0B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566" w:type="dxa"/>
            <w:noWrap w:val="0"/>
            <w:vAlign w:val="center"/>
          </w:tcPr>
          <w:p w14:paraId="4629F309">
            <w:pPr>
              <w:pStyle w:val="25"/>
              <w:keepNext w:val="0"/>
              <w:keepLines w:val="0"/>
              <w:suppressLineNumbers w:val="0"/>
              <w:adjustRightInd w:val="0"/>
              <w:snapToGrid w:val="0"/>
              <w:spacing w:before="0" w:beforeAutospacing="0" w:after="0" w:afterAutospacing="0"/>
              <w:ind w:left="0" w:right="0"/>
              <w:jc w:val="center"/>
              <w:rPr>
                <w:rFonts w:hint="default" w:cs="宋体"/>
                <w:szCs w:val="24"/>
              </w:rPr>
            </w:pPr>
            <w:r>
              <w:rPr>
                <w:rFonts w:hint="eastAsia" w:cs="宋体"/>
                <w:szCs w:val="24"/>
              </w:rPr>
              <w:t>建设内容</w:t>
            </w:r>
          </w:p>
        </w:tc>
        <w:tc>
          <w:tcPr>
            <w:tcW w:w="8418" w:type="dxa"/>
            <w:noWrap w:val="0"/>
            <w:vAlign w:val="top"/>
          </w:tcPr>
          <w:p w14:paraId="70F2E60D">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eastAsia"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项目基本情况</w:t>
            </w:r>
          </w:p>
          <w:p w14:paraId="6617583D">
            <w:pPr>
              <w:pStyle w:val="2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项目名称：休闲食品及婴幼儿食品加工项目；</w:t>
            </w:r>
          </w:p>
          <w:p w14:paraId="6F34C8A9">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b w:val="0"/>
                <w:bCs w:val="0"/>
                <w:color w:val="000000"/>
                <w:kern w:val="2"/>
                <w:sz w:val="24"/>
                <w:szCs w:val="24"/>
                <w:lang w:val="en-US" w:eastAsia="zh-CN" w:bidi="ar-SA"/>
              </w:rPr>
              <w:t>建设单位：安徽马培德食品科技有限公司；</w:t>
            </w:r>
          </w:p>
          <w:p w14:paraId="1C6642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建设性质：扩建；</w:t>
            </w:r>
          </w:p>
          <w:p w14:paraId="34D85CD0">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投资总额：</w:t>
            </w:r>
            <w:r>
              <w:rPr>
                <w:rFonts w:hint="eastAsia" w:ascii="Times New Roman" w:hAnsi="Times New Roman" w:eastAsia="宋体" w:cs="Times New Roman"/>
                <w:b w:val="0"/>
                <w:bCs w:val="0"/>
                <w:color w:val="000000"/>
                <w:kern w:val="2"/>
                <w:sz w:val="24"/>
                <w:szCs w:val="24"/>
                <w:lang w:val="en-US" w:eastAsia="zh-CN" w:bidi="ar-SA"/>
              </w:rPr>
              <w:t>500</w:t>
            </w:r>
            <w:r>
              <w:rPr>
                <w:rFonts w:hint="default" w:ascii="Times New Roman" w:hAnsi="Times New Roman" w:eastAsia="宋体" w:cs="Times New Roman"/>
                <w:b w:val="0"/>
                <w:bCs w:val="0"/>
                <w:color w:val="000000"/>
                <w:kern w:val="2"/>
                <w:sz w:val="24"/>
                <w:szCs w:val="24"/>
                <w:lang w:val="en-US" w:eastAsia="zh-CN" w:bidi="ar-SA"/>
              </w:rPr>
              <w:t>万元</w:t>
            </w:r>
            <w:r>
              <w:rPr>
                <w:rFonts w:hint="eastAsia" w:ascii="Times New Roman" w:hAnsi="Times New Roman" w:eastAsia="宋体" w:cs="Times New Roman"/>
                <w:b w:val="0"/>
                <w:bCs w:val="0"/>
                <w:color w:val="000000"/>
                <w:kern w:val="2"/>
                <w:sz w:val="24"/>
                <w:szCs w:val="24"/>
                <w:lang w:val="en-US" w:eastAsia="zh-CN" w:bidi="ar-SA"/>
              </w:rPr>
              <w:t>；</w:t>
            </w:r>
          </w:p>
          <w:p w14:paraId="06FBF075">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项目由来</w:t>
            </w:r>
          </w:p>
          <w:p w14:paraId="04DF5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安徽马培德食品科技有限公司成立于2020年04月03日</w:t>
            </w:r>
            <w:r>
              <w:rPr>
                <w:rFonts w:hint="eastAsia" w:ascii="Times New Roman" w:hAnsi="Times New Roman" w:eastAsia="宋体" w:cs="Times New Roman"/>
                <w:b w:val="0"/>
                <w:bCs w:val="0"/>
                <w:color w:val="000000"/>
                <w:kern w:val="2"/>
                <w:sz w:val="24"/>
                <w:szCs w:val="24"/>
                <w:lang w:val="en-US" w:eastAsia="zh-CN" w:bidi="ar-SA"/>
              </w:rPr>
              <w:t>，公司</w:t>
            </w:r>
            <w:r>
              <w:rPr>
                <w:rFonts w:hint="default" w:ascii="Times New Roman" w:hAnsi="Times New Roman" w:eastAsia="宋体" w:cs="Times New Roman"/>
                <w:b w:val="0"/>
                <w:bCs w:val="0"/>
                <w:color w:val="000000"/>
                <w:kern w:val="2"/>
                <w:sz w:val="24"/>
                <w:szCs w:val="24"/>
                <w:lang w:val="en-US" w:eastAsia="zh-CN" w:bidi="ar-SA"/>
              </w:rPr>
              <w:t>位于安徽省淮北市相山经济开发区凤凰路16号2幢，经营范围</w:t>
            </w:r>
            <w:r>
              <w:rPr>
                <w:rFonts w:hint="eastAsia" w:ascii="Times New Roman" w:hAnsi="Times New Roman" w:eastAsia="宋体" w:cs="Times New Roman"/>
                <w:b w:val="0"/>
                <w:bCs w:val="0"/>
                <w:color w:val="000000"/>
                <w:kern w:val="2"/>
                <w:sz w:val="24"/>
                <w:szCs w:val="24"/>
                <w:lang w:val="en-US" w:eastAsia="zh-CN" w:bidi="ar-SA"/>
              </w:rPr>
              <w:t>为</w:t>
            </w:r>
            <w:r>
              <w:rPr>
                <w:rFonts w:hint="default" w:ascii="Times New Roman" w:hAnsi="Times New Roman" w:eastAsia="宋体" w:cs="Times New Roman"/>
                <w:b w:val="0"/>
                <w:bCs w:val="0"/>
                <w:color w:val="000000"/>
                <w:kern w:val="2"/>
                <w:sz w:val="24"/>
                <w:szCs w:val="24"/>
                <w:lang w:val="en-US" w:eastAsia="zh-CN" w:bidi="ar-SA"/>
              </w:rPr>
              <w:t>食品生产；食品销售一般项目：婴幼儿配方乳粉及其他婴幼儿配方食品销售；技术进出口；货物进出口；进出口代理；食品进出口</w:t>
            </w:r>
            <w:r>
              <w:rPr>
                <w:rFonts w:hint="eastAsia" w:ascii="Times New Roman" w:hAnsi="Times New Roman" w:eastAsia="宋体" w:cs="Times New Roman"/>
                <w:b w:val="0"/>
                <w:bCs w:val="0"/>
                <w:color w:val="000000"/>
                <w:kern w:val="2"/>
                <w:sz w:val="24"/>
                <w:szCs w:val="24"/>
                <w:lang w:val="en-US" w:eastAsia="zh-CN" w:bidi="ar-SA"/>
              </w:rPr>
              <w:t>等。</w:t>
            </w:r>
          </w:p>
          <w:p w14:paraId="51D0B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安徽马培德食品科技有限公司</w:t>
            </w:r>
            <w:r>
              <w:rPr>
                <w:rFonts w:hint="eastAsia" w:cs="Times New Roman"/>
                <w:b w:val="0"/>
                <w:bCs w:val="0"/>
                <w:color w:val="000000"/>
                <w:kern w:val="2"/>
                <w:sz w:val="24"/>
                <w:szCs w:val="24"/>
                <w:lang w:val="en-US" w:eastAsia="zh-CN" w:bidi="ar-SA"/>
              </w:rPr>
              <w:t>租赁淮北市欣然食品有限责任公司2#厂房已</w:t>
            </w:r>
            <w:r>
              <w:rPr>
                <w:rFonts w:hint="eastAsia" w:ascii="Times New Roman" w:hAnsi="Times New Roman" w:eastAsia="宋体" w:cs="Times New Roman"/>
                <w:b w:val="0"/>
                <w:bCs w:val="0"/>
                <w:color w:val="000000"/>
                <w:kern w:val="2"/>
                <w:sz w:val="24"/>
                <w:szCs w:val="24"/>
                <w:lang w:val="en-US" w:eastAsia="zh-CN" w:bidi="ar-SA"/>
              </w:rPr>
              <w:t>建设4条食品生产线，包括1条营养补充剂生产线，1条米果生产线，2条薄饼生产线，已履行环评手续</w:t>
            </w:r>
            <w:r>
              <w:rPr>
                <w:rFonts w:hint="eastAsia" w:cs="Times New Roman"/>
                <w:b w:val="0"/>
                <w:bCs w:val="0"/>
                <w:color w:val="000000"/>
                <w:kern w:val="2"/>
                <w:sz w:val="24"/>
                <w:szCs w:val="24"/>
                <w:lang w:val="en-US" w:eastAsia="zh-CN" w:bidi="ar-SA"/>
              </w:rPr>
              <w:t>，完成排污许可登记</w:t>
            </w:r>
            <w:r>
              <w:rPr>
                <w:rFonts w:hint="eastAsia" w:ascii="Times New Roman" w:hAnsi="Times New Roman" w:eastAsia="宋体" w:cs="Times New Roman"/>
                <w:b w:val="0"/>
                <w:bCs w:val="0"/>
                <w:color w:val="000000"/>
                <w:kern w:val="2"/>
                <w:sz w:val="24"/>
                <w:szCs w:val="24"/>
                <w:lang w:val="en-US" w:eastAsia="zh-CN" w:bidi="ar-SA"/>
              </w:rPr>
              <w:t>。</w:t>
            </w:r>
            <w:r>
              <w:rPr>
                <w:rFonts w:hint="eastAsia"/>
                <w:sz w:val="24"/>
              </w:rPr>
              <w:t>公司出于市场及经济效益考量，营养补充剂生产线目前已停止生产</w:t>
            </w:r>
            <w:r>
              <w:rPr>
                <w:rFonts w:hint="eastAsia"/>
                <w:sz w:val="24"/>
                <w:lang w:eastAsia="zh-CN"/>
              </w:rPr>
              <w:t>。</w:t>
            </w:r>
          </w:p>
          <w:p w14:paraId="36B50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为了顺应市场发展的趋势，提高企业市场竞争力</w:t>
            </w:r>
            <w:r>
              <w:rPr>
                <w:rFonts w:hint="eastAsia" w:ascii="Times New Roman" w:hAnsi="Times New Roman" w:eastAsia="宋体" w:cs="Times New Roman"/>
                <w:b w:val="0"/>
                <w:bCs w:val="0"/>
                <w:color w:val="000000"/>
                <w:kern w:val="2"/>
                <w:sz w:val="24"/>
                <w:szCs w:val="24"/>
                <w:lang w:val="en-US" w:eastAsia="zh-CN" w:bidi="ar-SA"/>
              </w:rPr>
              <w:t>，</w:t>
            </w:r>
            <w:r>
              <w:rPr>
                <w:rFonts w:hint="default" w:ascii="Times New Roman" w:hAnsi="Times New Roman" w:eastAsia="宋体" w:cs="Times New Roman"/>
                <w:b w:val="0"/>
                <w:bCs w:val="0"/>
                <w:color w:val="000000"/>
                <w:kern w:val="2"/>
                <w:sz w:val="24"/>
                <w:szCs w:val="24"/>
                <w:lang w:val="en-US" w:eastAsia="zh-CN" w:bidi="ar-SA"/>
              </w:rPr>
              <w:t>安徽马培德食品科技有限</w:t>
            </w:r>
            <w:r>
              <w:rPr>
                <w:rFonts w:hint="eastAsia" w:ascii="Times New Roman" w:hAnsi="Times New Roman" w:eastAsia="宋体" w:cs="Times New Roman"/>
                <w:b w:val="0"/>
                <w:bCs w:val="0"/>
                <w:color w:val="000000"/>
                <w:kern w:val="2"/>
                <w:sz w:val="24"/>
                <w:szCs w:val="24"/>
                <w:lang w:val="en-US" w:eastAsia="zh-CN" w:bidi="ar-SA"/>
              </w:rPr>
              <w:t>公司租赁淮北市欣然食品有限责任公司1#厂房和办公楼</w:t>
            </w:r>
            <w:r>
              <w:rPr>
                <w:rFonts w:hint="eastAsia" w:cs="Times New Roman"/>
                <w:b w:val="0"/>
                <w:bCs w:val="0"/>
                <w:color w:val="000000"/>
                <w:kern w:val="2"/>
                <w:sz w:val="24"/>
                <w:szCs w:val="24"/>
                <w:lang w:val="en-US" w:eastAsia="zh-CN" w:bidi="ar-SA"/>
              </w:rPr>
              <w:t>，利用现有2#厂房</w:t>
            </w:r>
            <w:r>
              <w:rPr>
                <w:rFonts w:hint="eastAsia"/>
                <w:color w:val="000000"/>
                <w:sz w:val="24"/>
              </w:rPr>
              <w:t>进行重新</w:t>
            </w:r>
            <w:r>
              <w:rPr>
                <w:rFonts w:hint="eastAsia"/>
                <w:color w:val="000000"/>
                <w:sz w:val="24"/>
                <w:lang w:val="en-US" w:eastAsia="zh-CN"/>
              </w:rPr>
              <w:t>布局</w:t>
            </w:r>
            <w:r>
              <w:rPr>
                <w:rFonts w:hint="eastAsia"/>
                <w:color w:val="000000"/>
                <w:sz w:val="24"/>
              </w:rPr>
              <w:t>改造</w:t>
            </w:r>
            <w:r>
              <w:rPr>
                <w:rFonts w:hint="eastAsia"/>
                <w:color w:val="000000"/>
                <w:sz w:val="24"/>
                <w:lang w:eastAsia="zh-CN"/>
              </w:rPr>
              <w:t>，</w:t>
            </w:r>
            <w:r>
              <w:rPr>
                <w:rFonts w:hint="eastAsia" w:ascii="Times New Roman" w:hAnsi="Times New Roman" w:eastAsia="宋体" w:cs="Times New Roman"/>
                <w:b w:val="0"/>
                <w:bCs w:val="0"/>
                <w:color w:val="000000"/>
                <w:kern w:val="2"/>
                <w:sz w:val="24"/>
                <w:szCs w:val="24"/>
                <w:lang w:val="en-US" w:eastAsia="zh-CN" w:bidi="ar-SA"/>
              </w:rPr>
              <w:t>增加</w:t>
            </w:r>
            <w:r>
              <w:rPr>
                <w:rFonts w:hint="eastAsia" w:cs="Times New Roman"/>
                <w:b w:val="0"/>
                <w:bCs w:val="0"/>
                <w:color w:val="000000"/>
                <w:kern w:val="2"/>
                <w:sz w:val="24"/>
                <w:szCs w:val="24"/>
                <w:lang w:val="en-US" w:eastAsia="zh-CN" w:bidi="ar-SA"/>
              </w:rPr>
              <w:t>4条</w:t>
            </w:r>
            <w:r>
              <w:rPr>
                <w:rFonts w:hint="eastAsia" w:ascii="Times New Roman" w:hAnsi="Times New Roman" w:eastAsia="宋体" w:cs="Times New Roman"/>
                <w:b w:val="0"/>
                <w:bCs w:val="0"/>
                <w:color w:val="000000"/>
                <w:kern w:val="2"/>
                <w:sz w:val="24"/>
                <w:szCs w:val="24"/>
                <w:lang w:val="en-US" w:eastAsia="zh-CN" w:bidi="ar-SA"/>
              </w:rPr>
              <w:t>膨化生产线</w:t>
            </w:r>
            <w:r>
              <w:rPr>
                <w:rFonts w:hint="eastAsia" w:cs="Times New Roman"/>
                <w:b w:val="0"/>
                <w:bCs w:val="0"/>
                <w:color w:val="000000"/>
                <w:kern w:val="2"/>
                <w:sz w:val="24"/>
                <w:szCs w:val="24"/>
                <w:lang w:val="en-US" w:eastAsia="zh-CN" w:bidi="ar-SA"/>
              </w:rPr>
              <w:t>，同时</w:t>
            </w:r>
            <w:r>
              <w:rPr>
                <w:rFonts w:hint="eastAsia"/>
                <w:lang w:eastAsia="zh-CN"/>
              </w:rPr>
              <w:t>，</w:t>
            </w:r>
            <w:r>
              <w:rPr>
                <w:rFonts w:hint="eastAsia"/>
                <w:sz w:val="24"/>
                <w:szCs w:val="24"/>
                <w:lang w:val="en-US" w:eastAsia="zh-CN"/>
              </w:rPr>
              <w:t>将2#厂房现有薄饼生产线转移到1#厂房，增加1条烘焙生产线，在1#厂房设置原料库、冷库、成品库、包材库等，储存原料和成品</w:t>
            </w:r>
            <w:r>
              <w:rPr>
                <w:rFonts w:hint="eastAsia" w:ascii="Times New Roman" w:hAnsi="Times New Roman" w:eastAsia="宋体" w:cs="Times New Roman"/>
                <w:b w:val="0"/>
                <w:bCs w:val="0"/>
                <w:color w:val="000000"/>
                <w:kern w:val="2"/>
                <w:sz w:val="24"/>
                <w:szCs w:val="24"/>
                <w:lang w:val="en-US" w:eastAsia="zh-CN" w:bidi="ar-SA"/>
              </w:rPr>
              <w:t>。</w:t>
            </w:r>
          </w:p>
          <w:p w14:paraId="0D31B46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kern w:val="2"/>
                <w:sz w:val="24"/>
                <w:szCs w:val="24"/>
                <w:lang w:val="en-US" w:eastAsia="zh-CN" w:bidi="ar-SA"/>
              </w:rPr>
            </w:pPr>
            <w:r>
              <w:rPr>
                <w:rFonts w:hint="eastAsia" w:cs="Times New Roman"/>
                <w:b w:val="0"/>
                <w:bCs w:val="0"/>
                <w:color w:val="000000"/>
                <w:sz w:val="24"/>
                <w:szCs w:val="24"/>
                <w:lang w:val="en-US" w:eastAsia="zh-CN"/>
              </w:rPr>
              <w:t>本项目为扩建项目，2024年6月在车间内新增2条半自动化烘烤机薄饼生产线、4条全自动烘烤机薄饼生产线，截止2024年12月27日，6条薄饼生产线已全部建设安装完成，未进行生产，属于</w:t>
            </w:r>
            <w:r>
              <w:rPr>
                <w:rFonts w:hint="eastAsia"/>
                <w:bCs/>
                <w:color w:val="000000"/>
                <w:sz w:val="24"/>
                <w:lang w:val="en-US" w:eastAsia="zh-CN"/>
              </w:rPr>
              <w:t>“未批先建”。</w:t>
            </w:r>
            <w:r>
              <w:rPr>
                <w:rFonts w:hint="eastAsia"/>
                <w:bCs/>
                <w:color w:val="000000"/>
                <w:sz w:val="24"/>
                <w:lang w:eastAsia="zh-CN"/>
              </w:rPr>
              <w:t>鉴于建设单位违法行为轻微且</w:t>
            </w:r>
            <w:r>
              <w:rPr>
                <w:rFonts w:hint="eastAsia"/>
                <w:bCs/>
                <w:color w:val="000000"/>
                <w:sz w:val="24"/>
                <w:lang w:val="en-US" w:eastAsia="zh-CN"/>
              </w:rPr>
              <w:t>于2025年1月20日将新增6条薄饼生产线拆除，车间已恢复原状</w:t>
            </w:r>
            <w:r>
              <w:rPr>
                <w:rFonts w:hint="eastAsia"/>
                <w:bCs/>
                <w:color w:val="000000"/>
                <w:sz w:val="24"/>
                <w:lang w:eastAsia="zh-CN"/>
              </w:rPr>
              <w:t>，未造成环境污染后果，</w:t>
            </w:r>
            <w:r>
              <w:rPr>
                <w:rFonts w:hint="eastAsia"/>
                <w:bCs/>
                <w:color w:val="000000"/>
                <w:sz w:val="24"/>
                <w:lang w:val="en-US" w:eastAsia="zh-CN"/>
              </w:rPr>
              <w:t>淮北市</w:t>
            </w:r>
            <w:r>
              <w:rPr>
                <w:rFonts w:hint="eastAsia"/>
                <w:bCs/>
                <w:color w:val="000000"/>
                <w:sz w:val="24"/>
                <w:lang w:eastAsia="zh-CN"/>
              </w:rPr>
              <w:t>生态环境局于202</w:t>
            </w:r>
            <w:r>
              <w:rPr>
                <w:rFonts w:hint="eastAsia"/>
                <w:bCs/>
                <w:color w:val="000000"/>
                <w:sz w:val="24"/>
                <w:lang w:val="en-US" w:eastAsia="zh-CN"/>
              </w:rPr>
              <w:t>5</w:t>
            </w:r>
            <w:r>
              <w:rPr>
                <w:rFonts w:hint="eastAsia"/>
                <w:bCs/>
                <w:color w:val="000000"/>
                <w:sz w:val="24"/>
                <w:lang w:eastAsia="zh-CN"/>
              </w:rPr>
              <w:t>年</w:t>
            </w:r>
            <w:r>
              <w:rPr>
                <w:rFonts w:hint="eastAsia"/>
                <w:bCs/>
                <w:color w:val="000000"/>
                <w:sz w:val="24"/>
                <w:lang w:val="en-US" w:eastAsia="zh-CN"/>
              </w:rPr>
              <w:t>3</w:t>
            </w:r>
            <w:r>
              <w:rPr>
                <w:rFonts w:hint="eastAsia"/>
                <w:bCs/>
                <w:color w:val="000000"/>
                <w:sz w:val="24"/>
                <w:lang w:eastAsia="zh-CN"/>
              </w:rPr>
              <w:t>月</w:t>
            </w:r>
            <w:r>
              <w:rPr>
                <w:rFonts w:hint="eastAsia"/>
                <w:bCs/>
                <w:color w:val="000000"/>
                <w:sz w:val="24"/>
                <w:lang w:val="en-US" w:eastAsia="zh-CN"/>
              </w:rPr>
              <w:t>3</w:t>
            </w:r>
            <w:r>
              <w:rPr>
                <w:rFonts w:hint="eastAsia"/>
                <w:bCs/>
                <w:color w:val="000000"/>
                <w:sz w:val="24"/>
                <w:lang w:eastAsia="zh-CN"/>
              </w:rPr>
              <w:t>日以《不予行政处罚告知书》（晥淮北环（相）不罚告[2025]1号）</w:t>
            </w:r>
            <w:r>
              <w:rPr>
                <w:rFonts w:hint="eastAsia"/>
                <w:bCs/>
                <w:color w:val="000000"/>
                <w:sz w:val="24"/>
                <w:lang w:val="en-US" w:eastAsia="zh-CN"/>
              </w:rPr>
              <w:t>拟对建设单位</w:t>
            </w:r>
            <w:r>
              <w:rPr>
                <w:rFonts w:hint="eastAsia"/>
                <w:bCs/>
                <w:color w:val="000000"/>
                <w:sz w:val="24"/>
                <w:lang w:eastAsia="zh-CN"/>
              </w:rPr>
              <w:t>不予行政处罚，</w:t>
            </w:r>
            <w:r>
              <w:rPr>
                <w:rFonts w:hint="eastAsia"/>
                <w:bCs/>
                <w:color w:val="000000"/>
                <w:sz w:val="24"/>
                <w:lang w:val="en-US" w:eastAsia="zh-CN"/>
              </w:rPr>
              <w:t>2025年3月14日淮北市</w:t>
            </w:r>
            <w:r>
              <w:rPr>
                <w:rFonts w:hint="eastAsia"/>
                <w:bCs/>
                <w:color w:val="000000"/>
                <w:sz w:val="24"/>
                <w:lang w:eastAsia="zh-CN"/>
              </w:rPr>
              <w:t>生态环境局</w:t>
            </w:r>
            <w:r>
              <w:rPr>
                <w:rFonts w:hint="eastAsia"/>
                <w:bCs/>
                <w:color w:val="000000"/>
                <w:sz w:val="24"/>
                <w:lang w:val="en-US" w:eastAsia="zh-CN"/>
              </w:rPr>
              <w:t>以</w:t>
            </w:r>
            <w:r>
              <w:rPr>
                <w:rFonts w:hint="eastAsia"/>
                <w:bCs/>
                <w:color w:val="000000"/>
                <w:sz w:val="24"/>
                <w:lang w:eastAsia="zh-CN"/>
              </w:rPr>
              <w:t>《不予行政处罚</w:t>
            </w:r>
            <w:r>
              <w:rPr>
                <w:rFonts w:hint="eastAsia"/>
                <w:bCs/>
                <w:color w:val="000000"/>
                <w:sz w:val="24"/>
                <w:lang w:val="en-US" w:eastAsia="zh-CN"/>
              </w:rPr>
              <w:t>决定</w:t>
            </w:r>
            <w:r>
              <w:rPr>
                <w:rFonts w:hint="eastAsia"/>
                <w:bCs/>
                <w:color w:val="000000"/>
                <w:sz w:val="24"/>
                <w:lang w:eastAsia="zh-CN"/>
              </w:rPr>
              <w:t>书》（晥淮北环（相）不罚[2025]1号）</w:t>
            </w:r>
            <w:r>
              <w:rPr>
                <w:rFonts w:hint="eastAsia"/>
                <w:bCs/>
                <w:color w:val="000000"/>
                <w:sz w:val="24"/>
                <w:lang w:val="en-US" w:eastAsia="zh-CN"/>
              </w:rPr>
              <w:t>决定对建设单位不予行政处罚</w:t>
            </w:r>
            <w:r>
              <w:rPr>
                <w:rFonts w:hint="eastAsia"/>
                <w:bCs/>
                <w:color w:val="000000"/>
                <w:sz w:val="24"/>
                <w:lang w:eastAsia="zh-CN"/>
              </w:rPr>
              <w:t>。</w:t>
            </w:r>
            <w:r>
              <w:rPr>
                <w:rFonts w:hint="eastAsia"/>
                <w:bCs/>
                <w:color w:val="000000"/>
                <w:sz w:val="24"/>
                <w:lang w:val="en-US" w:eastAsia="zh-CN"/>
              </w:rPr>
              <w:t>建设单位需尽快补足环评手续。</w:t>
            </w:r>
          </w:p>
          <w:p w14:paraId="4EE33972">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本项目已于2025年1月2日，经安徽淮北相山经济开发区管理委员会备案（经开区技改〔2025〕1号）。</w:t>
            </w:r>
            <w:r>
              <w:rPr>
                <w:rFonts w:hint="default" w:ascii="Times New Roman" w:hAnsi="Times New Roman" w:cs="Times New Roman"/>
                <w:b w:val="0"/>
                <w:bCs w:val="0"/>
                <w:sz w:val="24"/>
                <w:lang w:val="en-US" w:eastAsia="zh-CN"/>
              </w:rPr>
              <w:t>根据《</w:t>
            </w:r>
            <w:r>
              <w:rPr>
                <w:rFonts w:hint="default" w:ascii="Times New Roman" w:hAnsi="Times New Roman" w:cs="Times New Roman"/>
                <w:b w:val="0"/>
                <w:sz w:val="24"/>
              </w:rPr>
              <w:t>建设项目环境影响评价分类管理名录（2021年版）》</w:t>
            </w:r>
            <w:r>
              <w:rPr>
                <w:rFonts w:hint="default" w:ascii="Times New Roman" w:hAnsi="Times New Roman" w:cs="Times New Roman"/>
                <w:b w:val="0"/>
                <w:sz w:val="24"/>
                <w:lang w:eastAsia="zh-CN"/>
              </w:rPr>
              <w:t>，</w:t>
            </w:r>
            <w:r>
              <w:rPr>
                <w:rFonts w:hint="default" w:ascii="Times New Roman" w:hAnsi="Times New Roman" w:cs="Times New Roman"/>
                <w:b w:val="0"/>
                <w:sz w:val="24"/>
                <w:lang w:val="en-US" w:eastAsia="zh-CN"/>
              </w:rPr>
              <w:t>项目属于</w:t>
            </w:r>
            <w:r>
              <w:rPr>
                <w:rFonts w:hint="eastAsia" w:ascii="Times New Roman" w:hAnsi="Times New Roman" w:cs="Times New Roman"/>
                <w:b w:val="0"/>
                <w:sz w:val="24"/>
                <w:lang w:val="en-US" w:eastAsia="zh-CN"/>
              </w:rPr>
              <w:t>“</w:t>
            </w:r>
            <w:r>
              <w:rPr>
                <w:rFonts w:hint="default" w:ascii="Times New Roman" w:hAnsi="Times New Roman" w:cs="Times New Roman"/>
                <w:b w:val="0"/>
                <w:sz w:val="24"/>
              </w:rPr>
              <w:t>十一、食品制造业 14</w:t>
            </w:r>
            <w:r>
              <w:rPr>
                <w:rFonts w:hint="eastAsia" w:ascii="Times New Roman" w:hAnsi="Times New Roman" w:cs="Times New Roman"/>
                <w:b w:val="0"/>
                <w:sz w:val="24"/>
                <w:lang w:eastAsia="zh-CN"/>
              </w:rPr>
              <w:t>”</w:t>
            </w:r>
            <w:r>
              <w:rPr>
                <w:rFonts w:hint="default" w:ascii="Times New Roman" w:hAnsi="Times New Roman" w:cs="Times New Roman"/>
                <w:b w:val="0"/>
                <w:sz w:val="24"/>
                <w:lang w:val="en-US" w:eastAsia="zh-CN"/>
              </w:rPr>
              <w:t>下</w:t>
            </w:r>
            <w:r>
              <w:rPr>
                <w:rFonts w:hint="eastAsia" w:ascii="Times New Roman" w:hAnsi="Times New Roman" w:cs="Times New Roman"/>
                <w:b w:val="0"/>
                <w:sz w:val="24"/>
                <w:lang w:val="en-US" w:eastAsia="zh-CN"/>
              </w:rPr>
              <w:t>“</w:t>
            </w:r>
            <w:r>
              <w:rPr>
                <w:rFonts w:hint="default" w:ascii="Times New Roman" w:hAnsi="Times New Roman" w:cs="Times New Roman"/>
                <w:b w:val="0"/>
                <w:sz w:val="24"/>
              </w:rPr>
              <w:t>24、其他食品制造 149*</w:t>
            </w:r>
            <w:r>
              <w:rPr>
                <w:rFonts w:hint="eastAsia" w:ascii="Times New Roman" w:hAnsi="Times New Roman" w:cs="Times New Roman"/>
                <w:b w:val="0"/>
                <w:sz w:val="24"/>
                <w:lang w:eastAsia="zh-CN"/>
              </w:rPr>
              <w:t>”</w:t>
            </w:r>
            <w:r>
              <w:rPr>
                <w:rFonts w:hint="default" w:ascii="Times New Roman" w:hAnsi="Times New Roman" w:cs="Times New Roman"/>
                <w:b w:val="0"/>
                <w:sz w:val="24"/>
                <w:lang w:val="en-US" w:eastAsia="zh-CN"/>
              </w:rPr>
              <w:t>所列</w:t>
            </w:r>
            <w:r>
              <w:rPr>
                <w:rFonts w:hint="eastAsia" w:ascii="Times New Roman" w:hAnsi="Times New Roman" w:cs="Times New Roman"/>
                <w:b w:val="0"/>
                <w:sz w:val="24"/>
                <w:lang w:val="en-US" w:eastAsia="zh-CN"/>
              </w:rPr>
              <w:t>“</w:t>
            </w:r>
            <w:r>
              <w:rPr>
                <w:rFonts w:hint="default" w:ascii="Times New Roman" w:hAnsi="Times New Roman" w:cs="Times New Roman"/>
                <w:b w:val="0"/>
                <w:sz w:val="24"/>
                <w:lang w:eastAsia="zh-CN"/>
              </w:rPr>
              <w:t>……</w:t>
            </w:r>
            <w:r>
              <w:rPr>
                <w:rFonts w:hint="default" w:ascii="Times New Roman" w:hAnsi="Times New Roman" w:cs="Times New Roman"/>
                <w:b w:val="0"/>
                <w:sz w:val="24"/>
              </w:rPr>
              <w:t>其他未列明食品制造</w:t>
            </w:r>
            <w:r>
              <w:rPr>
                <w:rFonts w:hint="default" w:ascii="Times New Roman" w:hAnsi="Times New Roman" w:cs="Times New Roman"/>
                <w:b w:val="0"/>
                <w:sz w:val="24"/>
                <w:lang w:eastAsia="zh-CN"/>
              </w:rPr>
              <w:t>……</w:t>
            </w:r>
            <w:r>
              <w:rPr>
                <w:rFonts w:hint="eastAsia" w:ascii="Times New Roman" w:hAnsi="Times New Roman" w:cs="Times New Roman"/>
                <w:b w:val="0"/>
                <w:sz w:val="24"/>
                <w:lang w:eastAsia="zh-CN"/>
              </w:rPr>
              <w:t>”</w:t>
            </w:r>
            <w:r>
              <w:rPr>
                <w:rFonts w:hint="default" w:ascii="Times New Roman" w:hAnsi="Times New Roman" w:cs="Times New Roman"/>
                <w:b w:val="0"/>
                <w:sz w:val="24"/>
                <w:lang w:val="en-US" w:eastAsia="zh-CN"/>
              </w:rPr>
              <w:t>，应编制环境影响报告表。根据《</w:t>
            </w:r>
            <w:r>
              <w:rPr>
                <w:rFonts w:hint="default" w:ascii="Times New Roman" w:hAnsi="Times New Roman" w:cs="Times New Roman"/>
                <w:b w:val="0"/>
                <w:sz w:val="24"/>
              </w:rPr>
              <w:t>《固定污染源排污许可分类管理名录（2019年版）》</w:t>
            </w:r>
            <w:r>
              <w:rPr>
                <w:rFonts w:hint="default" w:ascii="Times New Roman" w:hAnsi="Times New Roman" w:cs="Times New Roman"/>
                <w:b w:val="0"/>
                <w:bCs w:val="0"/>
                <w:sz w:val="24"/>
                <w:szCs w:val="24"/>
                <w:highlight w:val="none"/>
                <w:lang w:val="en-US" w:eastAsia="zh-CN"/>
              </w:rPr>
              <w:t>，项目属于</w:t>
            </w:r>
            <w:r>
              <w:rPr>
                <w:rFonts w:hint="eastAsia" w:ascii="Times New Roman" w:hAnsi="Times New Roman" w:cs="Times New Roman"/>
                <w:b w:val="0"/>
                <w:bCs w:val="0"/>
                <w:sz w:val="24"/>
                <w:szCs w:val="24"/>
                <w:highlight w:val="none"/>
                <w:lang w:val="en-US" w:eastAsia="zh-CN"/>
              </w:rPr>
              <w:t>“</w:t>
            </w:r>
            <w:r>
              <w:rPr>
                <w:rFonts w:hint="default" w:ascii="Times New Roman" w:hAnsi="Times New Roman" w:cs="Times New Roman"/>
                <w:b w:val="0"/>
                <w:sz w:val="24"/>
                <w:highlight w:val="none"/>
              </w:rPr>
              <w:t>九、食品制造业 14</w:t>
            </w:r>
            <w:r>
              <w:rPr>
                <w:rFonts w:hint="eastAsia" w:ascii="Times New Roman" w:hAnsi="Times New Roman" w:cs="Times New Roman"/>
                <w:b w:val="0"/>
                <w:sz w:val="24"/>
                <w:highlight w:val="none"/>
                <w:lang w:eastAsia="zh-CN"/>
              </w:rPr>
              <w:t>”</w:t>
            </w:r>
            <w:r>
              <w:rPr>
                <w:rFonts w:hint="default" w:ascii="Times New Roman" w:hAnsi="Times New Roman" w:cs="Times New Roman"/>
                <w:b w:val="0"/>
                <w:sz w:val="24"/>
                <w:highlight w:val="none"/>
                <w:lang w:val="en-US" w:eastAsia="zh-CN"/>
              </w:rPr>
              <w:t>下</w:t>
            </w:r>
            <w:r>
              <w:rPr>
                <w:rFonts w:hint="eastAsia" w:ascii="Times New Roman" w:hAnsi="Times New Roman" w:cs="Times New Roman"/>
                <w:b w:val="0"/>
                <w:sz w:val="24"/>
                <w:highlight w:val="none"/>
                <w:lang w:val="en-US" w:eastAsia="zh-CN"/>
              </w:rPr>
              <w:t>“</w:t>
            </w:r>
            <w:r>
              <w:rPr>
                <w:rFonts w:hint="default" w:ascii="Times New Roman" w:hAnsi="Times New Roman" w:cs="Times New Roman"/>
                <w:b w:val="0"/>
                <w:sz w:val="24"/>
                <w:highlight w:val="none"/>
              </w:rPr>
              <w:t>17、方便食品制造 143，其他食品制造 149</w:t>
            </w:r>
            <w:r>
              <w:rPr>
                <w:rFonts w:hint="eastAsia" w:ascii="Times New Roman" w:hAnsi="Times New Roman" w:cs="Times New Roman"/>
                <w:b w:val="0"/>
                <w:sz w:val="24"/>
                <w:highlight w:val="none"/>
                <w:lang w:eastAsia="zh-CN"/>
              </w:rPr>
              <w:t>”</w:t>
            </w:r>
            <w:r>
              <w:rPr>
                <w:rFonts w:hint="default" w:ascii="Times New Roman" w:hAnsi="Times New Roman" w:cs="Times New Roman"/>
                <w:b w:val="0"/>
                <w:bCs w:val="0"/>
                <w:sz w:val="24"/>
                <w:szCs w:val="24"/>
                <w:highlight w:val="none"/>
                <w:lang w:val="en-US" w:eastAsia="zh-CN"/>
              </w:rPr>
              <w:t>所列</w:t>
            </w:r>
            <w:r>
              <w:rPr>
                <w:rFonts w:hint="eastAsia" w:ascii="Times New Roman" w:hAnsi="Times New Roman" w:cs="Times New Roman"/>
                <w:b w:val="0"/>
                <w:bCs w:val="0"/>
                <w:sz w:val="24"/>
                <w:szCs w:val="24"/>
                <w:highlight w:val="none"/>
                <w:lang w:val="en-US" w:eastAsia="zh-CN"/>
              </w:rPr>
              <w:t>“</w:t>
            </w:r>
            <w:r>
              <w:rPr>
                <w:rFonts w:hint="default" w:ascii="Times New Roman" w:hAnsi="Times New Roman" w:cs="Times New Roman"/>
                <w:b w:val="0"/>
                <w:bCs w:val="0"/>
                <w:sz w:val="24"/>
                <w:szCs w:val="24"/>
                <w:highlight w:val="none"/>
                <w:lang w:val="en-US" w:eastAsia="zh-CN"/>
              </w:rPr>
              <w:t>其他</w:t>
            </w:r>
            <w:r>
              <w:rPr>
                <w:rFonts w:hint="eastAsia" w:ascii="Times New Roman" w:hAnsi="Times New Roman" w:cs="Times New Roman"/>
                <w:b w:val="0"/>
                <w:bCs w:val="0"/>
                <w:sz w:val="24"/>
                <w:szCs w:val="24"/>
                <w:highlight w:val="none"/>
                <w:lang w:val="en-US" w:eastAsia="zh-CN"/>
              </w:rPr>
              <w:t>”</w:t>
            </w:r>
            <w:r>
              <w:rPr>
                <w:rFonts w:hint="default" w:ascii="Times New Roman" w:hAnsi="Times New Roman" w:cs="Times New Roman"/>
                <w:b w:val="0"/>
                <w:bCs w:val="0"/>
                <w:sz w:val="24"/>
                <w:szCs w:val="24"/>
                <w:highlight w:val="none"/>
                <w:lang w:val="en-US" w:eastAsia="zh-CN"/>
              </w:rPr>
              <w:t>类型，排污许可实行登记管理。</w:t>
            </w:r>
          </w:p>
          <w:p w14:paraId="4795F6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241" w:firstLineChars="1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建设规模及主要建设内容</w:t>
            </w:r>
          </w:p>
          <w:p w14:paraId="6BE1F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b w:val="0"/>
                <w:bCs w:val="0"/>
                <w:color w:val="000000"/>
                <w:kern w:val="2"/>
                <w:sz w:val="24"/>
                <w:szCs w:val="24"/>
                <w:lang w:val="en-US" w:eastAsia="zh-CN" w:bidi="ar-SA"/>
              </w:rPr>
              <w:t>本项目位于安徽省淮北市相山经济开发区凤凰路16号2幢，本次新增面积为</w:t>
            </w:r>
            <w:r>
              <w:rPr>
                <w:rFonts w:hint="eastAsia" w:cs="Times New Roman"/>
                <w:b w:val="0"/>
                <w:bCs w:val="0"/>
                <w:color w:val="000000"/>
                <w:kern w:val="2"/>
                <w:sz w:val="24"/>
                <w:szCs w:val="24"/>
                <w:lang w:val="en-US" w:eastAsia="zh-CN" w:bidi="ar-SA"/>
              </w:rPr>
              <w:t>6460</w:t>
            </w:r>
            <w:r>
              <w:rPr>
                <w:rFonts w:hint="default" w:ascii="Times New Roman" w:hAnsi="Times New Roman" w:eastAsia="宋体" w:cs="Times New Roman"/>
                <w:b w:val="0"/>
                <w:bCs w:val="0"/>
                <w:color w:val="000000"/>
                <w:kern w:val="2"/>
                <w:sz w:val="24"/>
                <w:szCs w:val="24"/>
                <w:lang w:val="en-US" w:eastAsia="zh-CN" w:bidi="ar-SA"/>
              </w:rPr>
              <w:t>m</w:t>
            </w:r>
            <w:r>
              <w:rPr>
                <w:rFonts w:hint="default" w:ascii="Times New Roman" w:hAnsi="Times New Roman" w:eastAsia="宋体" w:cs="Times New Roman"/>
                <w:b w:val="0"/>
                <w:bCs w:val="0"/>
                <w:color w:val="000000"/>
                <w:kern w:val="2"/>
                <w:sz w:val="24"/>
                <w:szCs w:val="24"/>
                <w:vertAlign w:val="superscript"/>
                <w:lang w:val="en-US" w:eastAsia="zh-CN" w:bidi="ar-SA"/>
              </w:rPr>
              <w:t>2</w:t>
            </w:r>
            <w:r>
              <w:rPr>
                <w:rFonts w:hint="default" w:ascii="Times New Roman" w:hAnsi="Times New Roman" w:eastAsia="宋体" w:cs="Times New Roman"/>
                <w:b w:val="0"/>
                <w:bCs w:val="0"/>
                <w:color w:val="000000"/>
                <w:kern w:val="2"/>
                <w:sz w:val="24"/>
                <w:szCs w:val="24"/>
                <w:lang w:val="en-US" w:eastAsia="zh-CN" w:bidi="ar-SA"/>
              </w:rPr>
              <w:t>，</w:t>
            </w:r>
            <w:r>
              <w:rPr>
                <w:rFonts w:hint="eastAsia" w:cs="Times New Roman"/>
                <w:b w:val="0"/>
                <w:bCs w:val="0"/>
                <w:color w:val="000000"/>
                <w:kern w:val="2"/>
                <w:sz w:val="24"/>
                <w:szCs w:val="24"/>
                <w:lang w:val="en-US" w:eastAsia="zh-CN" w:bidi="ar-SA"/>
              </w:rPr>
              <w:t>利用现有厂房进行重新布局改造，</w:t>
            </w:r>
            <w:r>
              <w:rPr>
                <w:rFonts w:hint="eastAsia" w:ascii="Times New Roman" w:hAnsi="Times New Roman" w:eastAsia="宋体" w:cs="Times New Roman"/>
                <w:b w:val="0"/>
                <w:bCs w:val="0"/>
                <w:color w:val="000000"/>
                <w:kern w:val="2"/>
                <w:sz w:val="24"/>
                <w:szCs w:val="24"/>
                <w:lang w:val="en-US" w:eastAsia="zh-CN" w:bidi="ar-SA"/>
              </w:rPr>
              <w:t>租赁空置厂房，</w:t>
            </w:r>
            <w:r>
              <w:rPr>
                <w:rFonts w:hint="default" w:ascii="Times New Roman" w:hAnsi="Times New Roman" w:eastAsia="宋体" w:cs="Times New Roman"/>
                <w:b w:val="0"/>
                <w:bCs w:val="0"/>
                <w:color w:val="000000"/>
                <w:kern w:val="2"/>
                <w:sz w:val="24"/>
                <w:szCs w:val="24"/>
                <w:lang w:val="en-US" w:eastAsia="zh-CN" w:bidi="ar-SA"/>
              </w:rPr>
              <w:t>购置膨化主机、烤箱、虾片机、蛋卷机、热风旋转炉等设备，配套建设给排水、供电、环保工程等。主要原料为果粉、谷物粉、谷物淀粉、植物油等，产品为休闲食品及婴幼儿谷类辅助食品，</w:t>
            </w:r>
            <w:r>
              <w:rPr>
                <w:rFonts w:hint="eastAsia" w:ascii="Times New Roman" w:hAnsi="Times New Roman" w:eastAsia="宋体" w:cs="Times New Roman"/>
                <w:b w:val="0"/>
                <w:bCs w:val="0"/>
                <w:color w:val="000000"/>
                <w:kern w:val="2"/>
                <w:sz w:val="24"/>
                <w:szCs w:val="24"/>
                <w:lang w:val="en-US" w:eastAsia="zh-CN" w:bidi="ar-SA"/>
              </w:rPr>
              <w:t>本项目建成后，可达到年产40</w:t>
            </w:r>
            <w:r>
              <w:rPr>
                <w:rFonts w:hint="eastAsia" w:cs="Times New Roman"/>
                <w:b w:val="0"/>
                <w:bCs w:val="0"/>
                <w:color w:val="000000"/>
                <w:kern w:val="2"/>
                <w:sz w:val="24"/>
                <w:szCs w:val="24"/>
                <w:lang w:val="en-US" w:eastAsia="zh-CN" w:bidi="ar-SA"/>
              </w:rPr>
              <w:t>5</w:t>
            </w:r>
            <w:r>
              <w:rPr>
                <w:rFonts w:hint="eastAsia" w:ascii="Times New Roman" w:hAnsi="Times New Roman" w:eastAsia="宋体" w:cs="Times New Roman"/>
                <w:b w:val="0"/>
                <w:bCs w:val="0"/>
                <w:color w:val="000000"/>
                <w:kern w:val="2"/>
                <w:sz w:val="24"/>
                <w:szCs w:val="24"/>
                <w:lang w:val="en-US" w:eastAsia="zh-CN" w:bidi="ar-SA"/>
              </w:rPr>
              <w:t>0吨休闲食品及婴幼儿食品的生产规模。全厂可达到年产48</w:t>
            </w:r>
            <w:r>
              <w:rPr>
                <w:rFonts w:hint="eastAsia" w:cs="Times New Roman"/>
                <w:b w:val="0"/>
                <w:bCs w:val="0"/>
                <w:color w:val="000000"/>
                <w:kern w:val="2"/>
                <w:sz w:val="24"/>
                <w:szCs w:val="24"/>
                <w:lang w:val="en-US" w:eastAsia="zh-CN" w:bidi="ar-SA"/>
              </w:rPr>
              <w:t>5</w:t>
            </w:r>
            <w:r>
              <w:rPr>
                <w:rFonts w:hint="eastAsia" w:ascii="Times New Roman" w:hAnsi="Times New Roman" w:eastAsia="宋体" w:cs="Times New Roman"/>
                <w:b w:val="0"/>
                <w:bCs w:val="0"/>
                <w:color w:val="000000"/>
                <w:kern w:val="2"/>
                <w:sz w:val="24"/>
                <w:szCs w:val="24"/>
                <w:lang w:val="en-US" w:eastAsia="zh-CN" w:bidi="ar-SA"/>
              </w:rPr>
              <w:t>0吨休闲食品及婴幼儿食品的生产规模。</w:t>
            </w:r>
          </w:p>
        </w:tc>
      </w:tr>
    </w:tbl>
    <w:p w14:paraId="3AD4ECD0">
      <w:pPr>
        <w:pStyle w:val="25"/>
        <w:adjustRightInd w:val="0"/>
        <w:snapToGrid w:val="0"/>
        <w:spacing w:before="0" w:beforeAutospacing="0" w:after="0" w:afterAutospacing="0"/>
        <w:jc w:val="center"/>
        <w:rPr>
          <w:rFonts w:hint="eastAsia" w:cs="宋体"/>
          <w:szCs w:val="24"/>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3071"/>
      </w:tblGrid>
      <w:tr w14:paraId="7315C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1" w:type="pct"/>
            <w:noWrap w:val="0"/>
            <w:vAlign w:val="center"/>
          </w:tcPr>
          <w:p w14:paraId="76B9E8A9">
            <w:pPr>
              <w:pStyle w:val="25"/>
              <w:keepNext w:val="0"/>
              <w:keepLines w:val="0"/>
              <w:suppressLineNumbers w:val="0"/>
              <w:adjustRightInd w:val="0"/>
              <w:snapToGrid w:val="0"/>
              <w:spacing w:before="0" w:beforeAutospacing="0" w:after="0" w:afterAutospacing="0"/>
              <w:ind w:left="0" w:right="0"/>
              <w:jc w:val="center"/>
              <w:rPr>
                <w:rFonts w:hint="eastAsia" w:eastAsia="宋体" w:cs="宋体"/>
                <w:szCs w:val="24"/>
                <w:lang w:val="en-US" w:eastAsia="zh-CN"/>
              </w:rPr>
            </w:pPr>
            <w:r>
              <w:rPr>
                <w:rFonts w:hint="eastAsia" w:cs="宋体"/>
                <w:szCs w:val="24"/>
                <w:lang w:val="en-US" w:eastAsia="zh-CN"/>
              </w:rPr>
              <w:t>建设内容</w:t>
            </w:r>
          </w:p>
        </w:tc>
        <w:tc>
          <w:tcPr>
            <w:tcW w:w="4788" w:type="pct"/>
            <w:noWrap w:val="0"/>
            <w:vAlign w:val="top"/>
          </w:tcPr>
          <w:p w14:paraId="534F780E">
            <w:pPr>
              <w:pStyle w:val="23"/>
              <w:keepNext w:val="0"/>
              <w:keepLines w:val="0"/>
              <w:suppressLineNumbers w:val="0"/>
              <w:spacing w:before="0" w:beforeAutospacing="0" w:after="0" w:afterAutospacing="0"/>
              <w:ind w:left="0" w:right="0"/>
              <w:jc w:val="center"/>
              <w:rPr>
                <w:rFonts w:hint="default" w:ascii="Times New Roman" w:hAnsi="Times New Roman" w:cs="Times New Roman"/>
                <w:lang w:val="en-US" w:eastAsia="zh-CN"/>
              </w:rPr>
            </w:pPr>
          </w:p>
          <w:p w14:paraId="14A3F081">
            <w:pPr>
              <w:pStyle w:val="22"/>
              <w:keepNext w:val="0"/>
              <w:keepLines w:val="0"/>
              <w:suppressLineNumbers w:val="0"/>
              <w:spacing w:before="0" w:beforeAutospacing="0" w:after="0" w:afterAutospacing="0"/>
              <w:ind w:left="0" w:right="0" w:firstLine="480" w:firstLineChars="200"/>
              <w:jc w:val="both"/>
              <w:rPr>
                <w:rFonts w:hint="eastAsia" w:cs="Times New Roman"/>
                <w:b/>
                <w:bCs/>
                <w:sz w:val="24"/>
                <w:szCs w:val="24"/>
              </w:rPr>
            </w:pPr>
            <w:r>
              <w:rPr>
                <w:rFonts w:hint="eastAsia" w:ascii="Times New Roman" w:hAnsi="Times New Roman" w:eastAsia="宋体" w:cs="Times New Roman"/>
                <w:b w:val="0"/>
                <w:bCs w:val="0"/>
                <w:color w:val="000000"/>
                <w:kern w:val="2"/>
                <w:sz w:val="24"/>
                <w:szCs w:val="24"/>
                <w:lang w:val="en-US" w:eastAsia="zh-CN" w:bidi="ar-SA"/>
              </w:rPr>
              <w:t>主要建设内容如下：</w:t>
            </w:r>
            <w:bookmarkStart w:id="3" w:name="_Toc1007"/>
            <w:bookmarkStart w:id="4" w:name="_Toc797"/>
            <w:bookmarkStart w:id="5" w:name="_Toc16677"/>
          </w:p>
          <w:p w14:paraId="4A0FD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b/>
                <w:bCs/>
                <w:sz w:val="24"/>
                <w:szCs w:val="24"/>
              </w:rPr>
              <w:t>表2-1</w:t>
            </w:r>
            <w:bookmarkEnd w:id="3"/>
            <w:bookmarkEnd w:id="4"/>
            <w:bookmarkEnd w:id="5"/>
            <w:r>
              <w:rPr>
                <w:rFonts w:hint="eastAsia" w:ascii="Times New Roman" w:hAnsi="Times New Roman" w:cs="Times New Roman"/>
                <w:b/>
                <w:bCs/>
                <w:sz w:val="24"/>
                <w:szCs w:val="24"/>
                <w:lang w:val="en-US" w:eastAsia="zh-CN"/>
              </w:rPr>
              <w:t xml:space="preserve">  全厂项目</w:t>
            </w:r>
            <w:r>
              <w:rPr>
                <w:rFonts w:hint="default" w:ascii="Times New Roman" w:hAnsi="宋体" w:cs="Times New Roman"/>
                <w:b/>
                <w:bCs/>
                <w:sz w:val="24"/>
                <w:szCs w:val="24"/>
              </w:rPr>
              <w:t>组成一览表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154"/>
              <w:gridCol w:w="1144"/>
              <w:gridCol w:w="5602"/>
              <w:gridCol w:w="4950"/>
            </w:tblGrid>
            <w:tr w14:paraId="1E082E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tcBorders>
                    <w:tl2br w:val="nil"/>
                    <w:tr2bl w:val="nil"/>
                  </w:tcBorders>
                  <w:noWrap w:val="0"/>
                  <w:vAlign w:val="center"/>
                </w:tcPr>
                <w:p w14:paraId="7C8CAFF0">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工程名称</w:t>
                  </w:r>
                </w:p>
              </w:tc>
              <w:tc>
                <w:tcPr>
                  <w:tcW w:w="445" w:type="pct"/>
                  <w:tcBorders>
                    <w:tl2br w:val="nil"/>
                    <w:tr2bl w:val="nil"/>
                  </w:tcBorders>
                  <w:noWrap w:val="0"/>
                  <w:vAlign w:val="center"/>
                </w:tcPr>
                <w:p w14:paraId="56A48F11">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单项工程</w:t>
                  </w:r>
                </w:p>
              </w:tc>
              <w:tc>
                <w:tcPr>
                  <w:tcW w:w="2179" w:type="pct"/>
                  <w:tcBorders>
                    <w:tl2br w:val="nil"/>
                    <w:tr2bl w:val="nil"/>
                  </w:tcBorders>
                  <w:noWrap w:val="0"/>
                  <w:vAlign w:val="center"/>
                </w:tcPr>
                <w:p w14:paraId="3B536CA8">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rPr>
                    <w:t>现有</w:t>
                  </w:r>
                  <w:r>
                    <w:rPr>
                      <w:rFonts w:hint="default" w:ascii="Times New Roman" w:hAnsi="Times New Roman" w:cs="Times New Roman"/>
                      <w:b/>
                      <w:bCs/>
                      <w:color w:val="auto"/>
                      <w:sz w:val="21"/>
                      <w:szCs w:val="21"/>
                    </w:rPr>
                    <w:t>工程规模</w:t>
                  </w:r>
                </w:p>
              </w:tc>
              <w:tc>
                <w:tcPr>
                  <w:tcW w:w="1925" w:type="pct"/>
                  <w:tcBorders>
                    <w:tl2br w:val="nil"/>
                    <w:tr2bl w:val="nil"/>
                  </w:tcBorders>
                  <w:noWrap w:val="0"/>
                  <w:vAlign w:val="center"/>
                </w:tcPr>
                <w:p w14:paraId="7DB4815F">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color w:val="auto"/>
                      <w:kern w:val="44"/>
                      <w:sz w:val="21"/>
                      <w:szCs w:val="21"/>
                      <w:lang w:val="en-US" w:eastAsia="zh-CN" w:bidi="ar-SA"/>
                    </w:rPr>
                  </w:pPr>
                  <w:r>
                    <w:rPr>
                      <w:rFonts w:hint="eastAsia" w:ascii="Times New Roman" w:hAnsi="Times New Roman" w:eastAsia="宋体" w:cs="Times New Roman"/>
                      <w:b/>
                      <w:bCs/>
                      <w:color w:val="auto"/>
                      <w:sz w:val="21"/>
                      <w:szCs w:val="21"/>
                      <w:lang w:val="en-US" w:eastAsia="zh-CN"/>
                    </w:rPr>
                    <w:t>扩建项目工程规模</w:t>
                  </w:r>
                </w:p>
              </w:tc>
            </w:tr>
            <w:tr w14:paraId="664748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tcBorders>
                    <w:tl2br w:val="nil"/>
                    <w:tr2bl w:val="nil"/>
                  </w:tcBorders>
                  <w:noWrap w:val="0"/>
                  <w:vAlign w:val="center"/>
                </w:tcPr>
                <w:p w14:paraId="7CD0724D">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bookmarkStart w:id="6" w:name="_Toc8143"/>
                  <w:r>
                    <w:rPr>
                      <w:rFonts w:hint="default" w:ascii="Times New Roman" w:hAnsi="Times New Roman" w:eastAsia="宋体" w:cs="Times New Roman"/>
                      <w:b w:val="0"/>
                      <w:bCs/>
                      <w:color w:val="auto"/>
                      <w:sz w:val="21"/>
                      <w:szCs w:val="21"/>
                    </w:rPr>
                    <w:t>主体工程</w:t>
                  </w:r>
                  <w:bookmarkEnd w:id="6"/>
                </w:p>
              </w:tc>
              <w:tc>
                <w:tcPr>
                  <w:tcW w:w="445" w:type="pct"/>
                  <w:tcBorders>
                    <w:tl2br w:val="nil"/>
                    <w:tr2bl w:val="nil"/>
                  </w:tcBorders>
                  <w:noWrap w:val="0"/>
                  <w:vAlign w:val="center"/>
                </w:tcPr>
                <w:p w14:paraId="46D0E829">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生产</w:t>
                  </w:r>
                  <w:r>
                    <w:rPr>
                      <w:rFonts w:hint="eastAsia" w:cs="Times New Roman"/>
                      <w:b w:val="0"/>
                      <w:bCs/>
                      <w:color w:val="auto"/>
                      <w:sz w:val="21"/>
                      <w:szCs w:val="21"/>
                      <w:lang w:val="en-US" w:eastAsia="zh-CN"/>
                    </w:rPr>
                    <w:t>车间</w:t>
                  </w:r>
                </w:p>
              </w:tc>
              <w:tc>
                <w:tcPr>
                  <w:tcW w:w="2179" w:type="pct"/>
                  <w:tcBorders>
                    <w:tl2br w:val="nil"/>
                    <w:tr2bl w:val="nil"/>
                  </w:tcBorders>
                  <w:noWrap w:val="0"/>
                  <w:vAlign w:val="center"/>
                </w:tcPr>
                <w:p w14:paraId="7AAA1C5B">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位于</w:t>
                  </w:r>
                  <w:r>
                    <w:rPr>
                      <w:rFonts w:hint="eastAsia" w:cs="Times New Roman"/>
                      <w:b w:val="0"/>
                      <w:bCs/>
                      <w:color w:val="auto"/>
                      <w:sz w:val="21"/>
                      <w:szCs w:val="21"/>
                      <w:lang w:val="en-US" w:eastAsia="zh-CN"/>
                    </w:rPr>
                    <w:t>2#厂房</w:t>
                  </w:r>
                  <w:r>
                    <w:rPr>
                      <w:rFonts w:hint="eastAsia" w:ascii="Times New Roman" w:hAnsi="Times New Roman" w:eastAsia="宋体" w:cs="Times New Roman"/>
                      <w:b w:val="0"/>
                      <w:bCs/>
                      <w:color w:val="auto"/>
                      <w:sz w:val="21"/>
                      <w:szCs w:val="21"/>
                      <w:lang w:val="en-US" w:eastAsia="zh-CN"/>
                    </w:rPr>
                    <w:t>，建筑面积约</w:t>
                  </w:r>
                  <w:r>
                    <w:rPr>
                      <w:rFonts w:hint="eastAsia" w:cs="Times New Roman"/>
                      <w:b w:val="0"/>
                      <w:bCs/>
                      <w:color w:val="auto"/>
                      <w:sz w:val="21"/>
                      <w:szCs w:val="21"/>
                      <w:lang w:val="en-US" w:eastAsia="zh-CN"/>
                    </w:rPr>
                    <w:t>2350</w:t>
                  </w:r>
                  <w:r>
                    <w:rPr>
                      <w:rFonts w:hint="eastAsia" w:ascii="Times New Roman" w:hAnsi="Times New Roman" w:eastAsia="宋体" w:cs="Times New Roman"/>
                      <w:b w:val="0"/>
                      <w:bCs/>
                      <w:color w:val="auto"/>
                      <w:sz w:val="21"/>
                      <w:szCs w:val="21"/>
                      <w:lang w:val="en-US" w:eastAsia="zh-CN"/>
                    </w:rPr>
                    <w:t>m</w:t>
                  </w:r>
                  <w:r>
                    <w:rPr>
                      <w:rFonts w:hint="eastAsia" w:ascii="Times New Roman" w:hAnsi="Times New Roman" w:eastAsia="宋体" w:cs="Times New Roman"/>
                      <w:b w:val="0"/>
                      <w:bCs/>
                      <w:color w:val="auto"/>
                      <w:sz w:val="21"/>
                      <w:szCs w:val="21"/>
                      <w:vertAlign w:val="superscript"/>
                      <w:lang w:val="en-US" w:eastAsia="zh-CN"/>
                    </w:rPr>
                    <w:t>2</w:t>
                  </w:r>
                  <w:r>
                    <w:rPr>
                      <w:rFonts w:hint="eastAsia" w:ascii="Times New Roman" w:hAnsi="Times New Roman" w:eastAsia="宋体" w:cs="Times New Roman"/>
                      <w:b w:val="0"/>
                      <w:bCs/>
                      <w:color w:val="auto"/>
                      <w:sz w:val="21"/>
                      <w:szCs w:val="21"/>
                      <w:lang w:val="en-US" w:eastAsia="zh-CN"/>
                    </w:rPr>
                    <w:t>，</w:t>
                  </w:r>
                  <w:r>
                    <w:rPr>
                      <w:rFonts w:hint="eastAsia"/>
                      <w:lang w:val="en-US" w:eastAsia="zh-CN"/>
                    </w:rPr>
                    <w:t>建设有</w:t>
                  </w:r>
                  <w:r>
                    <w:rPr>
                      <w:rFonts w:hint="eastAsia" w:ascii="Times New Roman" w:hAnsi="Times New Roman" w:eastAsia="宋体" w:cs="Times New Roman"/>
                      <w:b w:val="0"/>
                      <w:bCs/>
                      <w:color w:val="auto"/>
                      <w:sz w:val="21"/>
                      <w:szCs w:val="21"/>
                      <w:lang w:val="en-US" w:eastAsia="zh-CN"/>
                    </w:rPr>
                    <w:t>1条营养补充剂生产线，1条米果生产线，2条薄饼生产线，其中营养补充剂生产线停止生产</w:t>
                  </w:r>
                  <w:r>
                    <w:rPr>
                      <w:rFonts w:hint="eastAsia" w:cs="Times New Roman"/>
                      <w:b w:val="0"/>
                      <w:bCs/>
                      <w:color w:val="auto"/>
                      <w:sz w:val="21"/>
                      <w:szCs w:val="21"/>
                      <w:lang w:val="en-US" w:eastAsia="zh-CN"/>
                    </w:rPr>
                    <w:t>。米果生产线位于2#厂房中部；薄饼生产线</w:t>
                  </w:r>
                  <w:r>
                    <w:rPr>
                      <w:rFonts w:hint="eastAsia"/>
                      <w:lang w:val="en-US" w:eastAsia="zh-CN"/>
                    </w:rPr>
                    <w:t>位于2#厂房北部。年</w:t>
                  </w:r>
                  <w:r>
                    <w:rPr>
                      <w:rFonts w:hint="eastAsia" w:ascii="Times New Roman" w:hAnsi="Times New Roman" w:eastAsia="宋体" w:cs="Times New Roman"/>
                      <w:b w:val="0"/>
                      <w:bCs/>
                      <w:color w:val="auto"/>
                      <w:sz w:val="21"/>
                      <w:szCs w:val="21"/>
                      <w:lang w:val="en-US" w:eastAsia="zh-CN"/>
                    </w:rPr>
                    <w:t>产休闲食品及婴幼儿谷类辅助食品800吨</w:t>
                  </w:r>
                </w:p>
              </w:tc>
              <w:tc>
                <w:tcPr>
                  <w:tcW w:w="1925" w:type="pct"/>
                  <w:tcBorders>
                    <w:tl2br w:val="nil"/>
                    <w:tr2bl w:val="nil"/>
                  </w:tcBorders>
                  <w:noWrap w:val="0"/>
                  <w:vAlign w:val="center"/>
                </w:tcPr>
                <w:p w14:paraId="5CB8827F">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color w:val="auto"/>
                      <w:kern w:val="44"/>
                      <w:sz w:val="21"/>
                      <w:szCs w:val="21"/>
                      <w:lang w:val="en-US" w:eastAsia="zh-CN" w:bidi="ar-SA"/>
                    </w:rPr>
                  </w:pPr>
                  <w:r>
                    <w:rPr>
                      <w:rFonts w:hint="eastAsia" w:ascii="Times New Roman" w:hAnsi="Times New Roman" w:eastAsia="宋体" w:cs="Times New Roman"/>
                      <w:b w:val="0"/>
                      <w:bCs/>
                      <w:color w:val="auto"/>
                      <w:sz w:val="21"/>
                      <w:szCs w:val="21"/>
                      <w:lang w:val="en-US" w:eastAsia="zh-CN"/>
                    </w:rPr>
                    <w:t>租赁1#厂房，</w:t>
                  </w:r>
                  <w:r>
                    <w:rPr>
                      <w:rFonts w:hint="eastAsia" w:cs="Times New Roman"/>
                      <w:b w:val="0"/>
                      <w:bCs/>
                      <w:color w:val="auto"/>
                      <w:sz w:val="21"/>
                      <w:szCs w:val="21"/>
                      <w:lang w:val="en-US" w:eastAsia="zh-CN"/>
                    </w:rPr>
                    <w:t>依托</w:t>
                  </w:r>
                  <w:r>
                    <w:rPr>
                      <w:rFonts w:hint="eastAsia" w:ascii="Times New Roman" w:hAnsi="Times New Roman" w:eastAsia="宋体" w:cs="Times New Roman"/>
                      <w:b w:val="0"/>
                      <w:bCs/>
                      <w:color w:val="auto"/>
                      <w:sz w:val="21"/>
                      <w:szCs w:val="21"/>
                      <w:lang w:val="en-US" w:eastAsia="zh-CN"/>
                    </w:rPr>
                    <w:t>现有2#厂房重新布局改造，增加4条膨化生产线，同时，将2#厂房现有薄饼生产线转移到1#厂房</w:t>
                  </w:r>
                  <w:r>
                    <w:rPr>
                      <w:rFonts w:hint="eastAsia" w:cs="Times New Roman"/>
                      <w:b w:val="0"/>
                      <w:bCs/>
                      <w:color w:val="auto"/>
                      <w:sz w:val="21"/>
                      <w:szCs w:val="21"/>
                      <w:lang w:val="en-US" w:eastAsia="zh-CN"/>
                    </w:rPr>
                    <w:t>并</w:t>
                  </w:r>
                  <w:r>
                    <w:rPr>
                      <w:rFonts w:hint="eastAsia" w:ascii="Times New Roman" w:hAnsi="Times New Roman" w:eastAsia="宋体" w:cs="Times New Roman"/>
                      <w:b w:val="0"/>
                      <w:bCs/>
                      <w:color w:val="auto"/>
                      <w:sz w:val="21"/>
                      <w:szCs w:val="21"/>
                      <w:lang w:val="en-US" w:eastAsia="zh-CN"/>
                    </w:rPr>
                    <w:t>增加1条烘焙生产线</w:t>
                  </w:r>
                  <w:r>
                    <w:rPr>
                      <w:rFonts w:hint="eastAsia" w:ascii="Times New Roman" w:hAnsi="Times New Roman" w:eastAsia="宋体" w:cs="Times New Roman"/>
                      <w:b w:val="0"/>
                      <w:bCs/>
                      <w:color w:val="auto"/>
                      <w:sz w:val="21"/>
                      <w:szCs w:val="21"/>
                      <w:vertAlign w:val="baseline"/>
                      <w:lang w:val="en-US" w:eastAsia="zh-CN"/>
                    </w:rPr>
                    <w:t>，</w:t>
                  </w:r>
                  <w:r>
                    <w:rPr>
                      <w:rFonts w:hint="eastAsia" w:cs="Times New Roman"/>
                      <w:b w:val="0"/>
                      <w:bCs/>
                      <w:color w:val="auto"/>
                      <w:sz w:val="21"/>
                      <w:szCs w:val="21"/>
                      <w:vertAlign w:val="baseline"/>
                      <w:lang w:val="en-US" w:eastAsia="zh-CN"/>
                    </w:rPr>
                    <w:t>位于1#厂房东侧。</w:t>
                  </w:r>
                  <w:r>
                    <w:rPr>
                      <w:rFonts w:hint="eastAsia" w:ascii="Times New Roman" w:hAnsi="Times New Roman" w:eastAsia="宋体" w:cs="Times New Roman"/>
                      <w:b w:val="0"/>
                      <w:bCs w:val="0"/>
                      <w:color w:val="000000"/>
                      <w:kern w:val="2"/>
                      <w:sz w:val="21"/>
                      <w:szCs w:val="21"/>
                      <w:lang w:val="en-US" w:eastAsia="zh-CN" w:bidi="ar-SA"/>
                    </w:rPr>
                    <w:t>购置膨化主机、烤箱、虾片机</w:t>
                  </w:r>
                  <w:r>
                    <w:rPr>
                      <w:rFonts w:hint="eastAsia" w:cs="Times New Roman"/>
                      <w:b w:val="0"/>
                      <w:bCs w:val="0"/>
                      <w:color w:val="000000"/>
                      <w:kern w:val="2"/>
                      <w:sz w:val="21"/>
                      <w:szCs w:val="21"/>
                      <w:lang w:val="en-US" w:eastAsia="zh-CN" w:bidi="ar-SA"/>
                    </w:rPr>
                    <w:t>（已购）</w:t>
                  </w:r>
                  <w:r>
                    <w:rPr>
                      <w:rFonts w:hint="eastAsia" w:ascii="Times New Roman" w:hAnsi="Times New Roman" w:eastAsia="宋体" w:cs="Times New Roman"/>
                      <w:b w:val="0"/>
                      <w:bCs w:val="0"/>
                      <w:color w:val="000000"/>
                      <w:kern w:val="2"/>
                      <w:sz w:val="21"/>
                      <w:szCs w:val="21"/>
                      <w:lang w:val="en-US" w:eastAsia="zh-CN" w:bidi="ar-SA"/>
                    </w:rPr>
                    <w:t>、蛋卷机、热风旋转炉等设备</w:t>
                  </w:r>
                  <w:r>
                    <w:rPr>
                      <w:rFonts w:hint="eastAsia" w:ascii="Times New Roman" w:hAnsi="Times New Roman" w:eastAsia="宋体" w:cs="Times New Roman"/>
                      <w:b w:val="0"/>
                      <w:bCs/>
                      <w:color w:val="auto"/>
                      <w:sz w:val="21"/>
                      <w:szCs w:val="21"/>
                      <w:vertAlign w:val="baseline"/>
                      <w:lang w:val="en-US" w:eastAsia="zh-CN"/>
                    </w:rPr>
                    <w:t>，项目建成后</w:t>
                  </w:r>
                  <w:r>
                    <w:rPr>
                      <w:rFonts w:hint="eastAsia" w:ascii="Times New Roman" w:hAnsi="Times New Roman" w:cs="Times New Roman"/>
                      <w:sz w:val="21"/>
                      <w:szCs w:val="21"/>
                      <w:lang w:val="en-US" w:eastAsia="zh-CN"/>
                    </w:rPr>
                    <w:t>可达到年产</w:t>
                  </w:r>
                  <w:r>
                    <w:rPr>
                      <w:rFonts w:hint="eastAsia" w:ascii="Times New Roman" w:hAnsi="Times New Roman" w:eastAsia="宋体" w:cs="Times New Roman"/>
                      <w:b w:val="0"/>
                      <w:bCs/>
                      <w:color w:val="auto"/>
                      <w:sz w:val="21"/>
                      <w:szCs w:val="21"/>
                      <w:lang w:val="en-US" w:eastAsia="zh-CN"/>
                    </w:rPr>
                    <w:t>40</w:t>
                  </w:r>
                  <w:r>
                    <w:rPr>
                      <w:rFonts w:hint="eastAsia" w:cs="Times New Roman"/>
                      <w:b w:val="0"/>
                      <w:bCs/>
                      <w:color w:val="auto"/>
                      <w:sz w:val="21"/>
                      <w:szCs w:val="21"/>
                      <w:lang w:val="en-US" w:eastAsia="zh-CN"/>
                    </w:rPr>
                    <w:t>5</w:t>
                  </w:r>
                  <w:r>
                    <w:rPr>
                      <w:rFonts w:hint="eastAsia" w:ascii="Times New Roman" w:hAnsi="Times New Roman" w:eastAsia="宋体" w:cs="Times New Roman"/>
                      <w:b w:val="0"/>
                      <w:bCs/>
                      <w:color w:val="auto"/>
                      <w:sz w:val="21"/>
                      <w:szCs w:val="21"/>
                      <w:lang w:val="en-US" w:eastAsia="zh-CN"/>
                    </w:rPr>
                    <w:t>0吨</w:t>
                  </w:r>
                  <w:r>
                    <w:rPr>
                      <w:rFonts w:hint="default" w:ascii="Times New Roman" w:hAnsi="Times New Roman" w:cs="Times New Roman"/>
                      <w:bCs/>
                      <w:sz w:val="21"/>
                      <w:szCs w:val="21"/>
                    </w:rPr>
                    <w:t>休闲食品及婴幼儿谷类辅助食品</w:t>
                  </w:r>
                  <w:r>
                    <w:rPr>
                      <w:rFonts w:hint="eastAsia" w:ascii="Times New Roman" w:hAnsi="Times New Roman" w:cs="Times New Roman"/>
                      <w:sz w:val="21"/>
                      <w:szCs w:val="21"/>
                      <w:lang w:val="en-US" w:eastAsia="zh-CN"/>
                    </w:rPr>
                    <w:t>的生产能力</w:t>
                  </w:r>
                </w:p>
              </w:tc>
            </w:tr>
            <w:tr w14:paraId="1B3501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1" w:hRule="atLeast"/>
              </w:trPr>
              <w:tc>
                <w:tcPr>
                  <w:tcW w:w="449" w:type="pct"/>
                  <w:tcBorders>
                    <w:tl2br w:val="nil"/>
                    <w:tr2bl w:val="nil"/>
                  </w:tcBorders>
                  <w:noWrap w:val="0"/>
                  <w:vAlign w:val="center"/>
                </w:tcPr>
                <w:p w14:paraId="0A9670FB">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bookmarkStart w:id="7" w:name="_Toc5786"/>
                  <w:bookmarkStart w:id="8" w:name="_Toc24411"/>
                  <w:r>
                    <w:rPr>
                      <w:rFonts w:hint="default" w:ascii="Times New Roman" w:hAnsi="Times New Roman" w:eastAsia="宋体" w:cs="Times New Roman"/>
                      <w:b w:val="0"/>
                      <w:bCs/>
                      <w:color w:val="auto"/>
                      <w:sz w:val="21"/>
                      <w:szCs w:val="21"/>
                    </w:rPr>
                    <w:t>辅助工程</w:t>
                  </w:r>
                </w:p>
              </w:tc>
              <w:tc>
                <w:tcPr>
                  <w:tcW w:w="445" w:type="pct"/>
                  <w:tcBorders>
                    <w:tl2br w:val="nil"/>
                    <w:tr2bl w:val="nil"/>
                  </w:tcBorders>
                  <w:noWrap w:val="0"/>
                  <w:vAlign w:val="center"/>
                </w:tcPr>
                <w:p w14:paraId="7D5DD1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办公楼</w:t>
                  </w:r>
                </w:p>
              </w:tc>
              <w:tc>
                <w:tcPr>
                  <w:tcW w:w="2179" w:type="pct"/>
                  <w:tcBorders>
                    <w:tl2br w:val="nil"/>
                    <w:tr2bl w:val="nil"/>
                  </w:tcBorders>
                  <w:noWrap w:val="0"/>
                  <w:vAlign w:val="center"/>
                </w:tcPr>
                <w:p w14:paraId="32723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1925" w:type="pct"/>
                  <w:tcBorders>
                    <w:tl2br w:val="nil"/>
                    <w:tr2bl w:val="nil"/>
                  </w:tcBorders>
                  <w:noWrap w:val="0"/>
                  <w:vAlign w:val="center"/>
                </w:tcPr>
                <w:p w14:paraId="1A03DEEC">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color w:val="auto"/>
                      <w:kern w:val="44"/>
                      <w:sz w:val="21"/>
                      <w:szCs w:val="21"/>
                      <w:lang w:val="en-US" w:eastAsia="zh-CN" w:bidi="ar-SA"/>
                    </w:rPr>
                  </w:pPr>
                  <w:r>
                    <w:rPr>
                      <w:rFonts w:hint="eastAsia" w:cs="Times New Roman"/>
                      <w:b w:val="0"/>
                      <w:bCs/>
                      <w:color w:val="auto"/>
                      <w:sz w:val="21"/>
                      <w:szCs w:val="21"/>
                      <w:lang w:val="en-US" w:eastAsia="zh-CN"/>
                    </w:rPr>
                    <w:t>租赁办公楼，</w:t>
                  </w:r>
                  <w:r>
                    <w:rPr>
                      <w:rFonts w:hint="eastAsia" w:ascii="Times New Roman" w:hAnsi="Times New Roman" w:eastAsia="宋体" w:cs="Times New Roman"/>
                      <w:b w:val="0"/>
                      <w:bCs/>
                      <w:color w:val="auto"/>
                      <w:sz w:val="21"/>
                      <w:szCs w:val="21"/>
                      <w:lang w:val="en-US" w:eastAsia="zh-CN"/>
                    </w:rPr>
                    <w:t>1-2F，位于厂区西侧，建筑面积约2000m</w:t>
                  </w:r>
                  <w:r>
                    <w:rPr>
                      <w:rFonts w:hint="eastAsia" w:ascii="Times New Roman" w:hAnsi="Times New Roman" w:eastAsia="宋体" w:cs="Times New Roman"/>
                      <w:b w:val="0"/>
                      <w:bCs/>
                      <w:color w:val="auto"/>
                      <w:sz w:val="21"/>
                      <w:szCs w:val="21"/>
                      <w:vertAlign w:val="superscript"/>
                      <w:lang w:val="en-US" w:eastAsia="zh-CN"/>
                    </w:rPr>
                    <w:t>2</w:t>
                  </w:r>
                  <w:r>
                    <w:rPr>
                      <w:rFonts w:hint="eastAsia" w:ascii="Times New Roman" w:hAnsi="Times New Roman" w:eastAsia="宋体" w:cs="Times New Roman"/>
                      <w:b w:val="0"/>
                      <w:bCs/>
                      <w:color w:val="auto"/>
                      <w:sz w:val="21"/>
                      <w:szCs w:val="21"/>
                      <w:lang w:val="en-US" w:eastAsia="zh-CN"/>
                    </w:rPr>
                    <w:t>，主要为职工提供办公场所</w:t>
                  </w:r>
                </w:p>
              </w:tc>
            </w:tr>
            <w:bookmarkEnd w:id="7"/>
            <w:bookmarkEnd w:id="8"/>
            <w:tr w14:paraId="43C8E6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27" w:hRule="atLeast"/>
              </w:trPr>
              <w:tc>
                <w:tcPr>
                  <w:tcW w:w="449" w:type="pct"/>
                  <w:vMerge w:val="restart"/>
                  <w:tcBorders>
                    <w:tl2br w:val="nil"/>
                    <w:tr2bl w:val="nil"/>
                  </w:tcBorders>
                  <w:noWrap w:val="0"/>
                  <w:vAlign w:val="center"/>
                </w:tcPr>
                <w:p w14:paraId="04E66C13">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储运工程</w:t>
                  </w:r>
                </w:p>
              </w:tc>
              <w:tc>
                <w:tcPr>
                  <w:tcW w:w="445" w:type="pct"/>
                  <w:tcBorders>
                    <w:tl2br w:val="nil"/>
                    <w:tr2bl w:val="nil"/>
                  </w:tcBorders>
                  <w:noWrap w:val="0"/>
                  <w:vAlign w:val="center"/>
                </w:tcPr>
                <w:p w14:paraId="4CE64BEF">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原料库</w:t>
                  </w:r>
                </w:p>
              </w:tc>
              <w:tc>
                <w:tcPr>
                  <w:tcW w:w="2179" w:type="pct"/>
                  <w:tcBorders>
                    <w:tl2br w:val="nil"/>
                    <w:tr2bl w:val="nil"/>
                  </w:tcBorders>
                  <w:noWrap w:val="0"/>
                  <w:vAlign w:val="center"/>
                </w:tcPr>
                <w:p w14:paraId="5B4AF51D">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原辅料暂存区位于2#厂房西北侧，建筑面积约30m</w:t>
                  </w:r>
                  <w:r>
                    <w:rPr>
                      <w:rFonts w:hint="eastAsia" w:cs="Times New Roman"/>
                      <w:color w:val="auto"/>
                      <w:sz w:val="21"/>
                      <w:szCs w:val="21"/>
                      <w:vertAlign w:val="superscript"/>
                      <w:lang w:val="en-US" w:eastAsia="zh-CN"/>
                    </w:rPr>
                    <w:t>2</w:t>
                  </w:r>
                  <w:r>
                    <w:rPr>
                      <w:rFonts w:hint="eastAsia"/>
                      <w:lang w:val="en-US" w:eastAsia="zh-CN"/>
                    </w:rPr>
                    <w:t>，主要用于暂存谷物粉、谷物淀粉等原辅料。</w:t>
                  </w:r>
                </w:p>
              </w:tc>
              <w:tc>
                <w:tcPr>
                  <w:tcW w:w="1925" w:type="pct"/>
                  <w:tcBorders>
                    <w:tl2br w:val="nil"/>
                    <w:tr2bl w:val="nil"/>
                  </w:tcBorders>
                  <w:noWrap w:val="0"/>
                  <w:vAlign w:val="center"/>
                </w:tcPr>
                <w:p w14:paraId="5B60E907">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color w:val="auto"/>
                      <w:kern w:val="44"/>
                      <w:sz w:val="21"/>
                      <w:szCs w:val="21"/>
                      <w:lang w:val="en-US" w:eastAsia="zh-CN" w:bidi="ar-SA"/>
                    </w:rPr>
                  </w:pPr>
                  <w:r>
                    <w:rPr>
                      <w:rFonts w:hint="eastAsia" w:cs="Times New Roman"/>
                      <w:sz w:val="21"/>
                      <w:szCs w:val="21"/>
                      <w:lang w:val="en-US" w:eastAsia="zh-CN"/>
                    </w:rPr>
                    <w:t>位于1#厂房西北角，建筑面积约480</w:t>
                  </w:r>
                  <w:r>
                    <w:rPr>
                      <w:rFonts w:hint="eastAsia"/>
                      <w:lang w:val="en-US" w:eastAsia="zh-CN"/>
                    </w:rPr>
                    <w:t>m</w:t>
                  </w:r>
                  <w:r>
                    <w:rPr>
                      <w:rFonts w:hint="eastAsia"/>
                      <w:vertAlign w:val="superscript"/>
                      <w:lang w:val="en-US" w:eastAsia="zh-CN"/>
                    </w:rPr>
                    <w:t>2</w:t>
                  </w:r>
                  <w:r>
                    <w:rPr>
                      <w:rFonts w:hint="eastAsia"/>
                      <w:lang w:val="en-US" w:eastAsia="zh-CN"/>
                    </w:rPr>
                    <w:t>，主要用于储存谷物粉、谷物淀粉、果粉、食用油等原料</w:t>
                  </w:r>
                  <w:r>
                    <w:rPr>
                      <w:rFonts w:hint="eastAsia"/>
                      <w:lang w:eastAsia="zh-CN"/>
                    </w:rPr>
                    <w:t>。</w:t>
                  </w:r>
                </w:p>
              </w:tc>
            </w:tr>
            <w:tr w14:paraId="7C73B2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7" w:hRule="atLeast"/>
              </w:trPr>
              <w:tc>
                <w:tcPr>
                  <w:tcW w:w="449" w:type="pct"/>
                  <w:vMerge w:val="continue"/>
                  <w:tcBorders>
                    <w:tl2br w:val="nil"/>
                    <w:tr2bl w:val="nil"/>
                  </w:tcBorders>
                  <w:noWrap w:val="0"/>
                  <w:vAlign w:val="center"/>
                </w:tcPr>
                <w:p w14:paraId="038A596F">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p>
              </w:tc>
              <w:tc>
                <w:tcPr>
                  <w:tcW w:w="445" w:type="pct"/>
                  <w:tcBorders>
                    <w:tl2br w:val="nil"/>
                    <w:tr2bl w:val="nil"/>
                  </w:tcBorders>
                  <w:noWrap w:val="0"/>
                  <w:vAlign w:val="center"/>
                </w:tcPr>
                <w:p w14:paraId="6BC0EE74">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成品库</w:t>
                  </w:r>
                </w:p>
              </w:tc>
              <w:tc>
                <w:tcPr>
                  <w:tcW w:w="2179" w:type="pct"/>
                  <w:tcBorders>
                    <w:tl2br w:val="nil"/>
                    <w:tr2bl w:val="nil"/>
                  </w:tcBorders>
                  <w:noWrap w:val="0"/>
                  <w:vAlign w:val="center"/>
                </w:tcPr>
                <w:p w14:paraId="349A07D6">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eastAsia="宋体"/>
                      <w:sz w:val="21"/>
                      <w:szCs w:val="21"/>
                      <w:lang w:val="en-US" w:eastAsia="zh-CN"/>
                    </w:rPr>
                  </w:pPr>
                  <w:r>
                    <w:rPr>
                      <w:rFonts w:hint="eastAsia"/>
                      <w:sz w:val="21"/>
                      <w:szCs w:val="21"/>
                      <w:lang w:val="en-US" w:eastAsia="zh-CN"/>
                    </w:rPr>
                    <w:t>./</w:t>
                  </w:r>
                </w:p>
              </w:tc>
              <w:tc>
                <w:tcPr>
                  <w:tcW w:w="1925" w:type="pct"/>
                  <w:tcBorders>
                    <w:tl2br w:val="nil"/>
                    <w:tr2bl w:val="nil"/>
                  </w:tcBorders>
                  <w:noWrap w:val="0"/>
                  <w:vAlign w:val="center"/>
                </w:tcPr>
                <w:p w14:paraId="574BC68A">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位于1#厂房西侧，建筑面积约435m</w:t>
                  </w:r>
                  <w:r>
                    <w:rPr>
                      <w:rFonts w:hint="eastAsia" w:cs="Times New Roman"/>
                      <w:sz w:val="21"/>
                      <w:szCs w:val="21"/>
                      <w:vertAlign w:val="superscript"/>
                      <w:lang w:val="en-US" w:eastAsia="zh-CN"/>
                    </w:rPr>
                    <w:t>2</w:t>
                  </w:r>
                  <w:r>
                    <w:rPr>
                      <w:rFonts w:hint="eastAsia" w:cs="Times New Roman"/>
                      <w:sz w:val="21"/>
                      <w:szCs w:val="21"/>
                      <w:lang w:val="en-US" w:eastAsia="zh-CN"/>
                    </w:rPr>
                    <w:t>，用于成品存放。</w:t>
                  </w:r>
                </w:p>
              </w:tc>
            </w:tr>
            <w:tr w14:paraId="4E4647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7" w:hRule="atLeast"/>
              </w:trPr>
              <w:tc>
                <w:tcPr>
                  <w:tcW w:w="449" w:type="pct"/>
                  <w:vMerge w:val="continue"/>
                  <w:tcBorders>
                    <w:tl2br w:val="nil"/>
                    <w:tr2bl w:val="nil"/>
                  </w:tcBorders>
                  <w:noWrap w:val="0"/>
                  <w:vAlign w:val="center"/>
                </w:tcPr>
                <w:p w14:paraId="70215C27">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p>
              </w:tc>
              <w:tc>
                <w:tcPr>
                  <w:tcW w:w="445" w:type="pct"/>
                  <w:tcBorders>
                    <w:tl2br w:val="nil"/>
                    <w:tr2bl w:val="nil"/>
                  </w:tcBorders>
                  <w:noWrap w:val="0"/>
                  <w:vAlign w:val="center"/>
                </w:tcPr>
                <w:p w14:paraId="0628670A">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半成品库</w:t>
                  </w:r>
                </w:p>
              </w:tc>
              <w:tc>
                <w:tcPr>
                  <w:tcW w:w="2179" w:type="pct"/>
                  <w:tcBorders>
                    <w:tl2br w:val="nil"/>
                    <w:tr2bl w:val="nil"/>
                  </w:tcBorders>
                  <w:noWrap w:val="0"/>
                  <w:vAlign w:val="center"/>
                </w:tcPr>
                <w:p w14:paraId="32F1B22E">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半成品存放区位于2#厂房南侧，建筑面积约60m</w:t>
                  </w:r>
                  <w:r>
                    <w:rPr>
                      <w:rFonts w:hint="eastAsia"/>
                      <w:sz w:val="21"/>
                      <w:szCs w:val="21"/>
                      <w:vertAlign w:val="superscript"/>
                      <w:lang w:val="en-US" w:eastAsia="zh-CN"/>
                    </w:rPr>
                    <w:t>2</w:t>
                  </w:r>
                  <w:r>
                    <w:rPr>
                      <w:rFonts w:hint="eastAsia"/>
                      <w:lang w:val="en-US" w:eastAsia="zh-CN"/>
                    </w:rPr>
                    <w:t>，主要用于暂存半成品。</w:t>
                  </w:r>
                </w:p>
              </w:tc>
              <w:tc>
                <w:tcPr>
                  <w:tcW w:w="1925" w:type="pct"/>
                  <w:tcBorders>
                    <w:tl2br w:val="nil"/>
                    <w:tr2bl w:val="nil"/>
                  </w:tcBorders>
                  <w:noWrap w:val="0"/>
                  <w:vAlign w:val="center"/>
                </w:tcPr>
                <w:p w14:paraId="5AA6C653">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位于2#厂房西侧，建筑面积约380m</w:t>
                  </w:r>
                  <w:r>
                    <w:rPr>
                      <w:rFonts w:hint="eastAsia" w:cs="Times New Roman"/>
                      <w:sz w:val="21"/>
                      <w:szCs w:val="21"/>
                      <w:vertAlign w:val="superscript"/>
                      <w:lang w:val="en-US" w:eastAsia="zh-CN"/>
                    </w:rPr>
                    <w:t>2</w:t>
                  </w:r>
                  <w:r>
                    <w:rPr>
                      <w:rFonts w:hint="eastAsia" w:cs="Times New Roman"/>
                      <w:sz w:val="21"/>
                      <w:szCs w:val="21"/>
                      <w:lang w:val="en-US" w:eastAsia="zh-CN"/>
                    </w:rPr>
                    <w:t>，用于半成品存放。</w:t>
                  </w:r>
                </w:p>
              </w:tc>
            </w:tr>
            <w:tr w14:paraId="433875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7" w:hRule="atLeast"/>
              </w:trPr>
              <w:tc>
                <w:tcPr>
                  <w:tcW w:w="449" w:type="pct"/>
                  <w:vMerge w:val="continue"/>
                  <w:tcBorders>
                    <w:tl2br w:val="nil"/>
                    <w:tr2bl w:val="nil"/>
                  </w:tcBorders>
                  <w:noWrap w:val="0"/>
                  <w:vAlign w:val="center"/>
                </w:tcPr>
                <w:p w14:paraId="62F12057">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p>
              </w:tc>
              <w:tc>
                <w:tcPr>
                  <w:tcW w:w="445" w:type="pct"/>
                  <w:tcBorders>
                    <w:tl2br w:val="nil"/>
                    <w:tr2bl w:val="nil"/>
                  </w:tcBorders>
                  <w:noWrap w:val="0"/>
                  <w:vAlign w:val="center"/>
                </w:tcPr>
                <w:p w14:paraId="5E7B8D98">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sz w:val="21"/>
                      <w:szCs w:val="21"/>
                      <w:lang w:val="en-US" w:eastAsia="zh-CN"/>
                    </w:rPr>
                  </w:pPr>
                  <w:r>
                    <w:rPr>
                      <w:rFonts w:hint="eastAsia" w:cs="Times New Roman"/>
                      <w:sz w:val="21"/>
                      <w:szCs w:val="21"/>
                      <w:lang w:val="en-US" w:eastAsia="zh-CN"/>
                    </w:rPr>
                    <w:t>包材库</w:t>
                  </w:r>
                </w:p>
              </w:tc>
              <w:tc>
                <w:tcPr>
                  <w:tcW w:w="2179" w:type="pct"/>
                  <w:tcBorders>
                    <w:tl2br w:val="nil"/>
                    <w:tr2bl w:val="nil"/>
                  </w:tcBorders>
                  <w:noWrap w:val="0"/>
                  <w:vAlign w:val="center"/>
                </w:tcPr>
                <w:p w14:paraId="71F50A7C">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eastAsia="宋体"/>
                      <w:sz w:val="21"/>
                      <w:szCs w:val="21"/>
                      <w:lang w:val="en-US" w:eastAsia="zh-CN"/>
                    </w:rPr>
                  </w:pPr>
                  <w:r>
                    <w:rPr>
                      <w:rFonts w:hint="eastAsia"/>
                      <w:sz w:val="21"/>
                      <w:szCs w:val="21"/>
                      <w:lang w:val="en-US" w:eastAsia="zh-CN"/>
                    </w:rPr>
                    <w:t>内包材区位于2#厂房东南侧，建筑面积约为360m</w:t>
                  </w:r>
                  <w:r>
                    <w:rPr>
                      <w:rFonts w:hint="eastAsia"/>
                      <w:sz w:val="21"/>
                      <w:szCs w:val="21"/>
                      <w:vertAlign w:val="superscript"/>
                      <w:lang w:val="en-US" w:eastAsia="zh-CN"/>
                    </w:rPr>
                    <w:t>2</w:t>
                  </w:r>
                </w:p>
              </w:tc>
              <w:tc>
                <w:tcPr>
                  <w:tcW w:w="1925" w:type="pct"/>
                  <w:tcBorders>
                    <w:tl2br w:val="nil"/>
                    <w:tr2bl w:val="nil"/>
                  </w:tcBorders>
                  <w:noWrap w:val="0"/>
                  <w:vAlign w:val="center"/>
                </w:tcPr>
                <w:p w14:paraId="0F1E385E">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位于1#厂房东侧，建筑面积约770m</w:t>
                  </w:r>
                  <w:r>
                    <w:rPr>
                      <w:rFonts w:hint="eastAsia" w:cs="Times New Roman"/>
                      <w:sz w:val="21"/>
                      <w:szCs w:val="21"/>
                      <w:vertAlign w:val="superscript"/>
                      <w:lang w:val="en-US" w:eastAsia="zh-CN"/>
                    </w:rPr>
                    <w:t>2</w:t>
                  </w:r>
                  <w:r>
                    <w:rPr>
                      <w:rFonts w:hint="eastAsia" w:cs="Times New Roman"/>
                      <w:sz w:val="21"/>
                      <w:szCs w:val="21"/>
                      <w:lang w:val="en-US" w:eastAsia="zh-CN"/>
                    </w:rPr>
                    <w:t>，用于储存包装材料。</w:t>
                  </w:r>
                </w:p>
              </w:tc>
            </w:tr>
            <w:tr w14:paraId="104045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7" w:hRule="atLeast"/>
              </w:trPr>
              <w:tc>
                <w:tcPr>
                  <w:tcW w:w="449" w:type="pct"/>
                  <w:vMerge w:val="continue"/>
                  <w:tcBorders>
                    <w:tl2br w:val="nil"/>
                    <w:tr2bl w:val="nil"/>
                  </w:tcBorders>
                  <w:noWrap w:val="0"/>
                  <w:vAlign w:val="center"/>
                </w:tcPr>
                <w:p w14:paraId="7648F5DB">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p>
              </w:tc>
              <w:tc>
                <w:tcPr>
                  <w:tcW w:w="445" w:type="pct"/>
                  <w:tcBorders>
                    <w:tl2br w:val="nil"/>
                    <w:tr2bl w:val="nil"/>
                  </w:tcBorders>
                  <w:noWrap w:val="0"/>
                  <w:vAlign w:val="center"/>
                </w:tcPr>
                <w:p w14:paraId="234E3F88">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sz w:val="21"/>
                      <w:szCs w:val="21"/>
                      <w:lang w:val="en-US" w:eastAsia="zh-CN"/>
                    </w:rPr>
                  </w:pPr>
                  <w:r>
                    <w:rPr>
                      <w:rFonts w:hint="eastAsia" w:cs="Times New Roman"/>
                      <w:sz w:val="21"/>
                      <w:szCs w:val="21"/>
                      <w:lang w:val="en-US" w:eastAsia="zh-CN"/>
                    </w:rPr>
                    <w:t>冷库</w:t>
                  </w:r>
                </w:p>
              </w:tc>
              <w:tc>
                <w:tcPr>
                  <w:tcW w:w="2179" w:type="pct"/>
                  <w:tcBorders>
                    <w:tl2br w:val="nil"/>
                    <w:tr2bl w:val="nil"/>
                  </w:tcBorders>
                  <w:noWrap w:val="0"/>
                  <w:vAlign w:val="center"/>
                </w:tcPr>
                <w:p w14:paraId="20D9818B">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eastAsia="宋体"/>
                      <w:sz w:val="21"/>
                      <w:szCs w:val="21"/>
                      <w:lang w:val="en-US" w:eastAsia="zh-CN"/>
                    </w:rPr>
                  </w:pPr>
                  <w:r>
                    <w:rPr>
                      <w:rFonts w:hint="eastAsia"/>
                      <w:sz w:val="21"/>
                      <w:szCs w:val="21"/>
                      <w:lang w:val="en-US" w:eastAsia="zh-CN"/>
                    </w:rPr>
                    <w:t>/</w:t>
                  </w:r>
                </w:p>
              </w:tc>
              <w:tc>
                <w:tcPr>
                  <w:tcW w:w="1925" w:type="pct"/>
                  <w:tcBorders>
                    <w:tl2br w:val="nil"/>
                    <w:tr2bl w:val="nil"/>
                  </w:tcBorders>
                  <w:noWrap w:val="0"/>
                  <w:vAlign w:val="center"/>
                </w:tcPr>
                <w:p w14:paraId="6DA95689">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位于1#厂房西侧中部，制冷剂采用R507，建筑面积约100m</w:t>
                  </w:r>
                  <w:r>
                    <w:rPr>
                      <w:rFonts w:hint="eastAsia" w:cs="Times New Roman"/>
                      <w:sz w:val="21"/>
                      <w:szCs w:val="21"/>
                      <w:vertAlign w:val="superscript"/>
                      <w:lang w:val="en-US" w:eastAsia="zh-CN"/>
                    </w:rPr>
                    <w:t>2</w:t>
                  </w:r>
                  <w:r>
                    <w:rPr>
                      <w:rFonts w:hint="eastAsia" w:cs="Times New Roman"/>
                      <w:sz w:val="21"/>
                      <w:szCs w:val="21"/>
                      <w:lang w:val="en-US" w:eastAsia="zh-CN"/>
                    </w:rPr>
                    <w:t>，用于存放鱼、虾</w:t>
                  </w:r>
                </w:p>
              </w:tc>
            </w:tr>
            <w:tr w14:paraId="6601A0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restart"/>
                  <w:tcBorders>
                    <w:tl2br w:val="nil"/>
                    <w:tr2bl w:val="nil"/>
                  </w:tcBorders>
                  <w:noWrap w:val="0"/>
                  <w:vAlign w:val="center"/>
                </w:tcPr>
                <w:p w14:paraId="518E4BAF">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公用工程</w:t>
                  </w:r>
                </w:p>
              </w:tc>
              <w:tc>
                <w:tcPr>
                  <w:tcW w:w="445" w:type="pct"/>
                  <w:tcBorders>
                    <w:tl2br w:val="nil"/>
                    <w:tr2bl w:val="nil"/>
                  </w:tcBorders>
                  <w:noWrap w:val="0"/>
                  <w:vAlign w:val="center"/>
                </w:tcPr>
                <w:p w14:paraId="39D00F32">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给水</w:t>
                  </w:r>
                </w:p>
              </w:tc>
              <w:tc>
                <w:tcPr>
                  <w:tcW w:w="2179" w:type="pct"/>
                  <w:tcBorders>
                    <w:tl2br w:val="nil"/>
                    <w:tr2bl w:val="nil"/>
                  </w:tcBorders>
                  <w:noWrap w:val="0"/>
                  <w:vAlign w:val="center"/>
                </w:tcPr>
                <w:p w14:paraId="5DB6C444">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市政</w:t>
                  </w:r>
                  <w:r>
                    <w:rPr>
                      <w:rFonts w:hint="default" w:ascii="Times New Roman" w:hAnsi="Times New Roman" w:eastAsia="宋体" w:cs="Times New Roman"/>
                      <w:b w:val="0"/>
                      <w:bCs/>
                      <w:color w:val="auto"/>
                      <w:sz w:val="21"/>
                      <w:szCs w:val="21"/>
                    </w:rPr>
                    <w:t>供水管网，</w:t>
                  </w:r>
                  <w:r>
                    <w:rPr>
                      <w:rFonts w:hint="eastAsia" w:ascii="Times New Roman" w:hAnsi="Times New Roman" w:eastAsia="宋体" w:cs="Times New Roman"/>
                      <w:b w:val="0"/>
                      <w:bCs/>
                      <w:color w:val="auto"/>
                      <w:sz w:val="21"/>
                      <w:szCs w:val="21"/>
                      <w:lang w:val="en-US" w:eastAsia="zh-CN"/>
                    </w:rPr>
                    <w:t>项目年</w:t>
                  </w:r>
                  <w:r>
                    <w:rPr>
                      <w:rFonts w:hint="default" w:ascii="Times New Roman" w:hAnsi="Times New Roman" w:eastAsia="宋体" w:cs="Times New Roman"/>
                      <w:b w:val="0"/>
                      <w:bCs/>
                      <w:color w:val="auto"/>
                      <w:sz w:val="21"/>
                      <w:szCs w:val="21"/>
                    </w:rPr>
                    <w:t>用水量为</w:t>
                  </w:r>
                  <w:r>
                    <w:rPr>
                      <w:rFonts w:hint="eastAsia" w:cs="Times New Roman"/>
                      <w:lang w:val="en-US" w:eastAsia="zh-CN"/>
                    </w:rPr>
                    <w:t>1277.5</w:t>
                  </w:r>
                  <w:r>
                    <w:rPr>
                      <w:rFonts w:hint="default" w:ascii="Times New Roman" w:hAnsi="Times New Roman" w:eastAsia="宋体" w:cs="Times New Roman"/>
                      <w:b w:val="0"/>
                      <w:bCs/>
                      <w:color w:val="auto"/>
                      <w:sz w:val="21"/>
                      <w:szCs w:val="21"/>
                    </w:rPr>
                    <w:t>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/a</w:t>
                  </w:r>
                </w:p>
              </w:tc>
              <w:tc>
                <w:tcPr>
                  <w:tcW w:w="1925" w:type="pct"/>
                  <w:tcBorders>
                    <w:tl2br w:val="nil"/>
                    <w:tr2bl w:val="nil"/>
                  </w:tcBorders>
                  <w:noWrap w:val="0"/>
                  <w:vAlign w:val="center"/>
                </w:tcPr>
                <w:p w14:paraId="68F8143D">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市政</w:t>
                  </w:r>
                  <w:r>
                    <w:rPr>
                      <w:rFonts w:hint="default" w:ascii="Times New Roman" w:hAnsi="Times New Roman" w:eastAsia="宋体" w:cs="Times New Roman"/>
                      <w:b w:val="0"/>
                      <w:bCs/>
                      <w:color w:val="auto"/>
                      <w:sz w:val="21"/>
                      <w:szCs w:val="21"/>
                    </w:rPr>
                    <w:t>供水管网，</w:t>
                  </w:r>
                  <w:r>
                    <w:rPr>
                      <w:rFonts w:hint="eastAsia" w:ascii="Times New Roman" w:hAnsi="Times New Roman" w:eastAsia="宋体" w:cs="Times New Roman"/>
                      <w:b w:val="0"/>
                      <w:bCs/>
                      <w:color w:val="auto"/>
                      <w:sz w:val="21"/>
                      <w:szCs w:val="21"/>
                      <w:lang w:val="en-US" w:eastAsia="zh-CN"/>
                    </w:rPr>
                    <w:t>新增年</w:t>
                  </w:r>
                  <w:r>
                    <w:rPr>
                      <w:rFonts w:hint="default" w:ascii="Times New Roman" w:hAnsi="Times New Roman" w:eastAsia="宋体" w:cs="Times New Roman"/>
                      <w:b w:val="0"/>
                      <w:bCs/>
                      <w:color w:val="auto"/>
                      <w:sz w:val="21"/>
                      <w:szCs w:val="21"/>
                    </w:rPr>
                    <w:t>用水量为</w:t>
                  </w:r>
                  <w:r>
                    <w:rPr>
                      <w:rFonts w:hint="eastAsia" w:cs="Times New Roman"/>
                      <w:b w:val="0"/>
                      <w:bCs/>
                      <w:color w:val="auto"/>
                      <w:sz w:val="21"/>
                      <w:szCs w:val="21"/>
                      <w:lang w:val="en-US" w:eastAsia="zh-CN"/>
                    </w:rPr>
                    <w:t>1079.5</w:t>
                  </w:r>
                  <w:r>
                    <w:rPr>
                      <w:rFonts w:hint="default" w:ascii="Times New Roman" w:hAnsi="Times New Roman" w:eastAsia="宋体" w:cs="Times New Roman"/>
                      <w:b w:val="0"/>
                      <w:bCs/>
                      <w:color w:val="auto"/>
                      <w:sz w:val="21"/>
                      <w:szCs w:val="21"/>
                    </w:rPr>
                    <w:t>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/a</w:t>
                  </w:r>
                </w:p>
              </w:tc>
            </w:tr>
            <w:tr w14:paraId="70815E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74" w:hRule="atLeast"/>
              </w:trPr>
              <w:tc>
                <w:tcPr>
                  <w:tcW w:w="449" w:type="pct"/>
                  <w:vMerge w:val="continue"/>
                  <w:tcBorders>
                    <w:tl2br w:val="nil"/>
                    <w:tr2bl w:val="nil"/>
                  </w:tcBorders>
                  <w:noWrap w:val="0"/>
                  <w:vAlign w:val="center"/>
                </w:tcPr>
                <w:p w14:paraId="0FACBBAD">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p>
              </w:tc>
              <w:tc>
                <w:tcPr>
                  <w:tcW w:w="445" w:type="pct"/>
                  <w:tcBorders>
                    <w:tl2br w:val="nil"/>
                    <w:tr2bl w:val="nil"/>
                  </w:tcBorders>
                  <w:noWrap w:val="0"/>
                  <w:vAlign w:val="center"/>
                </w:tcPr>
                <w:p w14:paraId="354CCF52">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排水</w:t>
                  </w:r>
                </w:p>
              </w:tc>
              <w:tc>
                <w:tcPr>
                  <w:tcW w:w="2179" w:type="pct"/>
                  <w:tcBorders>
                    <w:tl2br w:val="nil"/>
                    <w:tr2bl w:val="nil"/>
                  </w:tcBorders>
                  <w:noWrap w:val="0"/>
                  <w:vAlign w:val="center"/>
                </w:tcPr>
                <w:p w14:paraId="1C87C2D8">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实行雨污分流制度；生产废水经沉淀池处理后与经化粪池处理后的生活污水一起接入</w:t>
                  </w:r>
                  <w:r>
                    <w:rPr>
                      <w:rFonts w:hint="eastAsia" w:cs="Times New Roman"/>
                      <w:b w:val="0"/>
                      <w:bCs/>
                      <w:color w:val="auto"/>
                      <w:sz w:val="21"/>
                      <w:szCs w:val="21"/>
                      <w:lang w:val="en-US" w:eastAsia="zh-CN"/>
                    </w:rPr>
                    <w:t>园区</w:t>
                  </w:r>
                  <w:r>
                    <w:rPr>
                      <w:rFonts w:hint="eastAsia" w:ascii="Times New Roman" w:hAnsi="Times New Roman" w:eastAsia="宋体" w:cs="Times New Roman"/>
                      <w:b w:val="0"/>
                      <w:bCs/>
                      <w:color w:val="auto"/>
                      <w:sz w:val="21"/>
                      <w:szCs w:val="21"/>
                      <w:lang w:val="en-US" w:eastAsia="zh-CN"/>
                    </w:rPr>
                    <w:t>污水管网，进入</w:t>
                  </w:r>
                  <w:r>
                    <w:rPr>
                      <w:rFonts w:hint="eastAsia"/>
                      <w:bCs/>
                      <w:color w:val="auto"/>
                      <w:szCs w:val="21"/>
                    </w:rPr>
                    <w:t>安徽淮相科技发展有限公司第二污水处理厂</w:t>
                  </w:r>
                  <w:r>
                    <w:rPr>
                      <w:rFonts w:hint="eastAsia" w:ascii="Times New Roman" w:hAnsi="Times New Roman" w:eastAsia="宋体" w:cs="Times New Roman"/>
                      <w:b w:val="0"/>
                      <w:bCs/>
                      <w:color w:val="auto"/>
                      <w:sz w:val="21"/>
                      <w:szCs w:val="21"/>
                      <w:lang w:val="en-US" w:eastAsia="zh-CN"/>
                    </w:rPr>
                    <w:t>处理后，排入老濉河</w:t>
                  </w:r>
                </w:p>
              </w:tc>
              <w:tc>
                <w:tcPr>
                  <w:tcW w:w="1925" w:type="pct"/>
                  <w:tcBorders>
                    <w:tl2br w:val="nil"/>
                    <w:tr2bl w:val="nil"/>
                  </w:tcBorders>
                  <w:noWrap w:val="0"/>
                  <w:vAlign w:val="center"/>
                </w:tcPr>
                <w:p w14:paraId="0FC5EE6C">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依托</w:t>
                  </w:r>
                  <w:r>
                    <w:rPr>
                      <w:rFonts w:hint="eastAsia"/>
                      <w:lang w:val="en-US" w:eastAsia="zh-CN"/>
                    </w:rPr>
                    <w:t>现有雨水管网/污水管网及排污口</w:t>
                  </w:r>
                </w:p>
              </w:tc>
            </w:tr>
            <w:tr w14:paraId="2E3835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0C7A0A4F">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p>
              </w:tc>
              <w:tc>
                <w:tcPr>
                  <w:tcW w:w="445" w:type="pct"/>
                  <w:tcBorders>
                    <w:tl2br w:val="nil"/>
                    <w:tr2bl w:val="nil"/>
                  </w:tcBorders>
                  <w:noWrap w:val="0"/>
                  <w:vAlign w:val="center"/>
                </w:tcPr>
                <w:p w14:paraId="347BF65A">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供电</w:t>
                  </w:r>
                </w:p>
              </w:tc>
              <w:tc>
                <w:tcPr>
                  <w:tcW w:w="2179" w:type="pct"/>
                  <w:tcBorders>
                    <w:tl2br w:val="nil"/>
                    <w:tr2bl w:val="nil"/>
                  </w:tcBorders>
                  <w:noWrap w:val="0"/>
                  <w:vAlign w:val="center"/>
                </w:tcPr>
                <w:p w14:paraId="56915458">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市政</w:t>
                  </w:r>
                  <w:r>
                    <w:rPr>
                      <w:rFonts w:hint="default" w:ascii="Times New Roman" w:hAnsi="Times New Roman" w:eastAsia="宋体" w:cs="Times New Roman"/>
                      <w:b w:val="0"/>
                      <w:bCs/>
                      <w:color w:val="auto"/>
                      <w:kern w:val="0"/>
                      <w:sz w:val="21"/>
                      <w:szCs w:val="21"/>
                    </w:rPr>
                    <w:t>供电管网</w:t>
                  </w:r>
                  <w:r>
                    <w:rPr>
                      <w:rFonts w:hint="default" w:ascii="Times New Roman" w:hAnsi="Times New Roman" w:eastAsia="宋体" w:cs="Times New Roman"/>
                      <w:b w:val="0"/>
                      <w:bCs/>
                      <w:color w:val="auto"/>
                      <w:sz w:val="21"/>
                      <w:szCs w:val="21"/>
                    </w:rPr>
                    <w:t>，</w:t>
                  </w:r>
                  <w:r>
                    <w:rPr>
                      <w:rFonts w:hint="eastAsia" w:ascii="Times New Roman" w:hAnsi="Times New Roman" w:eastAsia="宋体" w:cs="Times New Roman"/>
                      <w:b w:val="0"/>
                      <w:bCs/>
                      <w:color w:val="auto"/>
                      <w:sz w:val="21"/>
                      <w:szCs w:val="21"/>
                      <w:lang w:val="en-US" w:eastAsia="zh-CN"/>
                    </w:rPr>
                    <w:t>年</w:t>
                  </w:r>
                  <w:r>
                    <w:rPr>
                      <w:rFonts w:hint="default" w:ascii="Times New Roman" w:hAnsi="Times New Roman" w:eastAsia="宋体" w:cs="Times New Roman"/>
                      <w:b w:val="0"/>
                      <w:bCs/>
                      <w:color w:val="auto"/>
                      <w:sz w:val="21"/>
                      <w:szCs w:val="21"/>
                    </w:rPr>
                    <w:t>用电量为</w:t>
                  </w:r>
                  <w:r>
                    <w:rPr>
                      <w:rFonts w:hint="eastAsia"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rPr>
                    <w:t>万kw/h</w:t>
                  </w:r>
                </w:p>
              </w:tc>
              <w:tc>
                <w:tcPr>
                  <w:tcW w:w="1925" w:type="pct"/>
                  <w:tcBorders>
                    <w:tl2br w:val="nil"/>
                    <w:tr2bl w:val="nil"/>
                  </w:tcBorders>
                  <w:noWrap w:val="0"/>
                  <w:vAlign w:val="center"/>
                </w:tcPr>
                <w:p w14:paraId="2C03B3D1">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市政</w:t>
                  </w:r>
                  <w:r>
                    <w:rPr>
                      <w:rFonts w:hint="default" w:ascii="Times New Roman" w:hAnsi="Times New Roman" w:eastAsia="宋体" w:cs="Times New Roman"/>
                      <w:b w:val="0"/>
                      <w:bCs/>
                      <w:color w:val="auto"/>
                      <w:kern w:val="0"/>
                      <w:sz w:val="21"/>
                      <w:szCs w:val="21"/>
                    </w:rPr>
                    <w:t>供电管网</w:t>
                  </w:r>
                  <w:r>
                    <w:rPr>
                      <w:rFonts w:hint="default" w:ascii="Times New Roman" w:hAnsi="Times New Roman" w:eastAsia="宋体" w:cs="Times New Roman"/>
                      <w:b w:val="0"/>
                      <w:bCs/>
                      <w:color w:val="auto"/>
                      <w:sz w:val="21"/>
                      <w:szCs w:val="21"/>
                    </w:rPr>
                    <w:t>，</w:t>
                  </w:r>
                  <w:r>
                    <w:rPr>
                      <w:rFonts w:hint="eastAsia" w:ascii="Times New Roman" w:hAnsi="Times New Roman" w:eastAsia="宋体" w:cs="Times New Roman"/>
                      <w:b w:val="0"/>
                      <w:bCs/>
                      <w:color w:val="auto"/>
                      <w:sz w:val="21"/>
                      <w:szCs w:val="21"/>
                      <w:lang w:val="en-US" w:eastAsia="zh-CN"/>
                    </w:rPr>
                    <w:t>新增年</w:t>
                  </w:r>
                  <w:r>
                    <w:rPr>
                      <w:rFonts w:hint="default" w:ascii="Times New Roman" w:hAnsi="Times New Roman" w:eastAsia="宋体" w:cs="Times New Roman"/>
                      <w:b w:val="0"/>
                      <w:bCs/>
                      <w:color w:val="auto"/>
                      <w:sz w:val="21"/>
                      <w:szCs w:val="21"/>
                    </w:rPr>
                    <w:t>用电量为</w:t>
                  </w:r>
                  <w:r>
                    <w:rPr>
                      <w:rFonts w:hint="eastAsia" w:ascii="Times New Roman" w:hAnsi="Times New Roman" w:cs="Times New Roman"/>
                      <w:sz w:val="21"/>
                      <w:szCs w:val="21"/>
                      <w:lang w:val="en-US" w:eastAsia="zh-CN"/>
                    </w:rPr>
                    <w:t>25</w:t>
                  </w:r>
                  <w:r>
                    <w:rPr>
                      <w:rFonts w:hint="default" w:ascii="Times New Roman" w:hAnsi="Times New Roman" w:eastAsia="宋体" w:cs="Times New Roman"/>
                      <w:b w:val="0"/>
                      <w:bCs/>
                      <w:color w:val="auto"/>
                      <w:sz w:val="21"/>
                      <w:szCs w:val="21"/>
                    </w:rPr>
                    <w:t>万kw/h</w:t>
                  </w:r>
                </w:p>
              </w:tc>
            </w:tr>
            <w:tr w14:paraId="1F484C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restart"/>
                  <w:tcBorders>
                    <w:tl2br w:val="nil"/>
                    <w:tr2bl w:val="nil"/>
                  </w:tcBorders>
                  <w:noWrap w:val="0"/>
                  <w:vAlign w:val="center"/>
                </w:tcPr>
                <w:p w14:paraId="35E3FE0A">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bookmarkStart w:id="9" w:name="_Toc4519"/>
                  <w:bookmarkStart w:id="10" w:name="_Toc9553"/>
                  <w:r>
                    <w:rPr>
                      <w:rFonts w:hint="default" w:ascii="Times New Roman" w:hAnsi="Times New Roman" w:eastAsia="宋体" w:cs="Times New Roman"/>
                      <w:b w:val="0"/>
                      <w:bCs/>
                      <w:color w:val="auto"/>
                      <w:sz w:val="21"/>
                      <w:szCs w:val="21"/>
                    </w:rPr>
                    <w:t>环保工程</w:t>
                  </w:r>
                  <w:bookmarkEnd w:id="9"/>
                  <w:bookmarkEnd w:id="10"/>
                </w:p>
              </w:tc>
              <w:tc>
                <w:tcPr>
                  <w:tcW w:w="445" w:type="pct"/>
                  <w:tcBorders>
                    <w:tl2br w:val="nil"/>
                    <w:tr2bl w:val="nil"/>
                  </w:tcBorders>
                  <w:noWrap w:val="0"/>
                  <w:vAlign w:val="center"/>
                </w:tcPr>
                <w:p w14:paraId="576879A4">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废水治理</w:t>
                  </w:r>
                </w:p>
              </w:tc>
              <w:tc>
                <w:tcPr>
                  <w:tcW w:w="2179" w:type="pct"/>
                  <w:tcBorders>
                    <w:tl2br w:val="nil"/>
                    <w:tr2bl w:val="nil"/>
                  </w:tcBorders>
                  <w:noWrap w:val="0"/>
                  <w:vAlign w:val="center"/>
                </w:tcPr>
                <w:p w14:paraId="6A111831">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实行雨污分流制，生产废水经沉淀池处理后与经化粪池处理后的生活污水一起接入</w:t>
                  </w:r>
                  <w:r>
                    <w:rPr>
                      <w:rFonts w:hint="eastAsia" w:cs="Times New Roman"/>
                      <w:b w:val="0"/>
                      <w:bCs/>
                      <w:color w:val="auto"/>
                      <w:sz w:val="21"/>
                      <w:szCs w:val="21"/>
                      <w:lang w:val="en-US" w:eastAsia="zh-CN"/>
                    </w:rPr>
                    <w:t>园区</w:t>
                  </w:r>
                  <w:r>
                    <w:rPr>
                      <w:rFonts w:hint="eastAsia" w:ascii="Times New Roman" w:hAnsi="Times New Roman" w:eastAsia="宋体" w:cs="Times New Roman"/>
                      <w:b w:val="0"/>
                      <w:bCs/>
                      <w:color w:val="auto"/>
                      <w:sz w:val="21"/>
                      <w:szCs w:val="21"/>
                      <w:lang w:val="en-US" w:eastAsia="zh-CN"/>
                    </w:rPr>
                    <w:t>污水管网，进入</w:t>
                  </w:r>
                  <w:r>
                    <w:rPr>
                      <w:rFonts w:hint="eastAsia"/>
                    </w:rPr>
                    <w:t>安徽淮相科技发展有限公司第二污水处理厂</w:t>
                  </w:r>
                  <w:r>
                    <w:rPr>
                      <w:rFonts w:hint="eastAsia" w:ascii="Times New Roman" w:hAnsi="Times New Roman" w:eastAsia="宋体" w:cs="Times New Roman"/>
                      <w:b w:val="0"/>
                      <w:bCs/>
                      <w:color w:val="auto"/>
                      <w:sz w:val="21"/>
                      <w:szCs w:val="21"/>
                      <w:lang w:val="en-US" w:eastAsia="zh-CN"/>
                    </w:rPr>
                    <w:t>处理后，满足《城镇污水处理厂污染物排放标准》（GB18918-2002）一级A标准后，排入老濉河</w:t>
                  </w:r>
                </w:p>
              </w:tc>
              <w:tc>
                <w:tcPr>
                  <w:tcW w:w="1925" w:type="pct"/>
                  <w:tcBorders>
                    <w:tl2br w:val="nil"/>
                    <w:tr2bl w:val="nil"/>
                  </w:tcBorders>
                  <w:noWrap w:val="0"/>
                  <w:vAlign w:val="center"/>
                </w:tcPr>
                <w:p w14:paraId="01143FC7">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color w:val="auto"/>
                      <w:kern w:val="44"/>
                      <w:sz w:val="21"/>
                      <w:szCs w:val="21"/>
                      <w:lang w:val="en-US" w:eastAsia="zh-CN" w:bidi="ar-SA"/>
                    </w:rPr>
                  </w:pPr>
                  <w:r>
                    <w:rPr>
                      <w:rFonts w:hint="eastAsia" w:ascii="Times New Roman" w:hAnsi="Times New Roman" w:eastAsia="宋体" w:cs="Times New Roman"/>
                      <w:b w:val="0"/>
                      <w:bCs/>
                      <w:color w:val="auto"/>
                      <w:kern w:val="44"/>
                      <w:sz w:val="21"/>
                      <w:szCs w:val="21"/>
                      <w:lang w:val="en-US" w:eastAsia="zh-CN" w:bidi="ar-SA"/>
                    </w:rPr>
                    <w:t>依托</w:t>
                  </w:r>
                  <w:r>
                    <w:rPr>
                      <w:rFonts w:hint="default"/>
                    </w:rPr>
                    <w:t>现有处理和排放设施</w:t>
                  </w:r>
                </w:p>
              </w:tc>
            </w:tr>
            <w:tr w14:paraId="6F1FD5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645002DE">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p>
              </w:tc>
              <w:tc>
                <w:tcPr>
                  <w:tcW w:w="445" w:type="pct"/>
                  <w:vMerge w:val="restart"/>
                  <w:tcBorders>
                    <w:tl2br w:val="nil"/>
                    <w:tr2bl w:val="nil"/>
                  </w:tcBorders>
                  <w:noWrap w:val="0"/>
                  <w:vAlign w:val="center"/>
                </w:tcPr>
                <w:p w14:paraId="3FF30322">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废气治理</w:t>
                  </w:r>
                </w:p>
              </w:tc>
              <w:tc>
                <w:tcPr>
                  <w:tcW w:w="2179" w:type="pct"/>
                  <w:tcBorders>
                    <w:tl2br w:val="nil"/>
                    <w:tr2bl w:val="nil"/>
                  </w:tcBorders>
                  <w:noWrap w:val="0"/>
                  <w:vAlign w:val="center"/>
                </w:tcPr>
                <w:p w14:paraId="6A42A45F">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宋体" w:hAnsi="宋体" w:cs="宋体"/>
                      <w:color w:val="000000"/>
                      <w:kern w:val="0"/>
                      <w:sz w:val="21"/>
                      <w:szCs w:val="21"/>
                      <w:lang w:val="en-US" w:eastAsia="zh-CN" w:bidi="ar"/>
                    </w:rPr>
                    <w:t>/</w:t>
                  </w:r>
                </w:p>
              </w:tc>
              <w:tc>
                <w:tcPr>
                  <w:tcW w:w="1925" w:type="pct"/>
                  <w:tcBorders>
                    <w:tl2br w:val="nil"/>
                    <w:tr2bl w:val="nil"/>
                  </w:tcBorders>
                  <w:noWrap w:val="0"/>
                  <w:vAlign w:val="center"/>
                </w:tcPr>
                <w:p w14:paraId="0B65478A">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eastAsia" w:ascii="宋体" w:hAnsi="宋体" w:cs="宋体"/>
                      <w:color w:val="000000"/>
                      <w:kern w:val="0"/>
                      <w:szCs w:val="21"/>
                      <w:lang w:bidi="ar"/>
                    </w:rPr>
                    <w:t>粉碎粉尘经粉碎机自带的布袋除尘器（除尘效率按</w:t>
                  </w:r>
                  <w:r>
                    <w:rPr>
                      <w:rFonts w:hint="default" w:ascii="Times New Roman" w:hAnsi="Times New Roman" w:cs="Times New Roman"/>
                      <w:color w:val="000000"/>
                      <w:kern w:val="0"/>
                      <w:szCs w:val="21"/>
                      <w:lang w:bidi="ar"/>
                    </w:rPr>
                    <w:t>95%</w:t>
                  </w:r>
                  <w:r>
                    <w:rPr>
                      <w:rFonts w:hint="eastAsia" w:ascii="宋体" w:hAnsi="宋体" w:cs="宋体"/>
                      <w:color w:val="000000"/>
                      <w:kern w:val="0"/>
                      <w:szCs w:val="21"/>
                      <w:lang w:bidi="ar"/>
                    </w:rPr>
                    <w:t>）处理后，在车间内无组织排放</w:t>
                  </w:r>
                </w:p>
              </w:tc>
            </w:tr>
            <w:tr w14:paraId="2FAE5C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5B28FB11">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p>
              </w:tc>
              <w:tc>
                <w:tcPr>
                  <w:tcW w:w="445" w:type="pct"/>
                  <w:vMerge w:val="continue"/>
                  <w:tcBorders>
                    <w:tl2br w:val="nil"/>
                    <w:tr2bl w:val="nil"/>
                  </w:tcBorders>
                  <w:noWrap w:val="0"/>
                  <w:vAlign w:val="center"/>
                </w:tcPr>
                <w:p w14:paraId="26B39923">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p>
              </w:tc>
              <w:tc>
                <w:tcPr>
                  <w:tcW w:w="2179" w:type="pct"/>
                  <w:tcBorders>
                    <w:tl2br w:val="nil"/>
                    <w:tr2bl w:val="nil"/>
                  </w:tcBorders>
                  <w:noWrap w:val="0"/>
                  <w:vAlign w:val="center"/>
                </w:tcPr>
                <w:p w14:paraId="70696B75">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宋体" w:hAnsi="宋体" w:cs="宋体"/>
                      <w:color w:val="000000"/>
                      <w:kern w:val="0"/>
                      <w:sz w:val="21"/>
                      <w:szCs w:val="21"/>
                      <w:lang w:val="en-US" w:eastAsia="zh-CN" w:bidi="ar"/>
                    </w:rPr>
                  </w:pPr>
                  <w:r>
                    <w:rPr>
                      <w:rFonts w:hint="eastAsia" w:cs="Times New Roman"/>
                      <w:color w:val="auto"/>
                      <w:lang w:val="en-US" w:eastAsia="zh-CN"/>
                    </w:rPr>
                    <w:t>配料粉尘采取配料间封闭、定期清扫地面措施</w:t>
                  </w:r>
                </w:p>
              </w:tc>
              <w:tc>
                <w:tcPr>
                  <w:tcW w:w="1925" w:type="pct"/>
                  <w:tcBorders>
                    <w:tl2br w:val="nil"/>
                    <w:tr2bl w:val="nil"/>
                  </w:tcBorders>
                  <w:noWrap w:val="0"/>
                  <w:vAlign w:val="center"/>
                </w:tcPr>
                <w:p w14:paraId="3FCDBB0A">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cs="宋体"/>
                      <w:color w:val="000000"/>
                      <w:kern w:val="0"/>
                      <w:sz w:val="21"/>
                      <w:szCs w:val="21"/>
                      <w:lang w:val="en-US" w:eastAsia="zh-CN" w:bidi="ar"/>
                    </w:rPr>
                  </w:pPr>
                  <w:r>
                    <w:rPr>
                      <w:rFonts w:hint="eastAsia" w:cs="Times New Roman"/>
                      <w:color w:val="auto"/>
                      <w:lang w:val="en-US" w:eastAsia="zh-CN"/>
                    </w:rPr>
                    <w:t>配料粉尘采取配料间封闭、定期清扫地面措施</w:t>
                  </w:r>
                </w:p>
              </w:tc>
            </w:tr>
            <w:tr w14:paraId="71F65E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498FB6A6">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p>
              </w:tc>
              <w:tc>
                <w:tcPr>
                  <w:tcW w:w="445" w:type="pct"/>
                  <w:vMerge w:val="continue"/>
                  <w:tcBorders>
                    <w:tl2br w:val="nil"/>
                    <w:tr2bl w:val="nil"/>
                  </w:tcBorders>
                  <w:noWrap w:val="0"/>
                  <w:vAlign w:val="center"/>
                </w:tcPr>
                <w:p w14:paraId="2F332091">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p>
              </w:tc>
              <w:tc>
                <w:tcPr>
                  <w:tcW w:w="2179" w:type="pct"/>
                  <w:tcBorders>
                    <w:tl2br w:val="nil"/>
                    <w:tr2bl w:val="nil"/>
                  </w:tcBorders>
                  <w:noWrap w:val="0"/>
                  <w:vAlign w:val="center"/>
                </w:tcPr>
                <w:p w14:paraId="004C268E">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膨化、烘烤产生的油烟废气：产生量极少，车间内无组织排放</w:t>
                  </w:r>
                </w:p>
              </w:tc>
              <w:tc>
                <w:tcPr>
                  <w:tcW w:w="1925" w:type="pct"/>
                  <w:tcBorders>
                    <w:tl2br w:val="nil"/>
                    <w:tr2bl w:val="nil"/>
                  </w:tcBorders>
                  <w:noWrap w:val="0"/>
                  <w:vAlign w:val="center"/>
                </w:tcPr>
                <w:p w14:paraId="361E967E">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cs="Times New Roman"/>
                      <w:color w:val="auto"/>
                      <w:lang w:val="en-US" w:eastAsia="zh-CN"/>
                    </w:rPr>
                  </w:pPr>
                  <w:r>
                    <w:rPr>
                      <w:rFonts w:hint="eastAsia" w:cs="Times New Roman"/>
                      <w:color w:val="auto"/>
                      <w:lang w:val="en-US" w:eastAsia="zh-CN"/>
                    </w:rPr>
                    <w:t>膨化、烘烤产生的油烟废气：产生量极少，车间内无组织排放</w:t>
                  </w:r>
                </w:p>
              </w:tc>
            </w:tr>
            <w:tr w14:paraId="51E2DE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5CB6C743">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p>
              </w:tc>
              <w:tc>
                <w:tcPr>
                  <w:tcW w:w="445" w:type="pct"/>
                  <w:vMerge w:val="continue"/>
                  <w:tcBorders>
                    <w:tl2br w:val="nil"/>
                    <w:tr2bl w:val="nil"/>
                  </w:tcBorders>
                  <w:noWrap w:val="0"/>
                  <w:vAlign w:val="center"/>
                </w:tcPr>
                <w:p w14:paraId="485BEA01">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p>
              </w:tc>
              <w:tc>
                <w:tcPr>
                  <w:tcW w:w="2179" w:type="pct"/>
                  <w:tcBorders>
                    <w:tl2br w:val="nil"/>
                    <w:tr2bl w:val="nil"/>
                  </w:tcBorders>
                  <w:noWrap w:val="0"/>
                  <w:vAlign w:val="center"/>
                </w:tcPr>
                <w:p w14:paraId="48B42382">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w:t>
                  </w:r>
                </w:p>
              </w:tc>
              <w:tc>
                <w:tcPr>
                  <w:tcW w:w="1925" w:type="pct"/>
                  <w:tcBorders>
                    <w:tl2br w:val="nil"/>
                    <w:tr2bl w:val="nil"/>
                  </w:tcBorders>
                  <w:noWrap w:val="0"/>
                  <w:vAlign w:val="center"/>
                </w:tcPr>
                <w:p w14:paraId="09D1193B">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cs="Times New Roman"/>
                      <w:color w:val="auto"/>
                      <w:lang w:val="en-US" w:eastAsia="zh-CN"/>
                    </w:rPr>
                  </w:pPr>
                  <w:r>
                    <w:rPr>
                      <w:rFonts w:hint="eastAsia" w:cs="Times New Roman"/>
                      <w:color w:val="auto"/>
                      <w:lang w:val="en-US" w:eastAsia="zh-CN"/>
                    </w:rPr>
                    <w:t>泡芙调味产生的油雾废气：采取车间封闭、定期清理地面</w:t>
                  </w:r>
                </w:p>
              </w:tc>
            </w:tr>
            <w:tr w14:paraId="1EDC80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48DA6126">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p>
              </w:tc>
              <w:tc>
                <w:tcPr>
                  <w:tcW w:w="445" w:type="pct"/>
                  <w:vMerge w:val="continue"/>
                  <w:tcBorders>
                    <w:tl2br w:val="nil"/>
                    <w:tr2bl w:val="nil"/>
                  </w:tcBorders>
                  <w:noWrap w:val="0"/>
                  <w:vAlign w:val="center"/>
                </w:tcPr>
                <w:p w14:paraId="212ACDA4">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p>
              </w:tc>
              <w:tc>
                <w:tcPr>
                  <w:tcW w:w="2179" w:type="pct"/>
                  <w:tcBorders>
                    <w:tl2br w:val="nil"/>
                    <w:tr2bl w:val="nil"/>
                  </w:tcBorders>
                  <w:noWrap w:val="0"/>
                  <w:vAlign w:val="center"/>
                </w:tcPr>
                <w:p w14:paraId="146B3723">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污水预处理设施产生的臭气：加盖后无组织排放，定时投放除臭剂</w:t>
                  </w:r>
                </w:p>
              </w:tc>
              <w:tc>
                <w:tcPr>
                  <w:tcW w:w="1925" w:type="pct"/>
                  <w:tcBorders>
                    <w:tl2br w:val="nil"/>
                    <w:tr2bl w:val="nil"/>
                  </w:tcBorders>
                  <w:noWrap w:val="0"/>
                  <w:vAlign w:val="center"/>
                </w:tcPr>
                <w:p w14:paraId="35CE7967">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鱼、虾清洗产生的臭气：加强车间通风，定期在车间周围喷洒微生物除臭剂；污水预处理设施产生的臭气：</w:t>
                  </w:r>
                  <w:r>
                    <w:rPr>
                      <w:rFonts w:hint="eastAsia" w:ascii="宋体" w:hAnsi="宋体" w:cs="宋体"/>
                      <w:color w:val="000000"/>
                      <w:kern w:val="0"/>
                      <w:szCs w:val="21"/>
                      <w:lang w:bidi="ar"/>
                    </w:rPr>
                    <w:t>加盖后无组织排放，定时投放除臭剂</w:t>
                  </w:r>
                  <w:r>
                    <w:rPr>
                      <w:rFonts w:hint="eastAsia" w:ascii="宋体" w:hAnsi="宋体" w:cs="宋体"/>
                      <w:color w:val="000000"/>
                      <w:kern w:val="0"/>
                      <w:szCs w:val="21"/>
                      <w:lang w:eastAsia="zh-CN" w:bidi="ar"/>
                    </w:rPr>
                    <w:t>。</w:t>
                  </w:r>
                </w:p>
              </w:tc>
            </w:tr>
            <w:tr w14:paraId="75E72D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4" w:hRule="atLeast"/>
              </w:trPr>
              <w:tc>
                <w:tcPr>
                  <w:tcW w:w="449" w:type="pct"/>
                  <w:vMerge w:val="continue"/>
                  <w:tcBorders>
                    <w:tl2br w:val="nil"/>
                    <w:tr2bl w:val="nil"/>
                  </w:tcBorders>
                  <w:noWrap w:val="0"/>
                  <w:vAlign w:val="center"/>
                </w:tcPr>
                <w:p w14:paraId="5EEB7239">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p>
              </w:tc>
              <w:tc>
                <w:tcPr>
                  <w:tcW w:w="445" w:type="pct"/>
                  <w:tcBorders>
                    <w:tl2br w:val="nil"/>
                    <w:tr2bl w:val="nil"/>
                  </w:tcBorders>
                  <w:noWrap w:val="0"/>
                  <w:vAlign w:val="center"/>
                </w:tcPr>
                <w:p w14:paraId="766E101B">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噪声治理</w:t>
                  </w:r>
                </w:p>
              </w:tc>
              <w:tc>
                <w:tcPr>
                  <w:tcW w:w="2179" w:type="pct"/>
                  <w:tcBorders>
                    <w:tl2br w:val="nil"/>
                    <w:tr2bl w:val="nil"/>
                  </w:tcBorders>
                  <w:noWrap w:val="0"/>
                  <w:vAlign w:val="center"/>
                </w:tcPr>
                <w:p w14:paraId="2E9DDB35">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设备均设置在室内；选用低噪声设备，合理布局、基础减振、距离衰减</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并在高噪声设备底部安装减振垫</w:t>
                  </w:r>
                </w:p>
              </w:tc>
              <w:tc>
                <w:tcPr>
                  <w:tcW w:w="1925" w:type="pct"/>
                  <w:tcBorders>
                    <w:tl2br w:val="nil"/>
                    <w:tr2bl w:val="nil"/>
                  </w:tcBorders>
                  <w:noWrap w:val="0"/>
                  <w:vAlign w:val="center"/>
                </w:tcPr>
                <w:p w14:paraId="5ABFC935">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设备均设置在室内；选用低噪声设备，合理布局、基础减振、距离衰减</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并在高噪声设备底部安装减振垫</w:t>
                  </w:r>
                </w:p>
              </w:tc>
            </w:tr>
            <w:tr w14:paraId="4FF72F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3710E4B4">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p>
              </w:tc>
              <w:tc>
                <w:tcPr>
                  <w:tcW w:w="445" w:type="pct"/>
                  <w:vMerge w:val="restart"/>
                  <w:tcBorders>
                    <w:tl2br w:val="nil"/>
                    <w:tr2bl w:val="nil"/>
                  </w:tcBorders>
                  <w:noWrap w:val="0"/>
                  <w:vAlign w:val="center"/>
                </w:tcPr>
                <w:p w14:paraId="5C1901F4">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固废治理</w:t>
                  </w:r>
                </w:p>
              </w:tc>
              <w:tc>
                <w:tcPr>
                  <w:tcW w:w="2179" w:type="pct"/>
                  <w:tcBorders>
                    <w:tl2br w:val="nil"/>
                    <w:tr2bl w:val="nil"/>
                  </w:tcBorders>
                  <w:noWrap w:val="0"/>
                  <w:vAlign w:val="center"/>
                </w:tcPr>
                <w:p w14:paraId="099CE7DC">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r>
                    <w:rPr>
                      <w:rFonts w:hint="eastAsia" w:ascii="Times New Roman" w:hAnsi="Times New Roman" w:cs="Times New Roman"/>
                      <w:sz w:val="21"/>
                      <w:szCs w:val="21"/>
                      <w:lang w:val="en-US" w:eastAsia="zh-CN"/>
                    </w:rPr>
                    <w:t>生活垃圾</w:t>
                  </w:r>
                  <w:r>
                    <w:rPr>
                      <w:rFonts w:hint="eastAsia" w:cs="Times New Roman"/>
                      <w:sz w:val="21"/>
                      <w:szCs w:val="21"/>
                      <w:lang w:val="en-US" w:eastAsia="zh-CN"/>
                    </w:rPr>
                    <w:t>、废毛巾</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定点设置垃圾桶</w:t>
                  </w:r>
                  <w:r>
                    <w:rPr>
                      <w:rFonts w:hint="eastAsia" w:ascii="Times New Roman" w:hAnsi="Times New Roman" w:cs="Times New Roman"/>
                      <w:sz w:val="21"/>
                      <w:szCs w:val="21"/>
                      <w:lang w:eastAsia="zh-CN"/>
                    </w:rPr>
                    <w:t>，</w:t>
                  </w:r>
                  <w:r>
                    <w:rPr>
                      <w:rFonts w:hint="default" w:ascii="Times New Roman" w:hAnsi="Times New Roman" w:eastAsia="宋体" w:cs="Times New Roman"/>
                      <w:b w:val="0"/>
                      <w:bCs/>
                      <w:color w:val="auto"/>
                      <w:sz w:val="21"/>
                      <w:szCs w:val="21"/>
                    </w:rPr>
                    <w:t>经收集后由环卫部门统一清运处理</w:t>
                  </w:r>
                </w:p>
              </w:tc>
              <w:tc>
                <w:tcPr>
                  <w:tcW w:w="1925" w:type="pct"/>
                  <w:tcBorders>
                    <w:tl2br w:val="nil"/>
                    <w:tr2bl w:val="nil"/>
                  </w:tcBorders>
                  <w:noWrap w:val="0"/>
                  <w:vAlign w:val="center"/>
                </w:tcPr>
                <w:p w14:paraId="76877961">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color w:val="auto"/>
                      <w:kern w:val="44"/>
                      <w:sz w:val="21"/>
                      <w:szCs w:val="21"/>
                      <w:lang w:val="en-US" w:eastAsia="zh-CN" w:bidi="ar-SA"/>
                    </w:rPr>
                  </w:pPr>
                  <w:r>
                    <w:rPr>
                      <w:rFonts w:hint="eastAsia" w:cs="Times New Roman"/>
                      <w:sz w:val="21"/>
                      <w:szCs w:val="21"/>
                      <w:lang w:val="en-US" w:eastAsia="zh-CN"/>
                    </w:rPr>
                    <w:t>生活垃圾、废毛巾：</w:t>
                  </w:r>
                  <w:r>
                    <w:rPr>
                      <w:rFonts w:hint="eastAsia" w:ascii="Times New Roman" w:hAnsi="Times New Roman" w:eastAsia="宋体" w:cs="Times New Roman"/>
                      <w:sz w:val="21"/>
                      <w:szCs w:val="21"/>
                      <w:lang w:val="en-US" w:eastAsia="zh-CN"/>
                    </w:rPr>
                    <w:t>定点设置垃圾桶，经收集后由环卫部门统一清运处理</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依托</w:t>
                  </w:r>
                  <w:r>
                    <w:rPr>
                      <w:rFonts w:hint="eastAsia"/>
                      <w:lang w:val="en-US" w:eastAsia="zh-CN"/>
                    </w:rPr>
                    <w:t>现有）</w:t>
                  </w:r>
                </w:p>
              </w:tc>
            </w:tr>
            <w:tr w14:paraId="5F6C7E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7F2F82FE">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rPr>
                  </w:pPr>
                </w:p>
              </w:tc>
              <w:tc>
                <w:tcPr>
                  <w:tcW w:w="445" w:type="pct"/>
                  <w:vMerge w:val="continue"/>
                  <w:tcBorders>
                    <w:tl2br w:val="nil"/>
                    <w:tr2bl w:val="nil"/>
                  </w:tcBorders>
                  <w:noWrap w:val="0"/>
                  <w:vAlign w:val="center"/>
                </w:tcPr>
                <w:p w14:paraId="25AEBAF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179" w:type="pct"/>
                  <w:tcBorders>
                    <w:tl2br w:val="nil"/>
                    <w:tr2bl w:val="nil"/>
                  </w:tcBorders>
                  <w:noWrap w:val="0"/>
                  <w:vAlign w:val="center"/>
                </w:tcPr>
                <w:p w14:paraId="4454CC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废包装材料：</w:t>
                  </w:r>
                  <w:r>
                    <w:rPr>
                      <w:rFonts w:hint="default" w:ascii="Times New Roman" w:hAnsi="Times New Roman" w:cs="Times New Roman"/>
                      <w:color w:val="auto"/>
                      <w:sz w:val="21"/>
                      <w:szCs w:val="21"/>
                    </w:rPr>
                    <w:t>暂存于</w:t>
                  </w:r>
                  <w:r>
                    <w:rPr>
                      <w:rFonts w:hint="eastAsia" w:ascii="Times New Roman" w:hAnsi="Times New Roman" w:cs="Times New Roman"/>
                      <w:color w:val="auto"/>
                      <w:sz w:val="21"/>
                      <w:szCs w:val="21"/>
                    </w:rPr>
                    <w:t>一般固废库</w:t>
                  </w:r>
                  <w:r>
                    <w:rPr>
                      <w:rFonts w:hint="default" w:ascii="Times New Roman" w:hAnsi="Times New Roman" w:cs="Times New Roman"/>
                      <w:color w:val="auto"/>
                      <w:sz w:val="21"/>
                      <w:szCs w:val="21"/>
                    </w:rPr>
                    <w:t>，定期外售</w:t>
                  </w:r>
                  <w:r>
                    <w:rPr>
                      <w:rFonts w:hint="eastAsia" w:ascii="宋体" w:hAnsi="宋体" w:eastAsia="宋体" w:cs="宋体"/>
                      <w:color w:val="000000"/>
                      <w:kern w:val="0"/>
                      <w:sz w:val="21"/>
                      <w:szCs w:val="21"/>
                      <w:lang w:val="en-US" w:eastAsia="zh-CN" w:bidi="ar"/>
                    </w:rPr>
                    <w:t>给物资回收公司</w:t>
                  </w:r>
                </w:p>
              </w:tc>
              <w:tc>
                <w:tcPr>
                  <w:tcW w:w="1925" w:type="pct"/>
                  <w:tcBorders>
                    <w:tl2br w:val="nil"/>
                    <w:tr2bl w:val="nil"/>
                  </w:tcBorders>
                  <w:noWrap w:val="0"/>
                  <w:vAlign w:val="center"/>
                </w:tcPr>
                <w:p w14:paraId="4C870290">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auto"/>
                      <w:kern w:val="44"/>
                      <w:sz w:val="21"/>
                      <w:szCs w:val="21"/>
                      <w:lang w:val="en-US" w:eastAsia="zh-CN" w:bidi="ar-SA"/>
                    </w:rPr>
                  </w:pPr>
                  <w:r>
                    <w:rPr>
                      <w:rFonts w:hint="eastAsia" w:ascii="宋体" w:hAnsi="宋体" w:eastAsia="宋体" w:cs="宋体"/>
                      <w:color w:val="000000"/>
                      <w:kern w:val="0"/>
                      <w:sz w:val="21"/>
                      <w:szCs w:val="21"/>
                      <w:lang w:val="en-US" w:eastAsia="zh-CN" w:bidi="ar"/>
                    </w:rPr>
                    <w:t>废包装材料：暂存于一般固废库（依托现有），定期外售给物资回收公司</w:t>
                  </w:r>
                </w:p>
              </w:tc>
            </w:tr>
            <w:tr w14:paraId="13BCA1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66438AC8">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rPr>
                  </w:pPr>
                </w:p>
              </w:tc>
              <w:tc>
                <w:tcPr>
                  <w:tcW w:w="445" w:type="pct"/>
                  <w:vMerge w:val="continue"/>
                  <w:tcBorders>
                    <w:tl2br w:val="nil"/>
                    <w:tr2bl w:val="nil"/>
                  </w:tcBorders>
                  <w:noWrap w:val="0"/>
                  <w:vAlign w:val="center"/>
                </w:tcPr>
                <w:p w14:paraId="7ADB5B8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179" w:type="pct"/>
                  <w:tcBorders>
                    <w:tl2br w:val="nil"/>
                    <w:tr2bl w:val="nil"/>
                  </w:tcBorders>
                  <w:noWrap w:val="0"/>
                  <w:vAlign w:val="center"/>
                </w:tcPr>
                <w:p w14:paraId="47012710">
                  <w:pPr>
                    <w:keepNext w:val="0"/>
                    <w:keepLines w:val="0"/>
                    <w:widowControl/>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过筛物料：统一收集后回用于生产线</w:t>
                  </w:r>
                </w:p>
              </w:tc>
              <w:tc>
                <w:tcPr>
                  <w:tcW w:w="1925" w:type="pct"/>
                  <w:tcBorders>
                    <w:tl2br w:val="nil"/>
                    <w:tr2bl w:val="nil"/>
                  </w:tcBorders>
                  <w:noWrap w:val="0"/>
                  <w:vAlign w:val="center"/>
                </w:tcPr>
                <w:p w14:paraId="140FAFE2">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过筛物料：统一收集后回用于生产线</w:t>
                  </w:r>
                </w:p>
              </w:tc>
            </w:tr>
            <w:tr w14:paraId="5AED78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25D7C6BB">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rPr>
                  </w:pPr>
                </w:p>
              </w:tc>
              <w:tc>
                <w:tcPr>
                  <w:tcW w:w="445" w:type="pct"/>
                  <w:vMerge w:val="continue"/>
                  <w:tcBorders>
                    <w:tl2br w:val="nil"/>
                    <w:tr2bl w:val="nil"/>
                  </w:tcBorders>
                  <w:noWrap w:val="0"/>
                  <w:vAlign w:val="center"/>
                </w:tcPr>
                <w:p w14:paraId="2AF7454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179" w:type="pct"/>
                  <w:tcBorders>
                    <w:tl2br w:val="nil"/>
                    <w:tr2bl w:val="nil"/>
                  </w:tcBorders>
                  <w:noWrap w:val="0"/>
                  <w:vAlign w:val="center"/>
                </w:tcPr>
                <w:p w14:paraId="2B4738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杂质、</w:t>
                  </w:r>
                  <w:r>
                    <w:rPr>
                      <w:rFonts w:hint="eastAsia" w:ascii="Times New Roman" w:hAnsi="Times New Roman" w:cs="Times New Roman"/>
                      <w:color w:val="auto"/>
                      <w:sz w:val="21"/>
                      <w:szCs w:val="21"/>
                      <w:lang w:val="en-US" w:eastAsia="zh-CN"/>
                    </w:rPr>
                    <w:t>除尘器收集粉尘、</w:t>
                  </w:r>
                  <w:r>
                    <w:rPr>
                      <w:rFonts w:hint="eastAsia" w:cs="Times New Roman"/>
                      <w:color w:val="auto"/>
                      <w:sz w:val="21"/>
                      <w:szCs w:val="21"/>
                      <w:lang w:val="en-US" w:eastAsia="zh-CN"/>
                    </w:rPr>
                    <w:t>地面清扫粉尘、</w:t>
                  </w:r>
                  <w:r>
                    <w:rPr>
                      <w:rFonts w:hint="eastAsia" w:ascii="Times New Roman" w:hAnsi="Times New Roman" w:cs="Times New Roman"/>
                      <w:color w:val="auto"/>
                      <w:sz w:val="21"/>
                      <w:szCs w:val="21"/>
                      <w:lang w:val="en-US" w:eastAsia="zh-CN"/>
                    </w:rPr>
                    <w:t>不合格品：</w:t>
                  </w:r>
                  <w:r>
                    <w:rPr>
                      <w:rFonts w:hint="default" w:ascii="Times New Roman" w:hAnsi="Times New Roman" w:cs="Times New Roman"/>
                      <w:color w:val="auto"/>
                      <w:sz w:val="21"/>
                      <w:szCs w:val="21"/>
                    </w:rPr>
                    <w:t>暂存于</w:t>
                  </w:r>
                  <w:r>
                    <w:rPr>
                      <w:rFonts w:hint="eastAsia" w:ascii="Times New Roman" w:hAnsi="Times New Roman" w:cs="Times New Roman"/>
                      <w:color w:val="auto"/>
                      <w:sz w:val="21"/>
                      <w:szCs w:val="21"/>
                    </w:rPr>
                    <w:t>一般固废库</w:t>
                  </w:r>
                  <w:r>
                    <w:rPr>
                      <w:rFonts w:hint="eastAsia" w:ascii="Times New Roman" w:hAnsi="Times New Roman" w:cs="Times New Roman"/>
                      <w:color w:val="auto"/>
                      <w:sz w:val="21"/>
                      <w:szCs w:val="21"/>
                      <w:lang w:val="en-US" w:eastAsia="zh-CN"/>
                    </w:rPr>
                    <w:t>，定期</w:t>
                  </w:r>
                  <w:r>
                    <w:rPr>
                      <w:rFonts w:hint="eastAsia" w:ascii="宋体" w:hAnsi="宋体" w:eastAsia="宋体" w:cs="宋体"/>
                      <w:color w:val="000000"/>
                      <w:kern w:val="0"/>
                      <w:sz w:val="21"/>
                      <w:szCs w:val="21"/>
                      <w:lang w:val="en-US" w:eastAsia="zh-CN" w:bidi="ar"/>
                    </w:rPr>
                    <w:t>外售给饲料生产公司</w:t>
                  </w:r>
                </w:p>
              </w:tc>
              <w:tc>
                <w:tcPr>
                  <w:tcW w:w="1925" w:type="pct"/>
                  <w:tcBorders>
                    <w:tl2br w:val="nil"/>
                    <w:tr2bl w:val="nil"/>
                  </w:tcBorders>
                  <w:noWrap w:val="0"/>
                  <w:vAlign w:val="center"/>
                </w:tcPr>
                <w:p w14:paraId="2C9D63E1">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bCs/>
                      <w:color w:val="auto"/>
                      <w:kern w:val="44"/>
                      <w:sz w:val="21"/>
                      <w:szCs w:val="21"/>
                      <w:lang w:val="en-US" w:eastAsia="zh-CN" w:bidi="ar-SA"/>
                    </w:rPr>
                  </w:pPr>
                  <w:r>
                    <w:rPr>
                      <w:rFonts w:hint="eastAsia" w:cs="Times New Roman"/>
                      <w:color w:val="auto"/>
                      <w:sz w:val="21"/>
                      <w:szCs w:val="21"/>
                      <w:lang w:val="en-US" w:eastAsia="zh-CN"/>
                    </w:rPr>
                    <w:t>杂质、</w:t>
                  </w:r>
                  <w:r>
                    <w:rPr>
                      <w:rFonts w:hint="eastAsia" w:ascii="Times New Roman" w:hAnsi="Times New Roman" w:eastAsia="宋体" w:cs="Times New Roman"/>
                      <w:color w:val="auto"/>
                      <w:sz w:val="21"/>
                      <w:szCs w:val="21"/>
                      <w:lang w:val="en-US" w:eastAsia="zh-CN"/>
                    </w:rPr>
                    <w:t>除尘器收集粉尘、</w:t>
                  </w:r>
                  <w:r>
                    <w:rPr>
                      <w:rFonts w:hint="eastAsia" w:cs="Times New Roman"/>
                      <w:color w:val="auto"/>
                      <w:sz w:val="21"/>
                      <w:szCs w:val="21"/>
                      <w:lang w:val="en-US" w:eastAsia="zh-CN"/>
                    </w:rPr>
                    <w:t>地面清扫粉尘、</w:t>
                  </w:r>
                  <w:r>
                    <w:rPr>
                      <w:rFonts w:hint="eastAsia" w:ascii="Times New Roman" w:hAnsi="Times New Roman" w:eastAsia="宋体" w:cs="Times New Roman"/>
                      <w:color w:val="auto"/>
                      <w:sz w:val="21"/>
                      <w:szCs w:val="21"/>
                      <w:lang w:val="en-US" w:eastAsia="zh-CN"/>
                    </w:rPr>
                    <w:t>不合格品：暂存于一般固废库（依托现有），定期外售给饲料生产公司</w:t>
                  </w:r>
                </w:p>
              </w:tc>
            </w:tr>
            <w:tr w14:paraId="6ECA14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36CBB699">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rPr>
                  </w:pPr>
                </w:p>
              </w:tc>
              <w:tc>
                <w:tcPr>
                  <w:tcW w:w="445" w:type="pct"/>
                  <w:vMerge w:val="continue"/>
                  <w:tcBorders>
                    <w:tl2br w:val="nil"/>
                    <w:tr2bl w:val="nil"/>
                  </w:tcBorders>
                  <w:noWrap w:val="0"/>
                  <w:vAlign w:val="center"/>
                </w:tcPr>
                <w:p w14:paraId="6C6C439D">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p>
              </w:tc>
              <w:tc>
                <w:tcPr>
                  <w:tcW w:w="2179" w:type="pct"/>
                  <w:tcBorders>
                    <w:tl2br w:val="nil"/>
                    <w:tr2bl w:val="nil"/>
                  </w:tcBorders>
                  <w:noWrap w:val="0"/>
                  <w:vAlign w:val="center"/>
                </w:tcPr>
                <w:p w14:paraId="609002E6">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废布袋：</w:t>
                  </w:r>
                  <w:r>
                    <w:rPr>
                      <w:rFonts w:hint="eastAsia"/>
                      <w:color w:val="000000" w:themeColor="text1"/>
                      <w:sz w:val="21"/>
                      <w:szCs w:val="21"/>
                      <w:lang w:val="en-US" w:eastAsia="zh-CN"/>
                      <w14:textFill>
                        <w14:solidFill>
                          <w14:schemeClr w14:val="tx1"/>
                        </w14:solidFill>
                      </w14:textFill>
                    </w:rPr>
                    <w:t>收集后</w:t>
                  </w:r>
                  <w:r>
                    <w:rPr>
                      <w:rFonts w:hint="eastAsia"/>
                      <w:color w:val="000000" w:themeColor="text1"/>
                      <w:sz w:val="21"/>
                      <w:szCs w:val="21"/>
                      <w:lang w:eastAsia="zh-CN"/>
                      <w14:textFill>
                        <w14:solidFill>
                          <w14:schemeClr w14:val="tx1"/>
                        </w14:solidFill>
                      </w14:textFill>
                    </w:rPr>
                    <w:t>由厂家回收再利用</w:t>
                  </w:r>
                </w:p>
              </w:tc>
              <w:tc>
                <w:tcPr>
                  <w:tcW w:w="1925" w:type="pct"/>
                  <w:tcBorders>
                    <w:tl2br w:val="nil"/>
                    <w:tr2bl w:val="nil"/>
                  </w:tcBorders>
                  <w:noWrap w:val="0"/>
                  <w:vAlign w:val="center"/>
                </w:tcPr>
                <w:p w14:paraId="48446F62">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b w:val="0"/>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废布袋：收集后</w:t>
                  </w:r>
                  <w:r>
                    <w:rPr>
                      <w:rFonts w:hint="eastAsia"/>
                      <w:color w:val="000000" w:themeColor="text1"/>
                      <w:sz w:val="21"/>
                      <w:szCs w:val="21"/>
                      <w:lang w:eastAsia="zh-CN"/>
                      <w14:textFill>
                        <w14:solidFill>
                          <w14:schemeClr w14:val="tx1"/>
                        </w14:solidFill>
                      </w14:textFill>
                    </w:rPr>
                    <w:t>由厂家回收再利用</w:t>
                  </w:r>
                </w:p>
              </w:tc>
            </w:tr>
            <w:tr w14:paraId="64021C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0C6A5BB6">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rPr>
                  </w:pPr>
                </w:p>
              </w:tc>
              <w:tc>
                <w:tcPr>
                  <w:tcW w:w="445" w:type="pct"/>
                  <w:vMerge w:val="continue"/>
                  <w:tcBorders>
                    <w:tl2br w:val="nil"/>
                    <w:tr2bl w:val="nil"/>
                  </w:tcBorders>
                  <w:noWrap w:val="0"/>
                  <w:vAlign w:val="center"/>
                </w:tcPr>
                <w:p w14:paraId="410678FD">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p>
              </w:tc>
              <w:tc>
                <w:tcPr>
                  <w:tcW w:w="2179" w:type="pct"/>
                  <w:tcBorders>
                    <w:tl2br w:val="nil"/>
                    <w:tr2bl w:val="nil"/>
                  </w:tcBorders>
                  <w:noWrap w:val="0"/>
                  <w:vAlign w:val="center"/>
                </w:tcPr>
                <w:p w14:paraId="79FC2492">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废油物：</w:t>
                  </w:r>
                  <w:r>
                    <w:rPr>
                      <w:rFonts w:hint="default" w:ascii="Times New Roman" w:hAnsi="Times New Roman" w:eastAsia="宋体" w:cs="Times New Roman"/>
                      <w:color w:val="000000" w:themeColor="text1"/>
                      <w:sz w:val="21"/>
                      <w:szCs w:val="21"/>
                      <w14:textFill>
                        <w14:solidFill>
                          <w14:schemeClr w14:val="tx1"/>
                        </w14:solidFill>
                      </w14:textFill>
                    </w:rPr>
                    <w:t>暂存于一般固废库，委托环卫部门定期清运</w:t>
                  </w:r>
                </w:p>
              </w:tc>
              <w:tc>
                <w:tcPr>
                  <w:tcW w:w="1925" w:type="pct"/>
                  <w:tcBorders>
                    <w:tl2br w:val="nil"/>
                    <w:tr2bl w:val="nil"/>
                  </w:tcBorders>
                  <w:noWrap w:val="0"/>
                  <w:vAlign w:val="center"/>
                </w:tcPr>
                <w:p w14:paraId="28DD6685">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废油物：</w:t>
                  </w:r>
                  <w:r>
                    <w:rPr>
                      <w:rFonts w:hint="default" w:ascii="Times New Roman" w:hAnsi="Times New Roman" w:eastAsia="宋体" w:cs="Times New Roman"/>
                      <w:color w:val="000000" w:themeColor="text1"/>
                      <w:sz w:val="21"/>
                      <w:szCs w:val="21"/>
                      <w14:textFill>
                        <w14:solidFill>
                          <w14:schemeClr w14:val="tx1"/>
                        </w14:solidFill>
                      </w14:textFill>
                    </w:rPr>
                    <w:t>暂存于一般固废库</w:t>
                  </w:r>
                  <w:r>
                    <w:rPr>
                      <w:rFonts w:hint="eastAsia" w:ascii="Times New Roman" w:hAnsi="Times New Roman" w:eastAsia="宋体" w:cs="Times New Roman"/>
                      <w:color w:val="auto"/>
                      <w:sz w:val="21"/>
                      <w:szCs w:val="21"/>
                      <w:lang w:val="en-US" w:eastAsia="zh-CN"/>
                    </w:rPr>
                    <w:t>（依托现有）</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委托环卫部门定期清运</w:t>
                  </w:r>
                </w:p>
              </w:tc>
            </w:tr>
            <w:tr w14:paraId="290C02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709AA49E">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rPr>
                  </w:pPr>
                </w:p>
              </w:tc>
              <w:tc>
                <w:tcPr>
                  <w:tcW w:w="445" w:type="pct"/>
                  <w:vMerge w:val="continue"/>
                  <w:tcBorders>
                    <w:tl2br w:val="nil"/>
                    <w:tr2bl w:val="nil"/>
                  </w:tcBorders>
                  <w:noWrap w:val="0"/>
                  <w:vAlign w:val="center"/>
                </w:tcPr>
                <w:p w14:paraId="010F78B2">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p>
              </w:tc>
              <w:tc>
                <w:tcPr>
                  <w:tcW w:w="2179" w:type="pct"/>
                  <w:tcBorders>
                    <w:tl2br w:val="nil"/>
                    <w:tr2bl w:val="nil"/>
                  </w:tcBorders>
                  <w:noWrap w:val="0"/>
                  <w:vAlign w:val="center"/>
                </w:tcPr>
                <w:p w14:paraId="548F599C">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沉淀池污泥：</w:t>
                  </w:r>
                  <w:r>
                    <w:rPr>
                      <w:rFonts w:hint="default" w:ascii="Times New Roman" w:hAnsi="Times New Roman" w:cs="Times New Roman"/>
                      <w:color w:val="auto"/>
                      <w:sz w:val="21"/>
                      <w:szCs w:val="21"/>
                    </w:rPr>
                    <w:t>委托环卫部门定期清运</w:t>
                  </w:r>
                </w:p>
              </w:tc>
              <w:tc>
                <w:tcPr>
                  <w:tcW w:w="1925" w:type="pct"/>
                  <w:tcBorders>
                    <w:tl2br w:val="nil"/>
                    <w:tr2bl w:val="nil"/>
                  </w:tcBorders>
                  <w:noWrap w:val="0"/>
                  <w:vAlign w:val="center"/>
                </w:tcPr>
                <w:p w14:paraId="77A531DB">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沉淀池污泥：委托环卫部门定期清运（依托现有）</w:t>
                  </w:r>
                </w:p>
              </w:tc>
            </w:tr>
            <w:tr w14:paraId="486B3D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1E0794E9">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rPr>
                  </w:pPr>
                </w:p>
              </w:tc>
              <w:tc>
                <w:tcPr>
                  <w:tcW w:w="445" w:type="pct"/>
                  <w:vMerge w:val="continue"/>
                  <w:tcBorders>
                    <w:tl2br w:val="nil"/>
                    <w:tr2bl w:val="nil"/>
                  </w:tcBorders>
                  <w:noWrap w:val="0"/>
                  <w:vAlign w:val="center"/>
                </w:tcPr>
                <w:p w14:paraId="5697FD7D">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color w:val="auto"/>
                      <w:kern w:val="2"/>
                      <w:sz w:val="21"/>
                      <w:szCs w:val="21"/>
                      <w:lang w:val="en-US" w:eastAsia="zh-CN" w:bidi="ar-SA"/>
                    </w:rPr>
                  </w:pPr>
                </w:p>
              </w:tc>
              <w:tc>
                <w:tcPr>
                  <w:tcW w:w="2179" w:type="pct"/>
                  <w:tcBorders>
                    <w:tl2br w:val="nil"/>
                    <w:tr2bl w:val="nil"/>
                  </w:tcBorders>
                  <w:noWrap w:val="0"/>
                  <w:vAlign w:val="center"/>
                </w:tcPr>
                <w:p w14:paraId="5B1013B0">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w:t>
                  </w:r>
                </w:p>
              </w:tc>
              <w:tc>
                <w:tcPr>
                  <w:tcW w:w="1925" w:type="pct"/>
                  <w:tcBorders>
                    <w:tl2br w:val="nil"/>
                    <w:tr2bl w:val="nil"/>
                  </w:tcBorders>
                  <w:noWrap w:val="0"/>
                  <w:vAlign w:val="center"/>
                </w:tcPr>
                <w:p w14:paraId="2EAB05E3">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废紫外灯管</w:t>
                  </w:r>
                  <w:r>
                    <w:rPr>
                      <w:rFonts w:hint="eastAsia" w:ascii="Times New Roman" w:hAnsi="Times New Roman" w:eastAsia="宋体" w:cs="Times New Roman"/>
                      <w:b w:val="0"/>
                      <w:bCs/>
                      <w:color w:val="auto"/>
                      <w:kern w:val="2"/>
                      <w:sz w:val="21"/>
                      <w:szCs w:val="21"/>
                      <w:lang w:val="en-US" w:eastAsia="zh-CN" w:bidi="ar-SA"/>
                    </w:rPr>
                    <w:t>：放置于危废库，委托有资质单位处理</w:t>
                  </w:r>
                </w:p>
              </w:tc>
            </w:tr>
            <w:tr w14:paraId="42C24C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79B09AB5">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rPr>
                  </w:pPr>
                </w:p>
              </w:tc>
              <w:tc>
                <w:tcPr>
                  <w:tcW w:w="445" w:type="pct"/>
                  <w:tcBorders>
                    <w:tl2br w:val="nil"/>
                    <w:tr2bl w:val="nil"/>
                  </w:tcBorders>
                  <w:noWrap w:val="0"/>
                  <w:vAlign w:val="center"/>
                </w:tcPr>
                <w:p w14:paraId="01D88FD9">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环境风险</w:t>
                  </w:r>
                </w:p>
              </w:tc>
              <w:tc>
                <w:tcPr>
                  <w:tcW w:w="2179" w:type="pct"/>
                  <w:tcBorders>
                    <w:tl2br w:val="nil"/>
                    <w:tr2bl w:val="nil"/>
                  </w:tcBorders>
                  <w:noWrap w:val="0"/>
                  <w:vAlign w:val="center"/>
                </w:tcPr>
                <w:p w14:paraId="4B073D63">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lang w:val="en-US" w:eastAsia="zh-CN" w:bidi="ar-SA"/>
                    </w:rPr>
                    <w:t>应急预案</w:t>
                  </w:r>
                  <w:r>
                    <w:rPr>
                      <w:rFonts w:hint="eastAsia" w:ascii="Times New Roman" w:hAnsi="Times New Roman" w:eastAsia="宋体" w:cs="Times New Roman"/>
                      <w:b w:val="0"/>
                      <w:bCs/>
                      <w:color w:val="auto"/>
                      <w:kern w:val="2"/>
                      <w:sz w:val="21"/>
                      <w:szCs w:val="21"/>
                      <w:lang w:val="en-US" w:eastAsia="zh-CN" w:bidi="ar-SA"/>
                    </w:rPr>
                    <w:t>（2020年）</w:t>
                  </w:r>
                  <w:r>
                    <w:rPr>
                      <w:rFonts w:hint="default" w:ascii="Times New Roman" w:hAnsi="Times New Roman" w:eastAsia="宋体" w:cs="Times New Roman"/>
                      <w:b w:val="0"/>
                      <w:bCs/>
                      <w:color w:val="auto"/>
                      <w:kern w:val="2"/>
                      <w:sz w:val="21"/>
                      <w:szCs w:val="21"/>
                      <w:lang w:val="en-US" w:eastAsia="zh-CN" w:bidi="ar-SA"/>
                    </w:rPr>
                    <w:t>、消防器材</w:t>
                  </w:r>
                </w:p>
              </w:tc>
              <w:tc>
                <w:tcPr>
                  <w:tcW w:w="1925" w:type="pct"/>
                  <w:tcBorders>
                    <w:tl2br w:val="nil"/>
                    <w:tr2bl w:val="nil"/>
                  </w:tcBorders>
                  <w:noWrap w:val="0"/>
                  <w:vAlign w:val="center"/>
                </w:tcPr>
                <w:p w14:paraId="4CD68F48">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应急预案</w:t>
                  </w:r>
                  <w:r>
                    <w:rPr>
                      <w:rFonts w:hint="eastAsia" w:ascii="Times New Roman" w:hAnsi="Times New Roman" w:eastAsia="宋体" w:cs="Times New Roman"/>
                      <w:b w:val="0"/>
                      <w:bCs/>
                      <w:color w:val="auto"/>
                      <w:kern w:val="2"/>
                      <w:sz w:val="21"/>
                      <w:szCs w:val="21"/>
                      <w:lang w:val="en-US" w:eastAsia="zh-CN" w:bidi="ar-SA"/>
                    </w:rPr>
                    <w:t>（</w:t>
                  </w:r>
                  <w:r>
                    <w:rPr>
                      <w:rFonts w:hint="eastAsia" w:cs="Times New Roman"/>
                      <w:b w:val="0"/>
                      <w:bCs/>
                      <w:color w:val="auto"/>
                      <w:kern w:val="2"/>
                      <w:sz w:val="21"/>
                      <w:szCs w:val="21"/>
                      <w:lang w:val="en-US" w:eastAsia="zh-CN" w:bidi="ar-SA"/>
                    </w:rPr>
                    <w:t>修编</w:t>
                  </w:r>
                  <w:r>
                    <w:rPr>
                      <w:rFonts w:hint="eastAsia" w:ascii="Times New Roman" w:hAnsi="Times New Roman" w:eastAsia="宋体" w:cs="Times New Roman"/>
                      <w:b w:val="0"/>
                      <w:bCs/>
                      <w:color w:val="auto"/>
                      <w:kern w:val="2"/>
                      <w:sz w:val="21"/>
                      <w:szCs w:val="21"/>
                      <w:lang w:val="en-US" w:eastAsia="zh-CN" w:bidi="ar-SA"/>
                    </w:rPr>
                    <w:t>）</w:t>
                  </w:r>
                  <w:r>
                    <w:rPr>
                      <w:rFonts w:hint="default" w:ascii="Times New Roman" w:hAnsi="Times New Roman" w:eastAsia="宋体" w:cs="Times New Roman"/>
                      <w:b w:val="0"/>
                      <w:bCs/>
                      <w:color w:val="auto"/>
                      <w:kern w:val="2"/>
                      <w:sz w:val="21"/>
                      <w:szCs w:val="21"/>
                      <w:lang w:val="en-US" w:eastAsia="zh-CN" w:bidi="ar-SA"/>
                    </w:rPr>
                    <w:t>、消防器材</w:t>
                  </w:r>
                  <w:r>
                    <w:rPr>
                      <w:rFonts w:hint="eastAsia" w:ascii="Times New Roman" w:hAnsi="Times New Roman" w:eastAsia="宋体" w:cs="Times New Roman"/>
                      <w:b w:val="0"/>
                      <w:bCs/>
                      <w:color w:val="auto"/>
                      <w:kern w:val="2"/>
                      <w:sz w:val="21"/>
                      <w:szCs w:val="21"/>
                      <w:lang w:val="en-US" w:eastAsia="zh-CN" w:bidi="ar-SA"/>
                    </w:rPr>
                    <w:t>（依托）</w:t>
                  </w:r>
                </w:p>
              </w:tc>
            </w:tr>
            <w:tr w14:paraId="512D90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49" w:type="pct"/>
                  <w:vMerge w:val="continue"/>
                  <w:tcBorders>
                    <w:tl2br w:val="nil"/>
                    <w:tr2bl w:val="nil"/>
                  </w:tcBorders>
                  <w:noWrap w:val="0"/>
                  <w:vAlign w:val="center"/>
                </w:tcPr>
                <w:p w14:paraId="771C797C">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rPr>
                  </w:pPr>
                </w:p>
              </w:tc>
              <w:tc>
                <w:tcPr>
                  <w:tcW w:w="445" w:type="pct"/>
                  <w:tcBorders>
                    <w:tl2br w:val="nil"/>
                    <w:tr2bl w:val="nil"/>
                  </w:tcBorders>
                  <w:noWrap w:val="0"/>
                  <w:vAlign w:val="center"/>
                </w:tcPr>
                <w:p w14:paraId="0675C6AA">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地下水、土壤</w:t>
                  </w:r>
                </w:p>
              </w:tc>
              <w:tc>
                <w:tcPr>
                  <w:tcW w:w="2179" w:type="pct"/>
                  <w:tcBorders>
                    <w:tl2br w:val="nil"/>
                    <w:tr2bl w:val="nil"/>
                  </w:tcBorders>
                  <w:noWrap w:val="0"/>
                  <w:vAlign w:val="center"/>
                </w:tcPr>
                <w:p w14:paraId="4EF60BAA">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生产车间、一般固废库</w:t>
                  </w:r>
                  <w:r>
                    <w:rPr>
                      <w:rFonts w:hint="eastAsia" w:cs="Times New Roman"/>
                      <w:b w:val="0"/>
                      <w:bCs/>
                      <w:color w:val="auto"/>
                      <w:sz w:val="21"/>
                      <w:szCs w:val="21"/>
                      <w:lang w:val="en-US" w:eastAsia="zh-CN"/>
                    </w:rPr>
                    <w:t>、沉淀池做一般</w:t>
                  </w:r>
                  <w:r>
                    <w:rPr>
                      <w:rFonts w:hint="default" w:ascii="Times New Roman" w:hAnsi="Times New Roman" w:eastAsia="宋体" w:cs="Times New Roman"/>
                      <w:b w:val="0"/>
                      <w:bCs/>
                      <w:color w:val="auto"/>
                      <w:sz w:val="21"/>
                      <w:szCs w:val="21"/>
                    </w:rPr>
                    <w:t>防渗</w:t>
                  </w:r>
                </w:p>
              </w:tc>
              <w:tc>
                <w:tcPr>
                  <w:tcW w:w="1925" w:type="pct"/>
                  <w:tcBorders>
                    <w:tl2br w:val="nil"/>
                    <w:tr2bl w:val="nil"/>
                  </w:tcBorders>
                  <w:noWrap w:val="0"/>
                  <w:vAlign w:val="center"/>
                </w:tcPr>
                <w:p w14:paraId="52E0223A">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生产车间、一般固废库</w:t>
                  </w:r>
                  <w:r>
                    <w:rPr>
                      <w:rFonts w:hint="eastAsia" w:cs="Times New Roman"/>
                      <w:b w:val="0"/>
                      <w:bCs/>
                      <w:color w:val="auto"/>
                      <w:sz w:val="21"/>
                      <w:szCs w:val="21"/>
                      <w:lang w:val="en-US" w:eastAsia="zh-CN"/>
                    </w:rPr>
                    <w:t>、沉淀池做一般</w:t>
                  </w:r>
                  <w:r>
                    <w:rPr>
                      <w:rFonts w:hint="default" w:ascii="Times New Roman" w:hAnsi="Times New Roman" w:eastAsia="宋体" w:cs="Times New Roman"/>
                      <w:b w:val="0"/>
                      <w:bCs/>
                      <w:color w:val="auto"/>
                      <w:sz w:val="21"/>
                      <w:szCs w:val="21"/>
                    </w:rPr>
                    <w:t>防渗</w:t>
                  </w:r>
                  <w:r>
                    <w:rPr>
                      <w:rFonts w:hint="eastAsia" w:ascii="Times New Roman" w:hAnsi="Times New Roman" w:eastAsia="宋体" w:cs="Times New Roman"/>
                      <w:b w:val="0"/>
                      <w:bCs/>
                      <w:color w:val="auto"/>
                      <w:sz w:val="21"/>
                      <w:szCs w:val="21"/>
                      <w:lang w:eastAsia="zh-CN"/>
                    </w:rPr>
                    <w:t>（</w:t>
                  </w:r>
                  <w:r>
                    <w:rPr>
                      <w:rFonts w:hint="eastAsia" w:ascii="Times New Roman" w:hAnsi="Times New Roman" w:eastAsia="宋体" w:cs="Times New Roman"/>
                      <w:b w:val="0"/>
                      <w:bCs/>
                      <w:color w:val="auto"/>
                      <w:sz w:val="21"/>
                      <w:szCs w:val="21"/>
                      <w:lang w:val="en-US" w:eastAsia="zh-CN"/>
                    </w:rPr>
                    <w:t>依托</w:t>
                  </w:r>
                  <w:r>
                    <w:rPr>
                      <w:rFonts w:hint="eastAsia" w:ascii="Times New Roman" w:hAnsi="Times New Roman" w:eastAsia="宋体" w:cs="Times New Roman"/>
                      <w:b w:val="0"/>
                      <w:bCs/>
                      <w:color w:val="auto"/>
                      <w:sz w:val="21"/>
                      <w:szCs w:val="21"/>
                      <w:lang w:eastAsia="zh-CN"/>
                    </w:rPr>
                    <w:t>）</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危废库做重点防渗</w:t>
                  </w:r>
                </w:p>
              </w:tc>
            </w:tr>
          </w:tbl>
          <w:p w14:paraId="23737AC1">
            <w:pPr>
              <w:pStyle w:val="4"/>
              <w:suppressLineNumbers w:val="0"/>
              <w:spacing w:beforeAutospacing="0" w:afterAutospacing="0"/>
              <w:ind w:left="0" w:right="0"/>
              <w:jc w:val="center"/>
              <w:rPr>
                <w:rFonts w:hint="default" w:cs="Times New Roman"/>
                <w:lang w:val="en-US" w:eastAsia="zh-CN"/>
              </w:rPr>
            </w:pPr>
          </w:p>
        </w:tc>
      </w:tr>
    </w:tbl>
    <w:p w14:paraId="6F9CCB6C">
      <w:pPr>
        <w:pStyle w:val="25"/>
        <w:adjustRightInd w:val="0"/>
        <w:snapToGrid w:val="0"/>
        <w:spacing w:before="0" w:beforeAutospacing="0" w:after="0" w:afterAutospacing="0"/>
        <w:jc w:val="center"/>
        <w:rPr>
          <w:rFonts w:hint="eastAsia" w:cs="宋体"/>
          <w:szCs w:val="24"/>
          <w:lang w:val="en-US" w:eastAsia="zh-CN"/>
        </w:rPr>
        <w:sectPr>
          <w:pgSz w:w="16838" w:h="11905" w:orient="landscape"/>
          <w:pgMar w:top="1531" w:right="1701" w:bottom="1531" w:left="1701" w:header="851" w:footer="850" w:gutter="0"/>
          <w:pgBorders>
            <w:top w:val="none" w:sz="0" w:space="0"/>
            <w:left w:val="none" w:sz="0" w:space="0"/>
            <w:bottom w:val="none" w:sz="0" w:space="0"/>
            <w:right w:val="none" w:sz="0" w:space="0"/>
          </w:pgBorders>
          <w:cols w:space="720" w:num="1"/>
          <w:rtlGutter w:val="0"/>
          <w:docGrid w:linePitch="312" w:charSpace="0"/>
        </w:sectPr>
      </w:pPr>
    </w:p>
    <w:tbl>
      <w:tblPr>
        <w:tblStyle w:val="28"/>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348"/>
      </w:tblGrid>
      <w:tr w14:paraId="4367C7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70" w:hRule="atLeast"/>
          <w:jc w:val="center"/>
        </w:trPr>
        <w:tc>
          <w:tcPr>
            <w:tcW w:w="390" w:type="pct"/>
            <w:noWrap w:val="0"/>
            <w:vAlign w:val="center"/>
          </w:tcPr>
          <w:p w14:paraId="412E4FDF">
            <w:pPr>
              <w:pStyle w:val="25"/>
              <w:keepNext w:val="0"/>
              <w:keepLines w:val="0"/>
              <w:suppressLineNumbers w:val="0"/>
              <w:adjustRightInd w:val="0"/>
              <w:snapToGrid w:val="0"/>
              <w:spacing w:before="0" w:beforeAutospacing="0" w:after="0" w:afterAutospacing="0"/>
              <w:ind w:left="0" w:right="0"/>
              <w:jc w:val="center"/>
              <w:rPr>
                <w:rFonts w:hint="default" w:cs="宋体"/>
                <w:szCs w:val="24"/>
                <w:lang w:val="en-US" w:eastAsia="zh-CN"/>
              </w:rPr>
            </w:pPr>
            <w:r>
              <w:rPr>
                <w:rFonts w:hint="eastAsia" w:cs="宋体"/>
                <w:szCs w:val="24"/>
                <w:lang w:val="en-US" w:eastAsia="zh-CN"/>
              </w:rPr>
              <w:t>建设内容</w:t>
            </w:r>
          </w:p>
        </w:tc>
        <w:tc>
          <w:tcPr>
            <w:tcW w:w="4609" w:type="pct"/>
            <w:noWrap w:val="0"/>
            <w:vAlign w:val="top"/>
          </w:tcPr>
          <w:p w14:paraId="56B2DFE5">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产品方案</w:t>
            </w:r>
          </w:p>
          <w:p w14:paraId="1B9DEF41">
            <w:pPr>
              <w:keepNext w:val="0"/>
              <w:keepLines w:val="0"/>
              <w:suppressLineNumbers w:val="0"/>
              <w:spacing w:before="0" w:beforeAutospacing="0" w:after="0" w:afterAutospacing="0"/>
              <w:ind w:left="0" w:right="0" w:firstLine="480"/>
              <w:rPr>
                <w:rFonts w:hint="eastAsia" w:ascii="Times New Roman" w:hAnsi="Times New Roman" w:cs="Times New Roman"/>
                <w:b/>
                <w:bCs/>
                <w:color w:val="auto"/>
                <w:sz w:val="24"/>
                <w:szCs w:val="24"/>
              </w:rPr>
            </w:pPr>
            <w:r>
              <w:rPr>
                <w:rFonts w:hint="eastAsia" w:ascii="Times New Roman" w:hAnsi="Times New Roman" w:cs="Times New Roman"/>
                <w:color w:val="auto"/>
                <w:sz w:val="24"/>
                <w:szCs w:val="24"/>
              </w:rPr>
              <w:t>产品具体方案如下：</w:t>
            </w:r>
          </w:p>
          <w:p w14:paraId="7688E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eastAsia" w:ascii="Times New Roman" w:hAnsi="Times New Roman" w:cs="Times New Roman"/>
                <w:b/>
                <w:bCs/>
                <w:color w:val="auto"/>
                <w:sz w:val="24"/>
                <w:szCs w:val="24"/>
              </w:rPr>
              <w:t>表2-2 产品方案一览表</w:t>
            </w:r>
            <w:r>
              <w:rPr>
                <w:rFonts w:hint="eastAsia" w:ascii="Times New Roman" w:hAnsi="Times New Roman" w:cs="Times New Roman"/>
                <w:b/>
                <w:bCs/>
                <w:color w:val="auto"/>
                <w:sz w:val="24"/>
                <w:szCs w:val="24"/>
                <w:lang w:val="en-US" w:eastAsia="zh-CN"/>
              </w:rPr>
              <w:t xml:space="preserve">  单位：t/a</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62"/>
              <w:gridCol w:w="1123"/>
              <w:gridCol w:w="1860"/>
              <w:gridCol w:w="1497"/>
              <w:gridCol w:w="1234"/>
              <w:gridCol w:w="1353"/>
            </w:tblGrid>
            <w:tr w14:paraId="53C1E9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3" w:type="pct"/>
                  <w:tcBorders>
                    <w:tl2br w:val="nil"/>
                    <w:tr2bl w:val="nil"/>
                  </w:tcBorders>
                  <w:noWrap w:val="0"/>
                  <w:vAlign w:val="center"/>
                </w:tcPr>
                <w:p w14:paraId="4B00019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种类</w:t>
                  </w:r>
                </w:p>
              </w:tc>
              <w:tc>
                <w:tcPr>
                  <w:tcW w:w="691" w:type="pct"/>
                  <w:tcBorders>
                    <w:tl2br w:val="nil"/>
                    <w:tr2bl w:val="nil"/>
                  </w:tcBorders>
                  <w:noWrap w:val="0"/>
                  <w:vAlign w:val="center"/>
                </w:tcPr>
                <w:p w14:paraId="5690FF3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产品名称</w:t>
                  </w:r>
                </w:p>
              </w:tc>
              <w:tc>
                <w:tcPr>
                  <w:tcW w:w="1144" w:type="pct"/>
                  <w:tcBorders>
                    <w:tl2br w:val="nil"/>
                    <w:tr2bl w:val="nil"/>
                  </w:tcBorders>
                  <w:noWrap w:val="0"/>
                  <w:vAlign w:val="center"/>
                </w:tcPr>
                <w:p w14:paraId="3BE3366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现有项目</w:t>
                  </w:r>
                  <w:r>
                    <w:rPr>
                      <w:rFonts w:hint="default" w:ascii="Times New Roman" w:hAnsi="Times New Roman" w:eastAsia="宋体" w:cs="Times New Roman"/>
                      <w:b/>
                      <w:bCs/>
                      <w:color w:val="auto"/>
                      <w:sz w:val="21"/>
                      <w:szCs w:val="21"/>
                    </w:rPr>
                    <w:t>产能</w:t>
                  </w:r>
                </w:p>
              </w:tc>
              <w:tc>
                <w:tcPr>
                  <w:tcW w:w="921" w:type="pct"/>
                  <w:tcBorders>
                    <w:tl2br w:val="nil"/>
                    <w:tr2bl w:val="nil"/>
                  </w:tcBorders>
                  <w:noWrap w:val="0"/>
                  <w:vAlign w:val="center"/>
                </w:tcPr>
                <w:p w14:paraId="2DB9828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扩建项目产能</w:t>
                  </w:r>
                </w:p>
              </w:tc>
              <w:tc>
                <w:tcPr>
                  <w:tcW w:w="759" w:type="pct"/>
                  <w:tcBorders>
                    <w:tl2br w:val="nil"/>
                    <w:tr2bl w:val="nil"/>
                  </w:tcBorders>
                  <w:noWrap w:val="0"/>
                  <w:vAlign w:val="center"/>
                </w:tcPr>
                <w:p w14:paraId="743A9FA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全厂产能</w:t>
                  </w:r>
                </w:p>
              </w:tc>
              <w:tc>
                <w:tcPr>
                  <w:tcW w:w="829" w:type="pct"/>
                  <w:tcBorders>
                    <w:tl2br w:val="nil"/>
                    <w:tr2bl w:val="nil"/>
                  </w:tcBorders>
                  <w:noWrap w:val="0"/>
                  <w:vAlign w:val="center"/>
                </w:tcPr>
                <w:p w14:paraId="1F0A7DD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b/>
                      <w:bCs/>
                      <w:color w:val="auto"/>
                      <w:sz w:val="21"/>
                      <w:szCs w:val="21"/>
                      <w:lang w:val="en-US" w:eastAsia="zh-CN"/>
                    </w:rPr>
                  </w:pPr>
                  <w:r>
                    <w:rPr>
                      <w:rFonts w:hint="eastAsia"/>
                      <w:b/>
                      <w:bCs/>
                      <w:lang w:val="en-US" w:eastAsia="zh-CN"/>
                    </w:rPr>
                    <w:t>包装方式</w:t>
                  </w:r>
                </w:p>
              </w:tc>
            </w:tr>
            <w:tr w14:paraId="2549D8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center"/>
                </w:tcPr>
                <w:p w14:paraId="15F7F55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cs="Times New Roman"/>
                      <w:b w:val="0"/>
                      <w:bCs w:val="0"/>
                      <w:color w:val="auto"/>
                      <w:sz w:val="21"/>
                      <w:szCs w:val="21"/>
                      <w:lang w:val="en-US" w:eastAsia="zh-CN"/>
                    </w:rPr>
                    <w:t>休闲食品</w:t>
                  </w:r>
                </w:p>
              </w:tc>
            </w:tr>
            <w:tr w14:paraId="074C0E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3" w:type="pct"/>
                  <w:tcBorders>
                    <w:tl2br w:val="nil"/>
                    <w:tr2bl w:val="nil"/>
                  </w:tcBorders>
                  <w:noWrap w:val="0"/>
                  <w:vAlign w:val="center"/>
                </w:tcPr>
                <w:p w14:paraId="37FBFA6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膨化食品</w:t>
                  </w:r>
                </w:p>
              </w:tc>
              <w:tc>
                <w:tcPr>
                  <w:tcW w:w="691" w:type="pct"/>
                  <w:tcBorders>
                    <w:tl2br w:val="nil"/>
                    <w:tr2bl w:val="nil"/>
                  </w:tcBorders>
                  <w:noWrap w:val="0"/>
                  <w:vAlign w:val="center"/>
                </w:tcPr>
                <w:p w14:paraId="0422E59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米果</w:t>
                  </w:r>
                </w:p>
              </w:tc>
              <w:tc>
                <w:tcPr>
                  <w:tcW w:w="1144" w:type="pct"/>
                  <w:tcBorders>
                    <w:tl2br w:val="nil"/>
                    <w:tr2bl w:val="nil"/>
                  </w:tcBorders>
                  <w:noWrap w:val="0"/>
                  <w:vAlign w:val="center"/>
                </w:tcPr>
                <w:p w14:paraId="2375657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600</w:t>
                  </w:r>
                </w:p>
              </w:tc>
              <w:tc>
                <w:tcPr>
                  <w:tcW w:w="921" w:type="pct"/>
                  <w:tcBorders>
                    <w:tl2br w:val="nil"/>
                    <w:tr2bl w:val="nil"/>
                  </w:tcBorders>
                  <w:noWrap w:val="0"/>
                  <w:vAlign w:val="center"/>
                </w:tcPr>
                <w:p w14:paraId="4A6BFA5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cs="Times New Roman"/>
                      <w:color w:val="auto"/>
                      <w:sz w:val="21"/>
                      <w:szCs w:val="21"/>
                      <w:lang w:val="en-US" w:eastAsia="zh-CN"/>
                    </w:rPr>
                    <w:t>2500</w:t>
                  </w:r>
                </w:p>
              </w:tc>
              <w:tc>
                <w:tcPr>
                  <w:tcW w:w="759" w:type="pct"/>
                  <w:tcBorders>
                    <w:tl2br w:val="nil"/>
                    <w:tr2bl w:val="nil"/>
                  </w:tcBorders>
                  <w:noWrap w:val="0"/>
                  <w:vAlign w:val="center"/>
                </w:tcPr>
                <w:p w14:paraId="5878459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3100</w:t>
                  </w:r>
                </w:p>
              </w:tc>
              <w:tc>
                <w:tcPr>
                  <w:tcW w:w="829" w:type="pct"/>
                  <w:tcBorders>
                    <w:tl2br w:val="nil"/>
                    <w:tr2bl w:val="nil"/>
                  </w:tcBorders>
                  <w:noWrap w:val="0"/>
                  <w:vAlign w:val="center"/>
                </w:tcPr>
                <w:p w14:paraId="1C6838F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袋/盒装</w:t>
                  </w:r>
                </w:p>
              </w:tc>
            </w:tr>
            <w:tr w14:paraId="6F427E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3" w:type="pct"/>
                  <w:tcBorders>
                    <w:tl2br w:val="nil"/>
                    <w:tr2bl w:val="nil"/>
                  </w:tcBorders>
                  <w:shd w:val="clear" w:color="auto" w:fill="auto"/>
                  <w:noWrap w:val="0"/>
                  <w:vAlign w:val="center"/>
                </w:tcPr>
                <w:p w14:paraId="74FCEEE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cs="Times New Roman"/>
                      <w:b w:val="0"/>
                      <w:bCs/>
                      <w:color w:val="auto"/>
                      <w:sz w:val="21"/>
                      <w:szCs w:val="21"/>
                      <w:lang w:val="en-US" w:eastAsia="zh-CN"/>
                    </w:rPr>
                    <w:t>烘烤食品</w:t>
                  </w:r>
                </w:p>
              </w:tc>
              <w:tc>
                <w:tcPr>
                  <w:tcW w:w="691" w:type="pct"/>
                  <w:tcBorders>
                    <w:tl2br w:val="nil"/>
                    <w:tr2bl w:val="nil"/>
                  </w:tcBorders>
                  <w:shd w:val="clear" w:color="auto" w:fill="auto"/>
                  <w:noWrap w:val="0"/>
                  <w:vAlign w:val="center"/>
                </w:tcPr>
                <w:p w14:paraId="08B51D9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薄饼</w:t>
                  </w:r>
                </w:p>
              </w:tc>
              <w:tc>
                <w:tcPr>
                  <w:tcW w:w="1144" w:type="pct"/>
                  <w:tcBorders>
                    <w:tl2br w:val="nil"/>
                    <w:tr2bl w:val="nil"/>
                  </w:tcBorders>
                  <w:shd w:val="clear" w:color="auto" w:fill="auto"/>
                  <w:noWrap w:val="0"/>
                  <w:vAlign w:val="center"/>
                </w:tcPr>
                <w:p w14:paraId="636020A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200</w:t>
                  </w:r>
                </w:p>
              </w:tc>
              <w:tc>
                <w:tcPr>
                  <w:tcW w:w="921" w:type="pct"/>
                  <w:tcBorders>
                    <w:tl2br w:val="nil"/>
                    <w:tr2bl w:val="nil"/>
                  </w:tcBorders>
                  <w:shd w:val="clear" w:color="auto" w:fill="auto"/>
                  <w:noWrap w:val="0"/>
                  <w:vAlign w:val="center"/>
                </w:tcPr>
                <w:p w14:paraId="74CFA5A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50</w:t>
                  </w:r>
                </w:p>
              </w:tc>
              <w:tc>
                <w:tcPr>
                  <w:tcW w:w="759" w:type="pct"/>
                  <w:tcBorders>
                    <w:tl2br w:val="nil"/>
                    <w:tr2bl w:val="nil"/>
                  </w:tcBorders>
                  <w:shd w:val="clear" w:color="auto" w:fill="auto"/>
                  <w:noWrap w:val="0"/>
                  <w:vAlign w:val="center"/>
                </w:tcPr>
                <w:p w14:paraId="5CEC14F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250</w:t>
                  </w:r>
                </w:p>
              </w:tc>
              <w:tc>
                <w:tcPr>
                  <w:tcW w:w="829" w:type="pct"/>
                  <w:tcBorders>
                    <w:tl2br w:val="nil"/>
                    <w:tr2bl w:val="nil"/>
                  </w:tcBorders>
                  <w:shd w:val="clear" w:color="auto" w:fill="auto"/>
                  <w:noWrap w:val="0"/>
                  <w:vAlign w:val="center"/>
                </w:tcPr>
                <w:p w14:paraId="4891F3B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袋装</w:t>
                  </w:r>
                </w:p>
              </w:tc>
            </w:tr>
            <w:tr w14:paraId="1738D8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center"/>
                </w:tcPr>
                <w:p w14:paraId="5D69C4F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eastAsia" w:cs="Times New Roman"/>
                      <w:color w:val="auto"/>
                      <w:sz w:val="21"/>
                      <w:szCs w:val="21"/>
                      <w:lang w:val="en-US" w:eastAsia="zh-CN"/>
                    </w:rPr>
                    <w:t>婴幼儿食品</w:t>
                  </w:r>
                </w:p>
              </w:tc>
            </w:tr>
            <w:tr w14:paraId="5863FD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3" w:type="pct"/>
                  <w:tcBorders>
                    <w:tl2br w:val="nil"/>
                    <w:tr2bl w:val="nil"/>
                  </w:tcBorders>
                  <w:noWrap w:val="0"/>
                  <w:vAlign w:val="center"/>
                </w:tcPr>
                <w:p w14:paraId="61966A4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cs="Times New Roman"/>
                      <w:b w:val="0"/>
                      <w:bCs/>
                      <w:color w:val="auto"/>
                      <w:sz w:val="21"/>
                      <w:szCs w:val="21"/>
                      <w:lang w:val="en-US" w:eastAsia="zh-CN"/>
                    </w:rPr>
                  </w:pPr>
                  <w:r>
                    <w:rPr>
                      <w:rFonts w:hint="eastAsia" w:cs="Times New Roman"/>
                      <w:b w:val="0"/>
                      <w:bCs/>
                      <w:color w:val="auto"/>
                      <w:sz w:val="21"/>
                      <w:szCs w:val="21"/>
                      <w:lang w:val="en-US" w:eastAsia="zh-CN"/>
                    </w:rPr>
                    <w:t>膨化食品</w:t>
                  </w:r>
                </w:p>
              </w:tc>
              <w:tc>
                <w:tcPr>
                  <w:tcW w:w="691" w:type="pct"/>
                  <w:tcBorders>
                    <w:tl2br w:val="nil"/>
                    <w:tr2bl w:val="nil"/>
                  </w:tcBorders>
                  <w:noWrap w:val="0"/>
                  <w:vAlign w:val="center"/>
                </w:tcPr>
                <w:p w14:paraId="1EA42A5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泡芙</w:t>
                  </w:r>
                </w:p>
              </w:tc>
              <w:tc>
                <w:tcPr>
                  <w:tcW w:w="1144" w:type="pct"/>
                  <w:tcBorders>
                    <w:tl2br w:val="nil"/>
                    <w:tr2bl w:val="nil"/>
                  </w:tcBorders>
                  <w:noWrap w:val="0"/>
                  <w:vAlign w:val="center"/>
                </w:tcPr>
                <w:p w14:paraId="632BBBA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w:t>
                  </w:r>
                </w:p>
              </w:tc>
              <w:tc>
                <w:tcPr>
                  <w:tcW w:w="921" w:type="pct"/>
                  <w:tcBorders>
                    <w:tl2br w:val="nil"/>
                    <w:tr2bl w:val="nil"/>
                  </w:tcBorders>
                  <w:noWrap w:val="0"/>
                  <w:vAlign w:val="center"/>
                </w:tcPr>
                <w:p w14:paraId="6915920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1500</w:t>
                  </w:r>
                </w:p>
              </w:tc>
              <w:tc>
                <w:tcPr>
                  <w:tcW w:w="759" w:type="pct"/>
                  <w:tcBorders>
                    <w:tl2br w:val="nil"/>
                    <w:tr2bl w:val="nil"/>
                  </w:tcBorders>
                  <w:noWrap w:val="0"/>
                  <w:vAlign w:val="center"/>
                </w:tcPr>
                <w:p w14:paraId="272D2DC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1500</w:t>
                  </w:r>
                </w:p>
              </w:tc>
              <w:tc>
                <w:tcPr>
                  <w:tcW w:w="829" w:type="pct"/>
                  <w:tcBorders>
                    <w:tl2br w:val="nil"/>
                    <w:tr2bl w:val="nil"/>
                  </w:tcBorders>
                  <w:noWrap w:val="0"/>
                  <w:vAlign w:val="center"/>
                </w:tcPr>
                <w:p w14:paraId="7CBA66A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袋/</w:t>
                  </w:r>
                  <w:r>
                    <w:rPr>
                      <w:rFonts w:hint="eastAsia" w:ascii="Times New Roman" w:hAnsi="Times New Roman" w:cs="Times New Roman"/>
                      <w:b w:val="0"/>
                      <w:bCs/>
                      <w:color w:val="auto"/>
                      <w:sz w:val="21"/>
                      <w:szCs w:val="21"/>
                      <w:lang w:val="en-US" w:eastAsia="zh-CN"/>
                    </w:rPr>
                    <w:t>盒/罐</w:t>
                  </w:r>
                  <w:r>
                    <w:rPr>
                      <w:rFonts w:hint="eastAsia" w:cs="Times New Roman"/>
                      <w:b w:val="0"/>
                      <w:bCs/>
                      <w:color w:val="auto"/>
                      <w:sz w:val="21"/>
                      <w:szCs w:val="21"/>
                      <w:lang w:val="en-US" w:eastAsia="zh-CN"/>
                    </w:rPr>
                    <w:t>装</w:t>
                  </w:r>
                </w:p>
              </w:tc>
            </w:tr>
          </w:tbl>
          <w:p w14:paraId="523ABFB1">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主要设备</w:t>
            </w:r>
          </w:p>
          <w:p w14:paraId="56720AAE">
            <w:pPr>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主要生产设备详见</w:t>
            </w:r>
            <w:r>
              <w:rPr>
                <w:rFonts w:hint="eastAsia" w:ascii="Times New Roman" w:hAnsi="Times New Roman" w:cs="Times New Roman"/>
                <w:color w:val="auto"/>
                <w:sz w:val="24"/>
                <w:szCs w:val="24"/>
              </w:rPr>
              <w:t>下表</w:t>
            </w:r>
            <w:r>
              <w:rPr>
                <w:rFonts w:hint="default" w:ascii="Times New Roman" w:hAnsi="Times New Roman" w:cs="Times New Roman"/>
                <w:color w:val="auto"/>
                <w:sz w:val="24"/>
                <w:szCs w:val="24"/>
              </w:rPr>
              <w:t>。</w:t>
            </w:r>
          </w:p>
          <w:p w14:paraId="69A71A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b/>
                <w:bCs/>
                <w:sz w:val="24"/>
                <w:szCs w:val="24"/>
              </w:rPr>
            </w:pPr>
            <w:r>
              <w:rPr>
                <w:rFonts w:hint="eastAsia" w:ascii="Times New Roman" w:hAnsi="Times New Roman" w:cs="Times New Roman"/>
                <w:b/>
                <w:bCs/>
                <w:sz w:val="24"/>
                <w:szCs w:val="24"/>
              </w:rPr>
              <w:t>表2-</w:t>
            </w:r>
            <w:r>
              <w:rPr>
                <w:rFonts w:hint="eastAsia" w:ascii="Times New Roman" w:hAnsi="Times New Roman" w:cs="Times New Roman"/>
                <w:b/>
                <w:bCs/>
                <w:sz w:val="24"/>
                <w:szCs w:val="24"/>
                <w:lang w:val="en-US" w:eastAsia="zh-CN"/>
              </w:rPr>
              <w:t>3</w:t>
            </w:r>
            <w:r>
              <w:rPr>
                <w:rFonts w:hint="eastAsia"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生产</w:t>
            </w:r>
            <w:r>
              <w:rPr>
                <w:rFonts w:hint="eastAsia" w:ascii="Times New Roman" w:hAnsi="Times New Roman" w:cs="Times New Roman"/>
                <w:b/>
                <w:bCs/>
                <w:sz w:val="24"/>
                <w:szCs w:val="24"/>
              </w:rPr>
              <w:t>设备一览表  单位：套（台）</w:t>
            </w:r>
          </w:p>
          <w:tbl>
            <w:tblPr>
              <w:tblStyle w:val="29"/>
              <w:tblW w:w="4998" w:type="pct"/>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44"/>
              <w:gridCol w:w="1542"/>
              <w:gridCol w:w="1339"/>
              <w:gridCol w:w="1542"/>
              <w:gridCol w:w="1222"/>
              <w:gridCol w:w="1840"/>
            </w:tblGrid>
            <w:tr w14:paraId="3757D2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256C3B7E">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lang w:val="en-US" w:eastAsia="zh-CN"/>
                    </w:rPr>
                  </w:pPr>
                  <w:r>
                    <w:rPr>
                      <w:rFonts w:hint="default" w:ascii="Times New Roman" w:hAnsi="Times New Roman" w:cs="Times New Roman"/>
                      <w:b/>
                      <w:bCs w:val="0"/>
                      <w:lang w:val="en-US" w:eastAsia="zh-CN"/>
                    </w:rPr>
                    <w:t>序号</w:t>
                  </w:r>
                </w:p>
              </w:tc>
              <w:tc>
                <w:tcPr>
                  <w:tcW w:w="948" w:type="pct"/>
                  <w:tcBorders>
                    <w:tl2br w:val="nil"/>
                    <w:tr2bl w:val="nil"/>
                  </w:tcBorders>
                  <w:noWrap w:val="0"/>
                  <w:vAlign w:val="center"/>
                </w:tcPr>
                <w:p w14:paraId="7DC597C9">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lang w:val="en-US" w:eastAsia="zh-CN"/>
                    </w:rPr>
                  </w:pPr>
                  <w:r>
                    <w:rPr>
                      <w:rFonts w:hint="default" w:ascii="Times New Roman" w:hAnsi="Times New Roman" w:cs="Times New Roman"/>
                      <w:b/>
                      <w:bCs w:val="0"/>
                      <w:lang w:val="en-US" w:eastAsia="zh-CN"/>
                    </w:rPr>
                    <w:t>设备名称</w:t>
                  </w:r>
                </w:p>
              </w:tc>
              <w:tc>
                <w:tcPr>
                  <w:tcW w:w="823" w:type="pct"/>
                  <w:tcBorders>
                    <w:tl2br w:val="nil"/>
                    <w:tr2bl w:val="nil"/>
                  </w:tcBorders>
                  <w:noWrap w:val="0"/>
                  <w:vAlign w:val="center"/>
                </w:tcPr>
                <w:p w14:paraId="3372AEF0">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bCs/>
                      <w:color w:val="000000"/>
                      <w:kern w:val="44"/>
                      <w:sz w:val="21"/>
                      <w:szCs w:val="21"/>
                      <w:lang w:val="en-US" w:eastAsia="zh-CN" w:bidi="ar-SA"/>
                    </w:rPr>
                  </w:pPr>
                  <w:r>
                    <w:rPr>
                      <w:rFonts w:hint="eastAsia" w:ascii="Times New Roman" w:hAnsi="Times New Roman" w:cs="Times New Roman"/>
                      <w:b/>
                      <w:bCs w:val="0"/>
                      <w:lang w:val="en-US" w:eastAsia="zh-CN"/>
                    </w:rPr>
                    <w:t>现有工程设备数量</w:t>
                  </w:r>
                </w:p>
              </w:tc>
              <w:tc>
                <w:tcPr>
                  <w:tcW w:w="948" w:type="pct"/>
                  <w:tcBorders>
                    <w:tl2br w:val="nil"/>
                    <w:tr2bl w:val="nil"/>
                  </w:tcBorders>
                  <w:noWrap w:val="0"/>
                  <w:vAlign w:val="center"/>
                </w:tcPr>
                <w:p w14:paraId="3BB94FBB">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b/>
                      <w:bCs w:val="0"/>
                      <w:lang w:val="en-US" w:eastAsia="zh-CN"/>
                    </w:rPr>
                  </w:pPr>
                  <w:r>
                    <w:rPr>
                      <w:rFonts w:hint="eastAsia" w:ascii="Times New Roman" w:hAnsi="Times New Roman" w:cs="Times New Roman"/>
                      <w:b/>
                      <w:bCs w:val="0"/>
                      <w:lang w:val="en-US" w:eastAsia="zh-CN"/>
                    </w:rPr>
                    <w:t>扩建项目设备数量</w:t>
                  </w:r>
                </w:p>
              </w:tc>
              <w:tc>
                <w:tcPr>
                  <w:tcW w:w="751" w:type="pct"/>
                  <w:tcBorders>
                    <w:tl2br w:val="nil"/>
                    <w:tr2bl w:val="nil"/>
                  </w:tcBorders>
                  <w:noWrap w:val="0"/>
                  <w:vAlign w:val="center"/>
                </w:tcPr>
                <w:p w14:paraId="443FB85E">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b/>
                      <w:bCs w:val="0"/>
                      <w:lang w:val="en-US" w:eastAsia="zh-CN"/>
                    </w:rPr>
                  </w:pPr>
                  <w:r>
                    <w:rPr>
                      <w:rFonts w:hint="eastAsia" w:ascii="Times New Roman" w:hAnsi="Times New Roman" w:cs="Times New Roman"/>
                      <w:b/>
                      <w:bCs w:val="0"/>
                      <w:lang w:val="en-US" w:eastAsia="zh-CN"/>
                    </w:rPr>
                    <w:t>全厂设备数量</w:t>
                  </w:r>
                </w:p>
              </w:tc>
              <w:tc>
                <w:tcPr>
                  <w:tcW w:w="1131" w:type="pct"/>
                  <w:tcBorders>
                    <w:tl2br w:val="nil"/>
                    <w:tr2bl w:val="nil"/>
                  </w:tcBorders>
                  <w:noWrap w:val="0"/>
                  <w:vAlign w:val="center"/>
                </w:tcPr>
                <w:p w14:paraId="796994DD">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lang w:val="en-US" w:eastAsia="zh-CN"/>
                    </w:rPr>
                  </w:pPr>
                  <w:r>
                    <w:rPr>
                      <w:rFonts w:hint="default" w:ascii="Times New Roman" w:hAnsi="Times New Roman" w:cs="Times New Roman"/>
                      <w:b/>
                      <w:bCs w:val="0"/>
                      <w:lang w:val="en-US" w:eastAsia="zh-CN"/>
                    </w:rPr>
                    <w:t>型号规格</w:t>
                  </w:r>
                </w:p>
              </w:tc>
            </w:tr>
            <w:tr w14:paraId="41A359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03241FCF">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1</w:t>
                  </w:r>
                </w:p>
              </w:tc>
              <w:tc>
                <w:tcPr>
                  <w:tcW w:w="948" w:type="pct"/>
                  <w:tcBorders>
                    <w:tl2br w:val="nil"/>
                    <w:tr2bl w:val="nil"/>
                  </w:tcBorders>
                  <w:noWrap w:val="0"/>
                  <w:vAlign w:val="center"/>
                </w:tcPr>
                <w:p w14:paraId="2F325E0D">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lang w:val="en-US" w:eastAsia="zh-CN"/>
                    </w:rPr>
                  </w:pPr>
                  <w:r>
                    <w:rPr>
                      <w:rFonts w:hint="eastAsia" w:cs="Times New Roman"/>
                      <w:color w:val="000000"/>
                      <w:szCs w:val="21"/>
                      <w:lang w:val="en-US" w:eastAsia="zh-CN"/>
                    </w:rPr>
                    <w:t>粉碎</w:t>
                  </w:r>
                  <w:r>
                    <w:rPr>
                      <w:rFonts w:hint="eastAsia" w:ascii="Times New Roman" w:hAnsi="Times New Roman" w:eastAsia="宋体" w:cs="Times New Roman"/>
                      <w:color w:val="000000"/>
                      <w:szCs w:val="21"/>
                      <w:lang w:val="en-US" w:eastAsia="zh-CN"/>
                    </w:rPr>
                    <w:t>机</w:t>
                  </w:r>
                </w:p>
              </w:tc>
              <w:tc>
                <w:tcPr>
                  <w:tcW w:w="823" w:type="pct"/>
                  <w:tcBorders>
                    <w:tl2br w:val="nil"/>
                    <w:tr2bl w:val="nil"/>
                  </w:tcBorders>
                  <w:noWrap w:val="0"/>
                  <w:vAlign w:val="center"/>
                </w:tcPr>
                <w:p w14:paraId="228A9A55">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cs="Times New Roman"/>
                      <w:bCs/>
                      <w:color w:val="000000"/>
                      <w:kern w:val="44"/>
                      <w:sz w:val="21"/>
                      <w:szCs w:val="21"/>
                      <w:lang w:val="en-US" w:eastAsia="zh-CN" w:bidi="ar-SA"/>
                    </w:rPr>
                    <w:t>0</w:t>
                  </w:r>
                </w:p>
              </w:tc>
              <w:tc>
                <w:tcPr>
                  <w:tcW w:w="948" w:type="pct"/>
                  <w:tcBorders>
                    <w:tl2br w:val="nil"/>
                    <w:tr2bl w:val="nil"/>
                  </w:tcBorders>
                  <w:noWrap w:val="0"/>
                  <w:vAlign w:val="center"/>
                </w:tcPr>
                <w:p w14:paraId="036D888F">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4</w:t>
                  </w:r>
                </w:p>
              </w:tc>
              <w:tc>
                <w:tcPr>
                  <w:tcW w:w="751" w:type="pct"/>
                  <w:tcBorders>
                    <w:tl2br w:val="nil"/>
                    <w:tr2bl w:val="nil"/>
                  </w:tcBorders>
                  <w:noWrap w:val="0"/>
                  <w:vAlign w:val="center"/>
                </w:tcPr>
                <w:p w14:paraId="01454354">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4</w:t>
                  </w:r>
                </w:p>
              </w:tc>
              <w:tc>
                <w:tcPr>
                  <w:tcW w:w="1131" w:type="pct"/>
                  <w:tcBorders>
                    <w:tl2br w:val="nil"/>
                    <w:tr2bl w:val="nil"/>
                  </w:tcBorders>
                  <w:noWrap w:val="0"/>
                  <w:vAlign w:val="center"/>
                </w:tcPr>
                <w:p w14:paraId="2AC89D4C">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国产</w:t>
                  </w:r>
                </w:p>
              </w:tc>
            </w:tr>
            <w:tr w14:paraId="76A6B8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196DFAF1">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2</w:t>
                  </w:r>
                </w:p>
              </w:tc>
              <w:tc>
                <w:tcPr>
                  <w:tcW w:w="948" w:type="pct"/>
                  <w:tcBorders>
                    <w:tl2br w:val="nil"/>
                    <w:tr2bl w:val="nil"/>
                  </w:tcBorders>
                  <w:noWrap w:val="0"/>
                  <w:vAlign w:val="center"/>
                </w:tcPr>
                <w:p w14:paraId="4CE36CC1">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lang w:val="en-US" w:eastAsia="zh-CN"/>
                    </w:rPr>
                  </w:pPr>
                  <w:r>
                    <w:rPr>
                      <w:rFonts w:hint="eastAsia" w:ascii="Times New Roman" w:hAnsi="Times New Roman" w:eastAsia="宋体" w:cs="Times New Roman"/>
                      <w:color w:val="000000"/>
                      <w:szCs w:val="21"/>
                      <w:lang w:val="en-US" w:eastAsia="zh-CN"/>
                    </w:rPr>
                    <w:t>膨化主机</w:t>
                  </w:r>
                </w:p>
              </w:tc>
              <w:tc>
                <w:tcPr>
                  <w:tcW w:w="823" w:type="pct"/>
                  <w:tcBorders>
                    <w:tl2br w:val="nil"/>
                    <w:tr2bl w:val="nil"/>
                  </w:tcBorders>
                  <w:noWrap w:val="0"/>
                  <w:vAlign w:val="center"/>
                </w:tcPr>
                <w:p w14:paraId="43930C25">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cs="Times New Roman"/>
                      <w:bCs/>
                      <w:color w:val="000000"/>
                      <w:kern w:val="44"/>
                      <w:sz w:val="21"/>
                      <w:szCs w:val="21"/>
                      <w:lang w:val="en-US" w:eastAsia="zh-CN" w:bidi="ar-SA"/>
                    </w:rPr>
                    <w:t>2</w:t>
                  </w:r>
                </w:p>
              </w:tc>
              <w:tc>
                <w:tcPr>
                  <w:tcW w:w="948" w:type="pct"/>
                  <w:tcBorders>
                    <w:tl2br w:val="nil"/>
                    <w:tr2bl w:val="nil"/>
                  </w:tcBorders>
                  <w:noWrap w:val="0"/>
                  <w:vAlign w:val="center"/>
                </w:tcPr>
                <w:p w14:paraId="004B71C1">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8</w:t>
                  </w:r>
                </w:p>
              </w:tc>
              <w:tc>
                <w:tcPr>
                  <w:tcW w:w="751" w:type="pct"/>
                  <w:tcBorders>
                    <w:tl2br w:val="nil"/>
                    <w:tr2bl w:val="nil"/>
                  </w:tcBorders>
                  <w:noWrap w:val="0"/>
                  <w:vAlign w:val="center"/>
                </w:tcPr>
                <w:p w14:paraId="0FA85E02">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10</w:t>
                  </w:r>
                </w:p>
              </w:tc>
              <w:tc>
                <w:tcPr>
                  <w:tcW w:w="1131" w:type="pct"/>
                  <w:tcBorders>
                    <w:tl2br w:val="nil"/>
                    <w:tr2bl w:val="nil"/>
                  </w:tcBorders>
                  <w:noWrap w:val="0"/>
                  <w:vAlign w:val="center"/>
                </w:tcPr>
                <w:p w14:paraId="33C7EBD3">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国产</w:t>
                  </w:r>
                </w:p>
              </w:tc>
            </w:tr>
            <w:tr w14:paraId="2567C7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2898E27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3</w:t>
                  </w:r>
                </w:p>
              </w:tc>
              <w:tc>
                <w:tcPr>
                  <w:tcW w:w="948" w:type="pct"/>
                  <w:tcBorders>
                    <w:tl2br w:val="nil"/>
                    <w:tr2bl w:val="nil"/>
                  </w:tcBorders>
                  <w:noWrap w:val="0"/>
                  <w:vAlign w:val="center"/>
                </w:tcPr>
                <w:p w14:paraId="22A74DED">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lang w:val="en-US" w:eastAsia="zh-CN"/>
                    </w:rPr>
                  </w:pPr>
                  <w:r>
                    <w:rPr>
                      <w:rFonts w:hint="eastAsia" w:ascii="Times New Roman" w:hAnsi="Times New Roman" w:eastAsia="宋体" w:cs="Times New Roman"/>
                      <w:color w:val="000000"/>
                      <w:szCs w:val="21"/>
                      <w:lang w:val="en-US" w:eastAsia="zh-CN"/>
                    </w:rPr>
                    <w:t>烤箱</w:t>
                  </w:r>
                </w:p>
              </w:tc>
              <w:tc>
                <w:tcPr>
                  <w:tcW w:w="823" w:type="pct"/>
                  <w:tcBorders>
                    <w:tl2br w:val="nil"/>
                    <w:tr2bl w:val="nil"/>
                  </w:tcBorders>
                  <w:noWrap w:val="0"/>
                  <w:vAlign w:val="center"/>
                </w:tcPr>
                <w:p w14:paraId="3D1DA18A">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cs="Times New Roman"/>
                      <w:bCs/>
                      <w:color w:val="000000"/>
                      <w:kern w:val="44"/>
                      <w:sz w:val="21"/>
                      <w:szCs w:val="21"/>
                      <w:lang w:val="en-US" w:eastAsia="zh-CN" w:bidi="ar-SA"/>
                    </w:rPr>
                    <w:t>1</w:t>
                  </w:r>
                </w:p>
              </w:tc>
              <w:tc>
                <w:tcPr>
                  <w:tcW w:w="948" w:type="pct"/>
                  <w:tcBorders>
                    <w:tl2br w:val="nil"/>
                    <w:tr2bl w:val="nil"/>
                  </w:tcBorders>
                  <w:noWrap w:val="0"/>
                  <w:vAlign w:val="center"/>
                </w:tcPr>
                <w:p w14:paraId="7D0995A9">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4</w:t>
                  </w:r>
                </w:p>
              </w:tc>
              <w:tc>
                <w:tcPr>
                  <w:tcW w:w="751" w:type="pct"/>
                  <w:tcBorders>
                    <w:tl2br w:val="nil"/>
                    <w:tr2bl w:val="nil"/>
                  </w:tcBorders>
                  <w:noWrap w:val="0"/>
                  <w:vAlign w:val="center"/>
                </w:tcPr>
                <w:p w14:paraId="0015A487">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5</w:t>
                  </w:r>
                </w:p>
              </w:tc>
              <w:tc>
                <w:tcPr>
                  <w:tcW w:w="1131" w:type="pct"/>
                  <w:tcBorders>
                    <w:tl2br w:val="nil"/>
                    <w:tr2bl w:val="nil"/>
                  </w:tcBorders>
                  <w:noWrap w:val="0"/>
                  <w:vAlign w:val="center"/>
                </w:tcPr>
                <w:p w14:paraId="28E98FA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国产</w:t>
                  </w:r>
                </w:p>
              </w:tc>
            </w:tr>
            <w:tr w14:paraId="02F172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5A3AA17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4</w:t>
                  </w:r>
                </w:p>
              </w:tc>
              <w:tc>
                <w:tcPr>
                  <w:tcW w:w="948" w:type="pct"/>
                  <w:tcBorders>
                    <w:tl2br w:val="nil"/>
                    <w:tr2bl w:val="nil"/>
                  </w:tcBorders>
                  <w:noWrap w:val="0"/>
                  <w:vAlign w:val="center"/>
                </w:tcPr>
                <w:p w14:paraId="45C99B31">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lang w:val="en-US" w:eastAsia="zh-CN"/>
                    </w:rPr>
                  </w:pPr>
                  <w:r>
                    <w:rPr>
                      <w:rFonts w:hint="eastAsia" w:ascii="Times New Roman" w:hAnsi="Times New Roman" w:eastAsia="宋体" w:cs="Times New Roman"/>
                      <w:color w:val="000000"/>
                      <w:szCs w:val="21"/>
                      <w:lang w:val="en-US" w:eastAsia="zh-CN"/>
                    </w:rPr>
                    <w:t>虾片机</w:t>
                  </w:r>
                </w:p>
              </w:tc>
              <w:tc>
                <w:tcPr>
                  <w:tcW w:w="823" w:type="pct"/>
                  <w:tcBorders>
                    <w:tl2br w:val="nil"/>
                    <w:tr2bl w:val="nil"/>
                  </w:tcBorders>
                  <w:noWrap w:val="0"/>
                  <w:vAlign w:val="center"/>
                </w:tcPr>
                <w:p w14:paraId="1E50B24D">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cs="Times New Roman"/>
                      <w:bCs/>
                      <w:color w:val="000000"/>
                      <w:kern w:val="44"/>
                      <w:sz w:val="21"/>
                      <w:szCs w:val="21"/>
                      <w:lang w:val="en-US" w:eastAsia="zh-CN" w:bidi="ar-SA"/>
                    </w:rPr>
                    <w:t>2</w:t>
                  </w:r>
                </w:p>
              </w:tc>
              <w:tc>
                <w:tcPr>
                  <w:tcW w:w="948" w:type="pct"/>
                  <w:tcBorders>
                    <w:tl2br w:val="nil"/>
                    <w:tr2bl w:val="nil"/>
                  </w:tcBorders>
                  <w:noWrap w:val="0"/>
                  <w:vAlign w:val="center"/>
                </w:tcPr>
                <w:p w14:paraId="5258A16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cs="Times New Roman"/>
                      <w:lang w:val="en-US" w:eastAsia="zh-CN"/>
                    </w:rPr>
                    <w:t>6</w:t>
                  </w:r>
                </w:p>
              </w:tc>
              <w:tc>
                <w:tcPr>
                  <w:tcW w:w="751" w:type="pct"/>
                  <w:tcBorders>
                    <w:tl2br w:val="nil"/>
                    <w:tr2bl w:val="nil"/>
                  </w:tcBorders>
                  <w:noWrap w:val="0"/>
                  <w:vAlign w:val="center"/>
                </w:tcPr>
                <w:p w14:paraId="312A185E">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000000"/>
                      <w:kern w:val="44"/>
                      <w:sz w:val="21"/>
                      <w:szCs w:val="21"/>
                      <w:lang w:val="en-US" w:eastAsia="zh-CN" w:bidi="ar-SA"/>
                    </w:rPr>
                  </w:pPr>
                  <w:r>
                    <w:rPr>
                      <w:rFonts w:hint="eastAsia" w:cs="Times New Roman"/>
                      <w:color w:val="000000"/>
                      <w:szCs w:val="21"/>
                      <w:lang w:val="en-US" w:eastAsia="zh-CN"/>
                    </w:rPr>
                    <w:t>8</w:t>
                  </w:r>
                </w:p>
              </w:tc>
              <w:tc>
                <w:tcPr>
                  <w:tcW w:w="1131" w:type="pct"/>
                  <w:tcBorders>
                    <w:tl2br w:val="nil"/>
                    <w:tr2bl w:val="nil"/>
                  </w:tcBorders>
                  <w:noWrap w:val="0"/>
                  <w:vAlign w:val="center"/>
                </w:tcPr>
                <w:p w14:paraId="51258345">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6A2FCE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438CE50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5</w:t>
                  </w:r>
                </w:p>
              </w:tc>
              <w:tc>
                <w:tcPr>
                  <w:tcW w:w="948" w:type="pct"/>
                  <w:tcBorders>
                    <w:tl2br w:val="nil"/>
                    <w:tr2bl w:val="nil"/>
                  </w:tcBorders>
                  <w:noWrap w:val="0"/>
                  <w:vAlign w:val="center"/>
                </w:tcPr>
                <w:p w14:paraId="13B53E59">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lang w:val="en-US" w:eastAsia="zh-CN"/>
                    </w:rPr>
                  </w:pPr>
                  <w:r>
                    <w:rPr>
                      <w:rFonts w:hint="eastAsia" w:ascii="Times New Roman" w:hAnsi="Times New Roman" w:eastAsia="宋体" w:cs="Times New Roman"/>
                      <w:color w:val="000000"/>
                      <w:szCs w:val="21"/>
                      <w:lang w:val="en-US" w:eastAsia="zh-CN"/>
                    </w:rPr>
                    <w:t>蛋卷机</w:t>
                  </w:r>
                </w:p>
              </w:tc>
              <w:tc>
                <w:tcPr>
                  <w:tcW w:w="823" w:type="pct"/>
                  <w:tcBorders>
                    <w:tl2br w:val="nil"/>
                    <w:tr2bl w:val="nil"/>
                  </w:tcBorders>
                  <w:noWrap w:val="0"/>
                  <w:vAlign w:val="center"/>
                </w:tcPr>
                <w:p w14:paraId="4C2591D9">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bCs/>
                      <w:color w:val="000000"/>
                      <w:kern w:val="44"/>
                      <w:sz w:val="21"/>
                      <w:szCs w:val="21"/>
                      <w:lang w:val="en-US" w:eastAsia="zh-CN" w:bidi="ar-SA"/>
                    </w:rPr>
                    <w:t>0</w:t>
                  </w:r>
                </w:p>
              </w:tc>
              <w:tc>
                <w:tcPr>
                  <w:tcW w:w="948" w:type="pct"/>
                  <w:tcBorders>
                    <w:tl2br w:val="nil"/>
                    <w:tr2bl w:val="nil"/>
                  </w:tcBorders>
                  <w:noWrap w:val="0"/>
                  <w:vAlign w:val="center"/>
                </w:tcPr>
                <w:p w14:paraId="3A0B5DF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6</w:t>
                  </w:r>
                </w:p>
              </w:tc>
              <w:tc>
                <w:tcPr>
                  <w:tcW w:w="751" w:type="pct"/>
                  <w:tcBorders>
                    <w:tl2br w:val="nil"/>
                    <w:tr2bl w:val="nil"/>
                  </w:tcBorders>
                  <w:noWrap w:val="0"/>
                  <w:vAlign w:val="center"/>
                </w:tcPr>
                <w:p w14:paraId="0E539517">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6</w:t>
                  </w:r>
                </w:p>
              </w:tc>
              <w:tc>
                <w:tcPr>
                  <w:tcW w:w="1131" w:type="pct"/>
                  <w:tcBorders>
                    <w:tl2br w:val="nil"/>
                    <w:tr2bl w:val="nil"/>
                  </w:tcBorders>
                  <w:noWrap w:val="0"/>
                  <w:vAlign w:val="center"/>
                </w:tcPr>
                <w:p w14:paraId="423D2F28">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44704F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50B06C8F">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6</w:t>
                  </w:r>
                </w:p>
              </w:tc>
              <w:tc>
                <w:tcPr>
                  <w:tcW w:w="948" w:type="pct"/>
                  <w:tcBorders>
                    <w:tl2br w:val="nil"/>
                    <w:tr2bl w:val="nil"/>
                  </w:tcBorders>
                  <w:noWrap w:val="0"/>
                  <w:vAlign w:val="center"/>
                </w:tcPr>
                <w:p w14:paraId="49007132">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lang w:val="en-US" w:eastAsia="zh-CN"/>
                    </w:rPr>
                  </w:pPr>
                  <w:r>
                    <w:rPr>
                      <w:rFonts w:hint="eastAsia" w:ascii="Times New Roman" w:hAnsi="Times New Roman" w:eastAsia="宋体" w:cs="Times New Roman"/>
                      <w:color w:val="000000"/>
                      <w:szCs w:val="21"/>
                      <w:lang w:val="en-US" w:eastAsia="zh-CN"/>
                    </w:rPr>
                    <w:t>热风旋转炉</w:t>
                  </w:r>
                </w:p>
              </w:tc>
              <w:tc>
                <w:tcPr>
                  <w:tcW w:w="823" w:type="pct"/>
                  <w:tcBorders>
                    <w:tl2br w:val="nil"/>
                    <w:tr2bl w:val="nil"/>
                  </w:tcBorders>
                  <w:noWrap w:val="0"/>
                  <w:vAlign w:val="center"/>
                </w:tcPr>
                <w:p w14:paraId="4EB18BC0">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bCs/>
                      <w:color w:val="000000"/>
                      <w:kern w:val="44"/>
                      <w:sz w:val="21"/>
                      <w:szCs w:val="21"/>
                      <w:lang w:val="en-US" w:eastAsia="zh-CN" w:bidi="ar-SA"/>
                    </w:rPr>
                    <w:t>0</w:t>
                  </w:r>
                </w:p>
              </w:tc>
              <w:tc>
                <w:tcPr>
                  <w:tcW w:w="948" w:type="pct"/>
                  <w:tcBorders>
                    <w:tl2br w:val="nil"/>
                    <w:tr2bl w:val="nil"/>
                  </w:tcBorders>
                  <w:noWrap w:val="0"/>
                  <w:vAlign w:val="center"/>
                </w:tcPr>
                <w:p w14:paraId="61AB621B">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6</w:t>
                  </w:r>
                </w:p>
              </w:tc>
              <w:tc>
                <w:tcPr>
                  <w:tcW w:w="751" w:type="pct"/>
                  <w:tcBorders>
                    <w:tl2br w:val="nil"/>
                    <w:tr2bl w:val="nil"/>
                  </w:tcBorders>
                  <w:noWrap w:val="0"/>
                  <w:vAlign w:val="center"/>
                </w:tcPr>
                <w:p w14:paraId="151FB1CB">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6</w:t>
                  </w:r>
                </w:p>
              </w:tc>
              <w:tc>
                <w:tcPr>
                  <w:tcW w:w="1131" w:type="pct"/>
                  <w:tcBorders>
                    <w:tl2br w:val="nil"/>
                    <w:tr2bl w:val="nil"/>
                  </w:tcBorders>
                  <w:noWrap w:val="0"/>
                  <w:vAlign w:val="center"/>
                </w:tcPr>
                <w:p w14:paraId="0B666168">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60574E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2AABA271">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7</w:t>
                  </w:r>
                </w:p>
              </w:tc>
              <w:tc>
                <w:tcPr>
                  <w:tcW w:w="948" w:type="pct"/>
                  <w:tcBorders>
                    <w:tl2br w:val="nil"/>
                    <w:tr2bl w:val="nil"/>
                  </w:tcBorders>
                  <w:noWrap w:val="0"/>
                  <w:vAlign w:val="center"/>
                </w:tcPr>
                <w:p w14:paraId="34F1D149">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lang w:val="en-US" w:eastAsia="zh-CN"/>
                    </w:rPr>
                  </w:pPr>
                  <w:r>
                    <w:rPr>
                      <w:rFonts w:hint="eastAsia" w:ascii="Times New Roman" w:hAnsi="Times New Roman" w:eastAsia="宋体" w:cs="Times New Roman"/>
                      <w:color w:val="000000"/>
                      <w:szCs w:val="21"/>
                      <w:lang w:val="en-US" w:eastAsia="zh-CN"/>
                    </w:rPr>
                    <w:t>灌装机</w:t>
                  </w:r>
                </w:p>
              </w:tc>
              <w:tc>
                <w:tcPr>
                  <w:tcW w:w="823" w:type="pct"/>
                  <w:tcBorders>
                    <w:tl2br w:val="nil"/>
                    <w:tr2bl w:val="nil"/>
                  </w:tcBorders>
                  <w:noWrap w:val="0"/>
                  <w:vAlign w:val="center"/>
                </w:tcPr>
                <w:p w14:paraId="61A56B33">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bCs/>
                      <w:color w:val="000000"/>
                      <w:kern w:val="44"/>
                      <w:sz w:val="21"/>
                      <w:szCs w:val="21"/>
                      <w:lang w:val="en-US" w:eastAsia="zh-CN" w:bidi="ar-SA"/>
                    </w:rPr>
                    <w:t>0</w:t>
                  </w:r>
                </w:p>
              </w:tc>
              <w:tc>
                <w:tcPr>
                  <w:tcW w:w="948" w:type="pct"/>
                  <w:tcBorders>
                    <w:tl2br w:val="nil"/>
                    <w:tr2bl w:val="nil"/>
                  </w:tcBorders>
                  <w:noWrap w:val="0"/>
                  <w:vAlign w:val="center"/>
                </w:tcPr>
                <w:p w14:paraId="02775AE4">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751" w:type="pct"/>
                  <w:tcBorders>
                    <w:tl2br w:val="nil"/>
                    <w:tr2bl w:val="nil"/>
                  </w:tcBorders>
                  <w:noWrap w:val="0"/>
                  <w:vAlign w:val="center"/>
                </w:tcPr>
                <w:p w14:paraId="7E1FEF9D">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2</w:t>
                  </w:r>
                </w:p>
              </w:tc>
              <w:tc>
                <w:tcPr>
                  <w:tcW w:w="1131" w:type="pct"/>
                  <w:tcBorders>
                    <w:tl2br w:val="nil"/>
                    <w:tr2bl w:val="nil"/>
                  </w:tcBorders>
                  <w:noWrap w:val="0"/>
                  <w:vAlign w:val="center"/>
                </w:tcPr>
                <w:p w14:paraId="7B9EA724">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176128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29746C06">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8</w:t>
                  </w:r>
                </w:p>
              </w:tc>
              <w:tc>
                <w:tcPr>
                  <w:tcW w:w="948" w:type="pct"/>
                  <w:tcBorders>
                    <w:tl2br w:val="nil"/>
                    <w:tr2bl w:val="nil"/>
                  </w:tcBorders>
                  <w:noWrap w:val="0"/>
                  <w:vAlign w:val="center"/>
                </w:tcPr>
                <w:p w14:paraId="746C9747">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lang w:val="en-US" w:eastAsia="zh-CN"/>
                    </w:rPr>
                  </w:pPr>
                  <w:r>
                    <w:rPr>
                      <w:rFonts w:hint="eastAsia" w:ascii="Times New Roman" w:hAnsi="Times New Roman" w:eastAsia="宋体" w:cs="Times New Roman"/>
                      <w:color w:val="000000"/>
                      <w:szCs w:val="21"/>
                      <w:lang w:val="en-US" w:eastAsia="zh-CN"/>
                    </w:rPr>
                    <w:t>包装机</w:t>
                  </w:r>
                </w:p>
              </w:tc>
              <w:tc>
                <w:tcPr>
                  <w:tcW w:w="823" w:type="pct"/>
                  <w:tcBorders>
                    <w:tl2br w:val="nil"/>
                    <w:tr2bl w:val="nil"/>
                  </w:tcBorders>
                  <w:noWrap w:val="0"/>
                  <w:vAlign w:val="center"/>
                </w:tcPr>
                <w:p w14:paraId="7322C27F">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bCs/>
                      <w:color w:val="000000"/>
                      <w:kern w:val="44"/>
                      <w:sz w:val="21"/>
                      <w:szCs w:val="21"/>
                      <w:lang w:val="en-US" w:eastAsia="zh-CN" w:bidi="ar-SA"/>
                    </w:rPr>
                    <w:t>6</w:t>
                  </w:r>
                </w:p>
              </w:tc>
              <w:tc>
                <w:tcPr>
                  <w:tcW w:w="948" w:type="pct"/>
                  <w:tcBorders>
                    <w:tl2br w:val="nil"/>
                    <w:tr2bl w:val="nil"/>
                  </w:tcBorders>
                  <w:noWrap w:val="0"/>
                  <w:vAlign w:val="center"/>
                </w:tcPr>
                <w:p w14:paraId="42FB057B">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8</w:t>
                  </w:r>
                </w:p>
              </w:tc>
              <w:tc>
                <w:tcPr>
                  <w:tcW w:w="751" w:type="pct"/>
                  <w:tcBorders>
                    <w:tl2br w:val="nil"/>
                    <w:tr2bl w:val="nil"/>
                  </w:tcBorders>
                  <w:noWrap w:val="0"/>
                  <w:vAlign w:val="center"/>
                </w:tcPr>
                <w:p w14:paraId="75213794">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14</w:t>
                  </w:r>
                </w:p>
              </w:tc>
              <w:tc>
                <w:tcPr>
                  <w:tcW w:w="1131" w:type="pct"/>
                  <w:tcBorders>
                    <w:tl2br w:val="nil"/>
                    <w:tr2bl w:val="nil"/>
                  </w:tcBorders>
                  <w:noWrap w:val="0"/>
                  <w:vAlign w:val="center"/>
                </w:tcPr>
                <w:p w14:paraId="38EE127E">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690C8A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319014A0">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9</w:t>
                  </w:r>
                </w:p>
              </w:tc>
              <w:tc>
                <w:tcPr>
                  <w:tcW w:w="948" w:type="pct"/>
                  <w:tcBorders>
                    <w:tl2br w:val="nil"/>
                    <w:tr2bl w:val="nil"/>
                  </w:tcBorders>
                  <w:noWrap w:val="0"/>
                  <w:vAlign w:val="center"/>
                </w:tcPr>
                <w:p w14:paraId="7E919369">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注心机</w:t>
                  </w:r>
                </w:p>
              </w:tc>
              <w:tc>
                <w:tcPr>
                  <w:tcW w:w="823" w:type="pct"/>
                  <w:tcBorders>
                    <w:tl2br w:val="nil"/>
                    <w:tr2bl w:val="nil"/>
                  </w:tcBorders>
                  <w:noWrap w:val="0"/>
                  <w:vAlign w:val="center"/>
                </w:tcPr>
                <w:p w14:paraId="1B8ED0AA">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948" w:type="pct"/>
                  <w:tcBorders>
                    <w:tl2br w:val="nil"/>
                    <w:tr2bl w:val="nil"/>
                  </w:tcBorders>
                  <w:noWrap w:val="0"/>
                  <w:vAlign w:val="center"/>
                </w:tcPr>
                <w:p w14:paraId="2747CB41">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bCs/>
                      <w:color w:val="000000"/>
                      <w:kern w:val="44"/>
                      <w:sz w:val="21"/>
                      <w:szCs w:val="21"/>
                      <w:lang w:val="en-US" w:eastAsia="zh-CN" w:bidi="ar-SA"/>
                    </w:rPr>
                    <w:t>5</w:t>
                  </w:r>
                </w:p>
              </w:tc>
              <w:tc>
                <w:tcPr>
                  <w:tcW w:w="751" w:type="pct"/>
                  <w:tcBorders>
                    <w:tl2br w:val="nil"/>
                    <w:tr2bl w:val="nil"/>
                  </w:tcBorders>
                  <w:noWrap w:val="0"/>
                  <w:vAlign w:val="center"/>
                </w:tcPr>
                <w:p w14:paraId="7DC1E767">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5</w:t>
                  </w:r>
                </w:p>
              </w:tc>
              <w:tc>
                <w:tcPr>
                  <w:tcW w:w="1131" w:type="pct"/>
                  <w:tcBorders>
                    <w:tl2br w:val="nil"/>
                    <w:tr2bl w:val="nil"/>
                  </w:tcBorders>
                  <w:noWrap w:val="0"/>
                  <w:vAlign w:val="center"/>
                </w:tcPr>
                <w:p w14:paraId="5CF38BE6">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4C5620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28E44476">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10</w:t>
                  </w:r>
                </w:p>
              </w:tc>
              <w:tc>
                <w:tcPr>
                  <w:tcW w:w="948" w:type="pct"/>
                  <w:tcBorders>
                    <w:tl2br w:val="nil"/>
                    <w:tr2bl w:val="nil"/>
                  </w:tcBorders>
                  <w:noWrap w:val="0"/>
                  <w:vAlign w:val="center"/>
                </w:tcPr>
                <w:p w14:paraId="2B064A27">
                  <w:pPr>
                    <w:keepNext w:val="0"/>
                    <w:keepLines w:val="0"/>
                    <w:pageBreakBefore w:val="0"/>
                    <w:widowControl w:val="0"/>
                    <w:suppressLineNumbers w:val="0"/>
                    <w:tabs>
                      <w:tab w:val="left" w:pos="584"/>
                    </w:tabs>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糊盒机</w:t>
                  </w:r>
                </w:p>
              </w:tc>
              <w:tc>
                <w:tcPr>
                  <w:tcW w:w="823" w:type="pct"/>
                  <w:tcBorders>
                    <w:tl2br w:val="nil"/>
                    <w:tr2bl w:val="nil"/>
                  </w:tcBorders>
                  <w:noWrap w:val="0"/>
                  <w:vAlign w:val="center"/>
                </w:tcPr>
                <w:p w14:paraId="71C129CD">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948" w:type="pct"/>
                  <w:tcBorders>
                    <w:tl2br w:val="nil"/>
                    <w:tr2bl w:val="nil"/>
                  </w:tcBorders>
                  <w:noWrap w:val="0"/>
                  <w:vAlign w:val="center"/>
                </w:tcPr>
                <w:p w14:paraId="0AE0F48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bCs/>
                      <w:color w:val="000000"/>
                      <w:kern w:val="44"/>
                      <w:sz w:val="21"/>
                      <w:szCs w:val="21"/>
                      <w:lang w:val="en-US" w:eastAsia="zh-CN" w:bidi="ar-SA"/>
                    </w:rPr>
                    <w:t>5</w:t>
                  </w:r>
                </w:p>
              </w:tc>
              <w:tc>
                <w:tcPr>
                  <w:tcW w:w="751" w:type="pct"/>
                  <w:tcBorders>
                    <w:tl2br w:val="nil"/>
                    <w:tr2bl w:val="nil"/>
                  </w:tcBorders>
                  <w:noWrap w:val="0"/>
                  <w:vAlign w:val="center"/>
                </w:tcPr>
                <w:p w14:paraId="03985C16">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5</w:t>
                  </w:r>
                </w:p>
              </w:tc>
              <w:tc>
                <w:tcPr>
                  <w:tcW w:w="1131" w:type="pct"/>
                  <w:tcBorders>
                    <w:tl2br w:val="nil"/>
                    <w:tr2bl w:val="nil"/>
                  </w:tcBorders>
                  <w:noWrap w:val="0"/>
                  <w:vAlign w:val="center"/>
                </w:tcPr>
                <w:p w14:paraId="1470F33C">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11B6F9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7291510F">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11</w:t>
                  </w:r>
                </w:p>
              </w:tc>
              <w:tc>
                <w:tcPr>
                  <w:tcW w:w="948" w:type="pct"/>
                  <w:tcBorders>
                    <w:tl2br w:val="nil"/>
                    <w:tr2bl w:val="nil"/>
                  </w:tcBorders>
                  <w:noWrap w:val="0"/>
                  <w:vAlign w:val="center"/>
                </w:tcPr>
                <w:p w14:paraId="61C29670">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八角桶</w:t>
                  </w:r>
                </w:p>
              </w:tc>
              <w:tc>
                <w:tcPr>
                  <w:tcW w:w="823" w:type="pct"/>
                  <w:tcBorders>
                    <w:tl2br w:val="nil"/>
                    <w:tr2bl w:val="nil"/>
                  </w:tcBorders>
                  <w:noWrap w:val="0"/>
                  <w:vAlign w:val="center"/>
                </w:tcPr>
                <w:p w14:paraId="7FF3F4C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948" w:type="pct"/>
                  <w:tcBorders>
                    <w:tl2br w:val="nil"/>
                    <w:tr2bl w:val="nil"/>
                  </w:tcBorders>
                  <w:noWrap w:val="0"/>
                  <w:vAlign w:val="center"/>
                </w:tcPr>
                <w:p w14:paraId="153F898E">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bCs/>
                      <w:color w:val="000000"/>
                      <w:kern w:val="44"/>
                      <w:sz w:val="21"/>
                      <w:szCs w:val="21"/>
                      <w:lang w:val="en-US" w:eastAsia="zh-CN" w:bidi="ar-SA"/>
                    </w:rPr>
                    <w:t>6</w:t>
                  </w:r>
                </w:p>
              </w:tc>
              <w:tc>
                <w:tcPr>
                  <w:tcW w:w="751" w:type="pct"/>
                  <w:tcBorders>
                    <w:tl2br w:val="nil"/>
                    <w:tr2bl w:val="nil"/>
                  </w:tcBorders>
                  <w:noWrap w:val="0"/>
                  <w:vAlign w:val="center"/>
                </w:tcPr>
                <w:p w14:paraId="7085EE60">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6</w:t>
                  </w:r>
                </w:p>
              </w:tc>
              <w:tc>
                <w:tcPr>
                  <w:tcW w:w="1131" w:type="pct"/>
                  <w:tcBorders>
                    <w:tl2br w:val="nil"/>
                    <w:tr2bl w:val="nil"/>
                  </w:tcBorders>
                  <w:noWrap w:val="0"/>
                  <w:vAlign w:val="center"/>
                </w:tcPr>
                <w:p w14:paraId="736677C0">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52B13D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5F7D484E">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12</w:t>
                  </w:r>
                </w:p>
              </w:tc>
              <w:tc>
                <w:tcPr>
                  <w:tcW w:w="948" w:type="pct"/>
                  <w:tcBorders>
                    <w:tl2br w:val="nil"/>
                    <w:tr2bl w:val="nil"/>
                  </w:tcBorders>
                  <w:noWrap w:val="0"/>
                  <w:vAlign w:val="center"/>
                </w:tcPr>
                <w:p w14:paraId="4CF71418">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化油锅</w:t>
                  </w:r>
                </w:p>
              </w:tc>
              <w:tc>
                <w:tcPr>
                  <w:tcW w:w="823" w:type="pct"/>
                  <w:tcBorders>
                    <w:tl2br w:val="nil"/>
                    <w:tr2bl w:val="nil"/>
                  </w:tcBorders>
                  <w:noWrap w:val="0"/>
                  <w:vAlign w:val="center"/>
                </w:tcPr>
                <w:p w14:paraId="518B9164">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948" w:type="pct"/>
                  <w:tcBorders>
                    <w:tl2br w:val="nil"/>
                    <w:tr2bl w:val="nil"/>
                  </w:tcBorders>
                  <w:noWrap w:val="0"/>
                  <w:vAlign w:val="center"/>
                </w:tcPr>
                <w:p w14:paraId="727A2A68">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bCs/>
                      <w:color w:val="000000"/>
                      <w:kern w:val="44"/>
                      <w:sz w:val="21"/>
                      <w:szCs w:val="21"/>
                      <w:lang w:val="en-US" w:eastAsia="zh-CN" w:bidi="ar-SA"/>
                    </w:rPr>
                    <w:t>3</w:t>
                  </w:r>
                </w:p>
              </w:tc>
              <w:tc>
                <w:tcPr>
                  <w:tcW w:w="751" w:type="pct"/>
                  <w:tcBorders>
                    <w:tl2br w:val="nil"/>
                    <w:tr2bl w:val="nil"/>
                  </w:tcBorders>
                  <w:noWrap w:val="0"/>
                  <w:vAlign w:val="center"/>
                </w:tcPr>
                <w:p w14:paraId="7E9ADAEF">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3</w:t>
                  </w:r>
                </w:p>
              </w:tc>
              <w:tc>
                <w:tcPr>
                  <w:tcW w:w="1131" w:type="pct"/>
                  <w:tcBorders>
                    <w:tl2br w:val="nil"/>
                    <w:tr2bl w:val="nil"/>
                  </w:tcBorders>
                  <w:noWrap w:val="0"/>
                  <w:vAlign w:val="center"/>
                </w:tcPr>
                <w:p w14:paraId="600E0F6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37F720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5955CE7C">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bCs/>
                      <w:color w:val="000000"/>
                      <w:kern w:val="44"/>
                      <w:sz w:val="21"/>
                      <w:szCs w:val="21"/>
                      <w:lang w:val="en-US" w:eastAsia="zh-CN" w:bidi="ar-SA"/>
                    </w:rPr>
                  </w:pPr>
                  <w:r>
                    <w:rPr>
                      <w:rFonts w:hint="default" w:ascii="Times New Roman" w:hAnsi="Times New Roman" w:cs="Times New Roman"/>
                      <w:lang w:val="en-US" w:eastAsia="zh-CN"/>
                    </w:rPr>
                    <w:t>13</w:t>
                  </w:r>
                </w:p>
              </w:tc>
              <w:tc>
                <w:tcPr>
                  <w:tcW w:w="948" w:type="pct"/>
                  <w:tcBorders>
                    <w:tl2br w:val="nil"/>
                    <w:tr2bl w:val="nil"/>
                  </w:tcBorders>
                  <w:noWrap w:val="0"/>
                  <w:vAlign w:val="center"/>
                </w:tcPr>
                <w:p w14:paraId="6351E007">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打浆机</w:t>
                  </w:r>
                </w:p>
              </w:tc>
              <w:tc>
                <w:tcPr>
                  <w:tcW w:w="823" w:type="pct"/>
                  <w:tcBorders>
                    <w:tl2br w:val="nil"/>
                    <w:tr2bl w:val="nil"/>
                  </w:tcBorders>
                  <w:noWrap w:val="0"/>
                  <w:vAlign w:val="center"/>
                </w:tcPr>
                <w:p w14:paraId="250719D3">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948" w:type="pct"/>
                  <w:tcBorders>
                    <w:tl2br w:val="nil"/>
                    <w:tr2bl w:val="nil"/>
                  </w:tcBorders>
                  <w:noWrap w:val="0"/>
                  <w:vAlign w:val="center"/>
                </w:tcPr>
                <w:p w14:paraId="1C0D8D57">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bCs/>
                      <w:color w:val="000000"/>
                      <w:kern w:val="44"/>
                      <w:sz w:val="21"/>
                      <w:szCs w:val="21"/>
                      <w:lang w:val="en-US" w:eastAsia="zh-CN" w:bidi="ar-SA"/>
                    </w:rPr>
                    <w:t>4</w:t>
                  </w:r>
                </w:p>
              </w:tc>
              <w:tc>
                <w:tcPr>
                  <w:tcW w:w="751" w:type="pct"/>
                  <w:tcBorders>
                    <w:tl2br w:val="nil"/>
                    <w:tr2bl w:val="nil"/>
                  </w:tcBorders>
                  <w:noWrap w:val="0"/>
                  <w:vAlign w:val="center"/>
                </w:tcPr>
                <w:p w14:paraId="0FF341E9">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4</w:t>
                  </w:r>
                </w:p>
              </w:tc>
              <w:tc>
                <w:tcPr>
                  <w:tcW w:w="1131" w:type="pct"/>
                  <w:tcBorders>
                    <w:tl2br w:val="nil"/>
                    <w:tr2bl w:val="nil"/>
                  </w:tcBorders>
                  <w:noWrap w:val="0"/>
                  <w:vAlign w:val="center"/>
                </w:tcPr>
                <w:p w14:paraId="63B82DE9">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590BC7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1F36AD3B">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cs="Times New Roman"/>
                      <w:lang w:val="en-US" w:eastAsia="zh-CN"/>
                    </w:rPr>
                    <w:t>14</w:t>
                  </w:r>
                </w:p>
              </w:tc>
              <w:tc>
                <w:tcPr>
                  <w:tcW w:w="948" w:type="pct"/>
                  <w:tcBorders>
                    <w:tl2br w:val="nil"/>
                    <w:tr2bl w:val="nil"/>
                  </w:tcBorders>
                  <w:noWrap w:val="0"/>
                  <w:vAlign w:val="center"/>
                </w:tcPr>
                <w:p w14:paraId="106EF463">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精磨缸</w:t>
                  </w:r>
                </w:p>
              </w:tc>
              <w:tc>
                <w:tcPr>
                  <w:tcW w:w="823" w:type="pct"/>
                  <w:tcBorders>
                    <w:tl2br w:val="nil"/>
                    <w:tr2bl w:val="nil"/>
                  </w:tcBorders>
                  <w:noWrap w:val="0"/>
                  <w:vAlign w:val="center"/>
                </w:tcPr>
                <w:p w14:paraId="296D2DA5">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948" w:type="pct"/>
                  <w:tcBorders>
                    <w:tl2br w:val="nil"/>
                    <w:tr2bl w:val="nil"/>
                  </w:tcBorders>
                  <w:noWrap w:val="0"/>
                  <w:vAlign w:val="center"/>
                </w:tcPr>
                <w:p w14:paraId="21F55430">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bCs/>
                      <w:color w:val="000000"/>
                      <w:kern w:val="44"/>
                      <w:sz w:val="21"/>
                      <w:szCs w:val="21"/>
                      <w:lang w:val="en-US" w:eastAsia="zh-CN" w:bidi="ar-SA"/>
                    </w:rPr>
                    <w:t>2</w:t>
                  </w:r>
                </w:p>
              </w:tc>
              <w:tc>
                <w:tcPr>
                  <w:tcW w:w="751" w:type="pct"/>
                  <w:tcBorders>
                    <w:tl2br w:val="nil"/>
                    <w:tr2bl w:val="nil"/>
                  </w:tcBorders>
                  <w:noWrap w:val="0"/>
                  <w:vAlign w:val="center"/>
                </w:tcPr>
                <w:p w14:paraId="5BB4D278">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2</w:t>
                  </w:r>
                </w:p>
              </w:tc>
              <w:tc>
                <w:tcPr>
                  <w:tcW w:w="1131" w:type="pct"/>
                  <w:tcBorders>
                    <w:tl2br w:val="nil"/>
                    <w:tr2bl w:val="nil"/>
                  </w:tcBorders>
                  <w:noWrap w:val="0"/>
                  <w:vAlign w:val="center"/>
                </w:tcPr>
                <w:p w14:paraId="523ABC10">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69441C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1413C31D">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cs="Times New Roman"/>
                      <w:lang w:val="en-US" w:eastAsia="zh-CN"/>
                    </w:rPr>
                    <w:t>15</w:t>
                  </w:r>
                </w:p>
              </w:tc>
              <w:tc>
                <w:tcPr>
                  <w:tcW w:w="948" w:type="pct"/>
                  <w:tcBorders>
                    <w:tl2br w:val="nil"/>
                    <w:tr2bl w:val="nil"/>
                  </w:tcBorders>
                  <w:noWrap w:val="0"/>
                  <w:vAlign w:val="center"/>
                </w:tcPr>
                <w:p w14:paraId="469BE685">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cs="Times New Roman"/>
                      <w:color w:val="000000"/>
                      <w:szCs w:val="21"/>
                      <w:lang w:val="en-US" w:eastAsia="zh-CN"/>
                    </w:rPr>
                    <w:t>激光</w:t>
                  </w:r>
                  <w:r>
                    <w:rPr>
                      <w:rFonts w:hint="eastAsia" w:ascii="Times New Roman" w:hAnsi="Times New Roman" w:eastAsia="宋体" w:cs="Times New Roman"/>
                      <w:color w:val="000000"/>
                      <w:szCs w:val="21"/>
                      <w:lang w:val="en-US" w:eastAsia="zh-CN"/>
                    </w:rPr>
                    <w:t>喷码机</w:t>
                  </w:r>
                </w:p>
              </w:tc>
              <w:tc>
                <w:tcPr>
                  <w:tcW w:w="823" w:type="pct"/>
                  <w:tcBorders>
                    <w:tl2br w:val="nil"/>
                    <w:tr2bl w:val="nil"/>
                  </w:tcBorders>
                  <w:noWrap w:val="0"/>
                  <w:vAlign w:val="center"/>
                </w:tcPr>
                <w:p w14:paraId="5F22DA68">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948" w:type="pct"/>
                  <w:tcBorders>
                    <w:tl2br w:val="nil"/>
                    <w:tr2bl w:val="nil"/>
                  </w:tcBorders>
                  <w:noWrap w:val="0"/>
                  <w:vAlign w:val="center"/>
                </w:tcPr>
                <w:p w14:paraId="3F57D74E">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bCs/>
                      <w:color w:val="000000"/>
                      <w:kern w:val="44"/>
                      <w:sz w:val="21"/>
                      <w:szCs w:val="21"/>
                      <w:lang w:val="en-US" w:eastAsia="zh-CN" w:bidi="ar-SA"/>
                    </w:rPr>
                    <w:t>8</w:t>
                  </w:r>
                </w:p>
              </w:tc>
              <w:tc>
                <w:tcPr>
                  <w:tcW w:w="751" w:type="pct"/>
                  <w:tcBorders>
                    <w:tl2br w:val="nil"/>
                    <w:tr2bl w:val="nil"/>
                  </w:tcBorders>
                  <w:noWrap w:val="0"/>
                  <w:vAlign w:val="center"/>
                </w:tcPr>
                <w:p w14:paraId="59248FCE">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kern w:val="44"/>
                      <w:sz w:val="21"/>
                      <w:szCs w:val="21"/>
                      <w:lang w:val="en-US" w:eastAsia="zh-CN" w:bidi="ar-SA"/>
                    </w:rPr>
                  </w:pPr>
                  <w:r>
                    <w:rPr>
                      <w:rFonts w:hint="eastAsia" w:ascii="Times New Roman" w:hAnsi="Times New Roman" w:eastAsia="宋体" w:cs="Times New Roman"/>
                      <w:color w:val="000000"/>
                      <w:szCs w:val="21"/>
                      <w:lang w:val="en-US" w:eastAsia="zh-CN"/>
                    </w:rPr>
                    <w:t>8</w:t>
                  </w:r>
                </w:p>
              </w:tc>
              <w:tc>
                <w:tcPr>
                  <w:tcW w:w="1131" w:type="pct"/>
                  <w:tcBorders>
                    <w:tl2br w:val="nil"/>
                    <w:tr2bl w:val="nil"/>
                  </w:tcBorders>
                  <w:noWrap w:val="0"/>
                  <w:vAlign w:val="center"/>
                </w:tcPr>
                <w:p w14:paraId="1F092935">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kern w:val="2"/>
                      <w:sz w:val="21"/>
                      <w:szCs w:val="24"/>
                      <w:lang w:val="en-US" w:eastAsia="zh-CN" w:bidi="ar-SA"/>
                    </w:rPr>
                  </w:pPr>
                  <w:r>
                    <w:rPr>
                      <w:rFonts w:hint="eastAsia" w:ascii="Times New Roman" w:hAnsi="Times New Roman" w:cs="Times New Roman"/>
                      <w:lang w:val="en-US" w:eastAsia="zh-CN"/>
                    </w:rPr>
                    <w:t>国产</w:t>
                  </w:r>
                </w:p>
              </w:tc>
            </w:tr>
            <w:tr w14:paraId="750080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96" w:type="pct"/>
                  <w:tcBorders>
                    <w:tl2br w:val="nil"/>
                    <w:tr2bl w:val="nil"/>
                  </w:tcBorders>
                  <w:noWrap w:val="0"/>
                  <w:vAlign w:val="center"/>
                </w:tcPr>
                <w:p w14:paraId="1589DC6A">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lang w:val="en-US" w:eastAsia="zh-CN"/>
                    </w:rPr>
                  </w:pPr>
                  <w:r>
                    <w:rPr>
                      <w:rFonts w:hint="eastAsia" w:cs="Times New Roman"/>
                      <w:lang w:val="en-US" w:eastAsia="zh-CN"/>
                    </w:rPr>
                    <w:t>16</w:t>
                  </w:r>
                </w:p>
              </w:tc>
              <w:tc>
                <w:tcPr>
                  <w:tcW w:w="948" w:type="pct"/>
                  <w:tcBorders>
                    <w:tl2br w:val="nil"/>
                    <w:tr2bl w:val="nil"/>
                  </w:tcBorders>
                  <w:noWrap w:val="0"/>
                  <w:vAlign w:val="center"/>
                </w:tcPr>
                <w:p w14:paraId="01FA5C21">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金属检测机</w:t>
                  </w:r>
                </w:p>
              </w:tc>
              <w:tc>
                <w:tcPr>
                  <w:tcW w:w="823" w:type="pct"/>
                  <w:tcBorders>
                    <w:tl2br w:val="nil"/>
                    <w:tr2bl w:val="nil"/>
                  </w:tcBorders>
                  <w:noWrap w:val="0"/>
                  <w:vAlign w:val="center"/>
                </w:tcPr>
                <w:p w14:paraId="51EEC58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cs="Times New Roman"/>
                      <w:lang w:val="en-US" w:eastAsia="zh-CN"/>
                    </w:rPr>
                  </w:pPr>
                  <w:r>
                    <w:rPr>
                      <w:rFonts w:hint="eastAsia" w:cs="Times New Roman"/>
                      <w:lang w:val="en-US" w:eastAsia="zh-CN"/>
                    </w:rPr>
                    <w:t>1</w:t>
                  </w:r>
                </w:p>
              </w:tc>
              <w:tc>
                <w:tcPr>
                  <w:tcW w:w="948" w:type="pct"/>
                  <w:tcBorders>
                    <w:tl2br w:val="nil"/>
                    <w:tr2bl w:val="nil"/>
                  </w:tcBorders>
                  <w:noWrap w:val="0"/>
                  <w:vAlign w:val="center"/>
                </w:tcPr>
                <w:p w14:paraId="7CBFC43C">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cs="Times New Roman"/>
                      <w:bCs/>
                      <w:color w:val="000000"/>
                      <w:kern w:val="44"/>
                      <w:sz w:val="21"/>
                      <w:szCs w:val="21"/>
                      <w:lang w:val="en-US" w:eastAsia="zh-CN" w:bidi="ar-SA"/>
                    </w:rPr>
                    <w:t>2</w:t>
                  </w:r>
                </w:p>
              </w:tc>
              <w:tc>
                <w:tcPr>
                  <w:tcW w:w="751" w:type="pct"/>
                  <w:tcBorders>
                    <w:tl2br w:val="nil"/>
                    <w:tr2bl w:val="nil"/>
                  </w:tcBorders>
                  <w:noWrap w:val="0"/>
                  <w:vAlign w:val="center"/>
                </w:tcPr>
                <w:p w14:paraId="0576BD52">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3</w:t>
                  </w:r>
                </w:p>
              </w:tc>
              <w:tc>
                <w:tcPr>
                  <w:tcW w:w="1131" w:type="pct"/>
                  <w:tcBorders>
                    <w:tl2br w:val="nil"/>
                    <w:tr2bl w:val="nil"/>
                  </w:tcBorders>
                  <w:noWrap w:val="0"/>
                  <w:vAlign w:val="center"/>
                </w:tcPr>
                <w:p w14:paraId="5FF911CB">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lang w:val="en-US" w:eastAsia="zh-CN"/>
                    </w:rPr>
                  </w:pPr>
                  <w:r>
                    <w:rPr>
                      <w:rFonts w:hint="eastAsia" w:cs="Times New Roman"/>
                      <w:lang w:val="en-US" w:eastAsia="zh-CN"/>
                    </w:rPr>
                    <w:t>国产</w:t>
                  </w:r>
                </w:p>
              </w:tc>
            </w:tr>
          </w:tbl>
          <w:p w14:paraId="1B8391D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b/>
                <w:bCs/>
                <w:color w:val="auto"/>
                <w:sz w:val="24"/>
                <w:szCs w:val="24"/>
                <w:lang w:val="en-US" w:eastAsia="zh-CN"/>
              </w:rPr>
            </w:pPr>
          </w:p>
          <w:p w14:paraId="460C004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b/>
                <w:bCs/>
                <w:color w:val="auto"/>
                <w:sz w:val="24"/>
                <w:szCs w:val="24"/>
                <w:lang w:val="en-US" w:eastAsia="zh-CN"/>
              </w:rPr>
            </w:pPr>
          </w:p>
          <w:p w14:paraId="23B58AC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b/>
                <w:bCs/>
                <w:color w:val="auto"/>
                <w:sz w:val="24"/>
                <w:szCs w:val="24"/>
                <w:lang w:val="en-US" w:eastAsia="zh-CN"/>
              </w:rPr>
            </w:pPr>
          </w:p>
          <w:p w14:paraId="31E6055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b/>
                <w:bCs/>
                <w:color w:val="auto"/>
                <w:sz w:val="24"/>
                <w:szCs w:val="24"/>
                <w:lang w:val="en-US" w:eastAsia="zh-CN"/>
              </w:rPr>
            </w:pPr>
          </w:p>
          <w:p w14:paraId="5FF5268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cs="宋体"/>
                <w:b/>
                <w:bCs/>
                <w:kern w:val="0"/>
                <w:sz w:val="24"/>
                <w:szCs w:val="24"/>
              </w:rPr>
            </w:pPr>
            <w:r>
              <w:rPr>
                <w:rFonts w:hint="eastAsia" w:cs="宋体"/>
                <w:b/>
                <w:bCs/>
                <w:color w:val="auto"/>
                <w:sz w:val="24"/>
                <w:szCs w:val="24"/>
                <w:lang w:val="en-US" w:eastAsia="zh-CN"/>
              </w:rPr>
              <w:t>5、</w:t>
            </w:r>
            <w:r>
              <w:rPr>
                <w:rFonts w:hint="eastAsia" w:ascii="Times New Roman" w:hAnsi="Times New Roman" w:eastAsia="宋体" w:cs="宋体"/>
                <w:b/>
                <w:bCs/>
                <w:color w:val="auto"/>
                <w:sz w:val="24"/>
                <w:szCs w:val="24"/>
                <w:lang w:val="en-US" w:eastAsia="zh-CN"/>
              </w:rPr>
              <w:t>主要</w:t>
            </w:r>
            <w:r>
              <w:rPr>
                <w:rFonts w:hint="eastAsia" w:ascii="Times New Roman" w:hAnsi="Times New Roman" w:cs="宋体"/>
                <w:b/>
                <w:bCs/>
                <w:sz w:val="24"/>
                <w:szCs w:val="24"/>
              </w:rPr>
              <w:t>原辅材料及年消耗量</w:t>
            </w:r>
          </w:p>
          <w:p w14:paraId="4122C0F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bCs/>
                <w:kern w:val="0"/>
                <w:sz w:val="24"/>
                <w:szCs w:val="24"/>
                <w:lang w:val="en-US" w:eastAsia="zh-CN"/>
              </w:rPr>
            </w:pPr>
            <w:r>
              <w:rPr>
                <w:rFonts w:hint="eastAsia" w:ascii="Times New Roman" w:hAnsi="Times New Roman" w:cs="宋体"/>
                <w:b/>
                <w:bCs/>
                <w:kern w:val="0"/>
                <w:sz w:val="24"/>
                <w:szCs w:val="24"/>
              </w:rPr>
              <w:t>表</w:t>
            </w:r>
            <w:r>
              <w:rPr>
                <w:rFonts w:hint="default" w:ascii="Times New Roman" w:hAnsi="Times New Roman" w:cs="宋体"/>
                <w:b/>
                <w:bCs/>
                <w:kern w:val="0"/>
                <w:sz w:val="24"/>
                <w:szCs w:val="24"/>
              </w:rPr>
              <w:t>2-</w:t>
            </w:r>
            <w:r>
              <w:rPr>
                <w:rFonts w:hint="eastAsia" w:ascii="Times New Roman" w:hAnsi="Times New Roman" w:cs="宋体"/>
                <w:b/>
                <w:bCs/>
                <w:kern w:val="0"/>
                <w:sz w:val="24"/>
                <w:szCs w:val="24"/>
                <w:lang w:val="en-US" w:eastAsia="zh-CN"/>
              </w:rPr>
              <w:t>4</w:t>
            </w:r>
            <w:r>
              <w:rPr>
                <w:rFonts w:hint="default" w:ascii="Times New Roman" w:hAnsi="Times New Roman" w:cs="宋体"/>
                <w:b/>
                <w:bCs/>
                <w:kern w:val="0"/>
                <w:sz w:val="24"/>
                <w:szCs w:val="24"/>
              </w:rPr>
              <w:t xml:space="preserve">  </w:t>
            </w:r>
            <w:r>
              <w:rPr>
                <w:rFonts w:hint="eastAsia" w:ascii="Times New Roman" w:hAnsi="Times New Roman" w:cs="宋体"/>
                <w:b/>
                <w:bCs/>
                <w:kern w:val="0"/>
                <w:sz w:val="24"/>
                <w:szCs w:val="24"/>
              </w:rPr>
              <w:t>建设项目主要原辅材料及能源消耗</w:t>
            </w:r>
          </w:p>
          <w:tbl>
            <w:tblPr>
              <w:tblStyle w:val="29"/>
              <w:tblW w:w="4995"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68"/>
              <w:gridCol w:w="624"/>
              <w:gridCol w:w="195"/>
              <w:gridCol w:w="694"/>
              <w:gridCol w:w="754"/>
              <w:gridCol w:w="710"/>
              <w:gridCol w:w="650"/>
              <w:gridCol w:w="832"/>
              <w:gridCol w:w="848"/>
              <w:gridCol w:w="2349"/>
            </w:tblGrid>
            <w:tr w14:paraId="15527D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288" w:type="pct"/>
                  <w:tcBorders>
                    <w:tl2br w:val="nil"/>
                    <w:tr2bl w:val="nil"/>
                  </w:tcBorders>
                  <w:noWrap w:val="0"/>
                  <w:vAlign w:val="center"/>
                </w:tcPr>
                <w:p w14:paraId="246991BA">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Cs w:val="21"/>
                      <w:lang w:val="en-US" w:eastAsia="zh-CN"/>
                    </w:rPr>
                  </w:pPr>
                  <w:r>
                    <w:rPr>
                      <w:rFonts w:hint="eastAsia" w:ascii="Times New Roman" w:hAnsi="Times New Roman" w:cs="Times New Roman"/>
                      <w:b/>
                      <w:bCs w:val="0"/>
                      <w:szCs w:val="21"/>
                      <w:lang w:val="en-US" w:eastAsia="zh-CN"/>
                    </w:rPr>
                    <w:t>序号</w:t>
                  </w:r>
                </w:p>
              </w:tc>
              <w:tc>
                <w:tcPr>
                  <w:tcW w:w="504" w:type="pct"/>
                  <w:gridSpan w:val="2"/>
                  <w:tcBorders>
                    <w:tl2br w:val="nil"/>
                    <w:tr2bl w:val="nil"/>
                  </w:tcBorders>
                  <w:noWrap w:val="0"/>
                  <w:vAlign w:val="center"/>
                </w:tcPr>
                <w:p w14:paraId="2F423401">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Cs w:val="21"/>
                      <w:lang w:val="en-US" w:eastAsia="zh-CN"/>
                    </w:rPr>
                  </w:pPr>
                  <w:r>
                    <w:rPr>
                      <w:rFonts w:hint="eastAsia" w:ascii="Times New Roman" w:hAnsi="Times New Roman" w:cs="Times New Roman"/>
                      <w:b/>
                      <w:bCs w:val="0"/>
                      <w:szCs w:val="21"/>
                      <w:lang w:val="en-US" w:eastAsia="zh-CN"/>
                    </w:rPr>
                    <w:t>名称</w:t>
                  </w:r>
                </w:p>
              </w:tc>
              <w:tc>
                <w:tcPr>
                  <w:tcW w:w="427" w:type="pct"/>
                  <w:tcBorders>
                    <w:tl2br w:val="nil"/>
                    <w:tr2bl w:val="nil"/>
                  </w:tcBorders>
                  <w:noWrap w:val="0"/>
                  <w:vAlign w:val="center"/>
                </w:tcPr>
                <w:p w14:paraId="3885340C">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Cs w:val="21"/>
                      <w:lang w:val="en-US" w:eastAsia="zh-CN"/>
                    </w:rPr>
                  </w:pPr>
                  <w:r>
                    <w:rPr>
                      <w:rFonts w:hint="eastAsia" w:ascii="Times New Roman" w:hAnsi="Times New Roman" w:cs="Times New Roman"/>
                      <w:b/>
                      <w:bCs w:val="0"/>
                      <w:szCs w:val="21"/>
                      <w:lang w:val="en-US" w:eastAsia="zh-CN"/>
                    </w:rPr>
                    <w:t>单位</w:t>
                  </w:r>
                </w:p>
              </w:tc>
              <w:tc>
                <w:tcPr>
                  <w:tcW w:w="464" w:type="pct"/>
                  <w:tcBorders>
                    <w:tl2br w:val="nil"/>
                    <w:tr2bl w:val="nil"/>
                  </w:tcBorders>
                  <w:noWrap w:val="0"/>
                  <w:vAlign w:val="center"/>
                </w:tcPr>
                <w:p w14:paraId="39AC3A88">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Cs w:val="21"/>
                      <w:lang w:val="en-US" w:eastAsia="zh-CN"/>
                    </w:rPr>
                  </w:pPr>
                  <w:r>
                    <w:rPr>
                      <w:rFonts w:hint="eastAsia" w:ascii="Times New Roman" w:hAnsi="Times New Roman" w:cs="Times New Roman"/>
                      <w:b/>
                      <w:bCs w:val="0"/>
                      <w:szCs w:val="21"/>
                      <w:lang w:val="en-US" w:eastAsia="zh-CN"/>
                    </w:rPr>
                    <w:t>现有工程用量</w:t>
                  </w:r>
                </w:p>
              </w:tc>
              <w:tc>
                <w:tcPr>
                  <w:tcW w:w="436" w:type="pct"/>
                  <w:tcBorders>
                    <w:tl2br w:val="nil"/>
                    <w:tr2bl w:val="nil"/>
                  </w:tcBorders>
                  <w:noWrap w:val="0"/>
                  <w:vAlign w:val="center"/>
                </w:tcPr>
                <w:p w14:paraId="51CA325E">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Cs w:val="21"/>
                      <w:lang w:val="en-US" w:eastAsia="zh-CN"/>
                    </w:rPr>
                  </w:pPr>
                  <w:r>
                    <w:rPr>
                      <w:rFonts w:hint="eastAsia" w:ascii="Times New Roman" w:hAnsi="Times New Roman" w:cs="Times New Roman"/>
                      <w:b/>
                      <w:bCs w:val="0"/>
                      <w:szCs w:val="21"/>
                      <w:lang w:val="en-US" w:eastAsia="zh-CN"/>
                    </w:rPr>
                    <w:t>扩建项目用量</w:t>
                  </w:r>
                </w:p>
              </w:tc>
              <w:tc>
                <w:tcPr>
                  <w:tcW w:w="400" w:type="pct"/>
                  <w:tcBorders>
                    <w:tl2br w:val="nil"/>
                    <w:tr2bl w:val="nil"/>
                  </w:tcBorders>
                  <w:noWrap w:val="0"/>
                  <w:vAlign w:val="center"/>
                </w:tcPr>
                <w:p w14:paraId="1202983E">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Cs w:val="21"/>
                      <w:lang w:val="en-US" w:eastAsia="zh-CN"/>
                    </w:rPr>
                  </w:pPr>
                  <w:r>
                    <w:rPr>
                      <w:rFonts w:hint="eastAsia" w:ascii="Times New Roman" w:hAnsi="Times New Roman" w:cs="Times New Roman"/>
                      <w:b/>
                      <w:bCs w:val="0"/>
                      <w:szCs w:val="21"/>
                      <w:lang w:val="en-US" w:eastAsia="zh-CN"/>
                    </w:rPr>
                    <w:t>全厂用量</w:t>
                  </w:r>
                </w:p>
              </w:tc>
              <w:tc>
                <w:tcPr>
                  <w:tcW w:w="511" w:type="pct"/>
                  <w:tcBorders>
                    <w:tl2br w:val="nil"/>
                    <w:tr2bl w:val="nil"/>
                  </w:tcBorders>
                  <w:noWrap w:val="0"/>
                  <w:vAlign w:val="center"/>
                </w:tcPr>
                <w:p w14:paraId="52673F8F">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Cs w:val="21"/>
                      <w:lang w:val="en-US" w:eastAsia="zh-CN"/>
                    </w:rPr>
                  </w:pPr>
                  <w:r>
                    <w:rPr>
                      <w:rFonts w:hint="eastAsia" w:cs="Times New Roman"/>
                      <w:b/>
                      <w:bCs w:val="0"/>
                      <w:szCs w:val="21"/>
                      <w:lang w:val="en-US" w:eastAsia="zh-CN"/>
                    </w:rPr>
                    <w:t>贮存位置</w:t>
                  </w:r>
                </w:p>
              </w:tc>
              <w:tc>
                <w:tcPr>
                  <w:tcW w:w="522" w:type="pct"/>
                  <w:tcBorders>
                    <w:tl2br w:val="nil"/>
                    <w:tr2bl w:val="nil"/>
                  </w:tcBorders>
                  <w:noWrap w:val="0"/>
                  <w:vAlign w:val="center"/>
                </w:tcPr>
                <w:p w14:paraId="2FC23467">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Cs w:val="21"/>
                      <w:lang w:val="en-US" w:eastAsia="zh-CN"/>
                    </w:rPr>
                  </w:pPr>
                  <w:r>
                    <w:rPr>
                      <w:rFonts w:hint="eastAsia" w:cs="Times New Roman"/>
                      <w:b/>
                      <w:bCs w:val="0"/>
                      <w:szCs w:val="21"/>
                      <w:lang w:val="en-US" w:eastAsia="zh-CN"/>
                    </w:rPr>
                    <w:t>贮存周期（天）</w:t>
                  </w:r>
                </w:p>
              </w:tc>
              <w:tc>
                <w:tcPr>
                  <w:tcW w:w="1444" w:type="pct"/>
                  <w:tcBorders>
                    <w:tl2br w:val="nil"/>
                    <w:tr2bl w:val="nil"/>
                  </w:tcBorders>
                  <w:noWrap w:val="0"/>
                  <w:vAlign w:val="center"/>
                </w:tcPr>
                <w:p w14:paraId="272A1BBB">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Cs w:val="21"/>
                      <w:lang w:val="en-US" w:eastAsia="zh-CN"/>
                    </w:rPr>
                  </w:pPr>
                  <w:r>
                    <w:rPr>
                      <w:rFonts w:hint="eastAsia" w:ascii="Times New Roman" w:hAnsi="Times New Roman" w:cs="Times New Roman"/>
                      <w:b/>
                      <w:bCs w:val="0"/>
                      <w:szCs w:val="21"/>
                      <w:lang w:val="en-US" w:eastAsia="zh-CN"/>
                    </w:rPr>
                    <w:t>备注</w:t>
                  </w:r>
                </w:p>
              </w:tc>
            </w:tr>
            <w:tr w14:paraId="669BB6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000" w:type="pct"/>
                  <w:gridSpan w:val="10"/>
                  <w:tcBorders>
                    <w:tl2br w:val="nil"/>
                    <w:tr2bl w:val="nil"/>
                  </w:tcBorders>
                  <w:noWrap w:val="0"/>
                  <w:vAlign w:val="center"/>
                </w:tcPr>
                <w:p w14:paraId="152EA81F">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Cs w:val="21"/>
                      <w:lang w:val="en-US" w:eastAsia="zh-CN"/>
                    </w:rPr>
                  </w:pPr>
                  <w:r>
                    <w:rPr>
                      <w:rFonts w:hint="eastAsia" w:cs="Times New Roman"/>
                      <w:szCs w:val="21"/>
                      <w:lang w:val="en-US" w:eastAsia="zh-CN"/>
                    </w:rPr>
                    <w:t>食品生产</w:t>
                  </w:r>
                </w:p>
              </w:tc>
            </w:tr>
            <w:tr w14:paraId="0DD3C5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7887EEC2">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w:t>
                  </w:r>
                </w:p>
              </w:tc>
              <w:tc>
                <w:tcPr>
                  <w:tcW w:w="504" w:type="pct"/>
                  <w:gridSpan w:val="2"/>
                  <w:tcBorders>
                    <w:tl2br w:val="nil"/>
                    <w:tr2bl w:val="nil"/>
                  </w:tcBorders>
                  <w:noWrap w:val="0"/>
                  <w:vAlign w:val="center"/>
                </w:tcPr>
                <w:p w14:paraId="56E9D62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ascii="Times New Roman" w:hAnsi="Times New Roman" w:cs="Times New Roman"/>
                      <w:b w:val="0"/>
                      <w:bCs/>
                      <w:kern w:val="0"/>
                      <w:szCs w:val="21"/>
                      <w:lang w:val="en-US" w:eastAsia="zh-CN" w:bidi="ar"/>
                    </w:rPr>
                    <w:t>果粉</w:t>
                  </w:r>
                </w:p>
              </w:tc>
              <w:tc>
                <w:tcPr>
                  <w:tcW w:w="427" w:type="pct"/>
                  <w:tcBorders>
                    <w:tl2br w:val="nil"/>
                    <w:tr2bl w:val="nil"/>
                  </w:tcBorders>
                  <w:noWrap w:val="0"/>
                  <w:vAlign w:val="center"/>
                </w:tcPr>
                <w:p w14:paraId="4C01C9CF">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t/a</w:t>
                  </w:r>
                </w:p>
              </w:tc>
              <w:tc>
                <w:tcPr>
                  <w:tcW w:w="464" w:type="pct"/>
                  <w:tcBorders>
                    <w:tl2br w:val="nil"/>
                    <w:tr2bl w:val="nil"/>
                  </w:tcBorders>
                  <w:noWrap w:val="0"/>
                  <w:vAlign w:val="center"/>
                </w:tcPr>
                <w:p w14:paraId="196F1A8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9</w:t>
                  </w:r>
                </w:p>
              </w:tc>
              <w:tc>
                <w:tcPr>
                  <w:tcW w:w="436" w:type="pct"/>
                  <w:tcBorders>
                    <w:tl2br w:val="nil"/>
                    <w:tr2bl w:val="nil"/>
                  </w:tcBorders>
                  <w:noWrap w:val="0"/>
                  <w:vAlign w:val="center"/>
                </w:tcPr>
                <w:p w14:paraId="01F32D6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40</w:t>
                  </w:r>
                </w:p>
              </w:tc>
              <w:tc>
                <w:tcPr>
                  <w:tcW w:w="400" w:type="pct"/>
                  <w:tcBorders>
                    <w:tl2br w:val="nil"/>
                    <w:tr2bl w:val="nil"/>
                  </w:tcBorders>
                  <w:noWrap w:val="0"/>
                  <w:vAlign w:val="center"/>
                </w:tcPr>
                <w:p w14:paraId="5092490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49</w:t>
                  </w:r>
                </w:p>
              </w:tc>
              <w:tc>
                <w:tcPr>
                  <w:tcW w:w="511" w:type="pct"/>
                  <w:tcBorders>
                    <w:tl2br w:val="nil"/>
                    <w:tr2bl w:val="nil"/>
                  </w:tcBorders>
                  <w:noWrap w:val="0"/>
                  <w:vAlign w:val="center"/>
                </w:tcPr>
                <w:p w14:paraId="5F28B6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原料库</w:t>
                  </w:r>
                </w:p>
              </w:tc>
              <w:tc>
                <w:tcPr>
                  <w:tcW w:w="522" w:type="pct"/>
                  <w:tcBorders>
                    <w:tl2br w:val="nil"/>
                    <w:tr2bl w:val="nil"/>
                  </w:tcBorders>
                  <w:noWrap w:val="0"/>
                  <w:vAlign w:val="center"/>
                </w:tcPr>
                <w:p w14:paraId="4D1CB1E9">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40</w:t>
                  </w:r>
                </w:p>
              </w:tc>
              <w:tc>
                <w:tcPr>
                  <w:tcW w:w="1444" w:type="pct"/>
                  <w:tcBorders>
                    <w:tl2br w:val="nil"/>
                    <w:tr2bl w:val="nil"/>
                  </w:tcBorders>
                  <w:noWrap w:val="0"/>
                  <w:vAlign w:val="center"/>
                </w:tcPr>
                <w:p w14:paraId="1804F63F">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default" w:ascii="Times New Roman" w:hAnsi="Times New Roman" w:cs="Times New Roman"/>
                      <w:szCs w:val="21"/>
                    </w:rPr>
                    <w:t>外购</w:t>
                  </w:r>
                  <w:r>
                    <w:rPr>
                      <w:rFonts w:hint="eastAsia" w:ascii="Times New Roman" w:hAnsi="Times New Roman" w:cs="Times New Roman"/>
                      <w:szCs w:val="21"/>
                    </w:rPr>
                    <w:t>、</w:t>
                  </w:r>
                  <w:r>
                    <w:rPr>
                      <w:rFonts w:hint="eastAsia" w:ascii="Times New Roman" w:hAnsi="Times New Roman" w:cs="Times New Roman"/>
                      <w:szCs w:val="21"/>
                      <w:lang w:val="en-US" w:eastAsia="zh-CN"/>
                    </w:rPr>
                    <w:t>粉</w:t>
                  </w:r>
                  <w:r>
                    <w:rPr>
                      <w:rFonts w:hint="eastAsia" w:ascii="Times New Roman" w:hAnsi="Times New Roman" w:cs="Times New Roman"/>
                      <w:szCs w:val="21"/>
                    </w:rPr>
                    <w:t>状、袋装</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最大暂存量为5t</w:t>
                  </w:r>
                </w:p>
              </w:tc>
            </w:tr>
            <w:tr w14:paraId="28572A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590A7B4B">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w:t>
                  </w:r>
                </w:p>
              </w:tc>
              <w:tc>
                <w:tcPr>
                  <w:tcW w:w="504" w:type="pct"/>
                  <w:gridSpan w:val="2"/>
                  <w:tcBorders>
                    <w:tl2br w:val="nil"/>
                    <w:tr2bl w:val="nil"/>
                  </w:tcBorders>
                  <w:noWrap w:val="0"/>
                  <w:vAlign w:val="center"/>
                </w:tcPr>
                <w:p w14:paraId="76EF3D0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ascii="Times New Roman" w:hAnsi="Times New Roman" w:cs="Times New Roman"/>
                      <w:b w:val="0"/>
                      <w:bCs/>
                      <w:kern w:val="0"/>
                      <w:szCs w:val="21"/>
                      <w:lang w:val="en-US" w:eastAsia="zh-CN" w:bidi="ar"/>
                    </w:rPr>
                    <w:t>谷物粉</w:t>
                  </w:r>
                </w:p>
              </w:tc>
              <w:tc>
                <w:tcPr>
                  <w:tcW w:w="427" w:type="pct"/>
                  <w:tcBorders>
                    <w:tl2br w:val="nil"/>
                    <w:tr2bl w:val="nil"/>
                  </w:tcBorders>
                  <w:noWrap w:val="0"/>
                  <w:vAlign w:val="center"/>
                </w:tcPr>
                <w:p w14:paraId="559ED243">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t/a</w:t>
                  </w:r>
                </w:p>
              </w:tc>
              <w:tc>
                <w:tcPr>
                  <w:tcW w:w="464" w:type="pct"/>
                  <w:tcBorders>
                    <w:tl2br w:val="nil"/>
                    <w:tr2bl w:val="nil"/>
                  </w:tcBorders>
                  <w:noWrap w:val="0"/>
                  <w:vAlign w:val="center"/>
                </w:tcPr>
                <w:p w14:paraId="12114F5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500</w:t>
                  </w:r>
                </w:p>
              </w:tc>
              <w:tc>
                <w:tcPr>
                  <w:tcW w:w="436" w:type="pct"/>
                  <w:tcBorders>
                    <w:tl2br w:val="nil"/>
                    <w:tr2bl w:val="nil"/>
                  </w:tcBorders>
                  <w:noWrap w:val="0"/>
                  <w:vAlign w:val="center"/>
                </w:tcPr>
                <w:p w14:paraId="13BD17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2300</w:t>
                  </w:r>
                </w:p>
              </w:tc>
              <w:tc>
                <w:tcPr>
                  <w:tcW w:w="400" w:type="pct"/>
                  <w:tcBorders>
                    <w:tl2br w:val="nil"/>
                    <w:tr2bl w:val="nil"/>
                  </w:tcBorders>
                  <w:noWrap w:val="0"/>
                  <w:vAlign w:val="center"/>
                </w:tcPr>
                <w:p w14:paraId="7356823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2800</w:t>
                  </w:r>
                </w:p>
              </w:tc>
              <w:tc>
                <w:tcPr>
                  <w:tcW w:w="511" w:type="pct"/>
                  <w:tcBorders>
                    <w:tl2br w:val="nil"/>
                    <w:tr2bl w:val="nil"/>
                  </w:tcBorders>
                  <w:shd w:val="clear" w:color="auto" w:fill="auto"/>
                  <w:noWrap w:val="0"/>
                  <w:vAlign w:val="center"/>
                </w:tcPr>
                <w:p w14:paraId="604776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原料库</w:t>
                  </w:r>
                </w:p>
              </w:tc>
              <w:tc>
                <w:tcPr>
                  <w:tcW w:w="522" w:type="pct"/>
                  <w:tcBorders>
                    <w:tl2br w:val="nil"/>
                    <w:tr2bl w:val="nil"/>
                  </w:tcBorders>
                  <w:noWrap w:val="0"/>
                  <w:vAlign w:val="center"/>
                </w:tcPr>
                <w:p w14:paraId="1CB7B4B7">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10</w:t>
                  </w:r>
                </w:p>
              </w:tc>
              <w:tc>
                <w:tcPr>
                  <w:tcW w:w="1444" w:type="pct"/>
                  <w:tcBorders>
                    <w:tl2br w:val="nil"/>
                    <w:tr2bl w:val="nil"/>
                  </w:tcBorders>
                  <w:noWrap w:val="0"/>
                  <w:vAlign w:val="center"/>
                </w:tcPr>
                <w:p w14:paraId="615B69DB">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cs="Times New Roman"/>
                      <w:szCs w:val="21"/>
                      <w:lang w:val="en-US" w:eastAsia="zh-CN"/>
                    </w:rPr>
                    <w:t>主要</w:t>
                  </w:r>
                  <w:r>
                    <w:rPr>
                      <w:rFonts w:hint="default" w:ascii="Times New Roman" w:hAnsi="Times New Roman" w:cs="Times New Roman"/>
                      <w:szCs w:val="21"/>
                    </w:rPr>
                    <w:t>外购</w:t>
                  </w:r>
                  <w:r>
                    <w:rPr>
                      <w:rFonts w:hint="eastAsia" w:cs="Times New Roman"/>
                      <w:szCs w:val="21"/>
                      <w:lang w:eastAsia="zh-CN"/>
                    </w:rPr>
                    <w:t>（</w:t>
                  </w:r>
                  <w:r>
                    <w:rPr>
                      <w:rFonts w:hint="eastAsia" w:ascii="Times New Roman" w:hAnsi="Times New Roman" w:cs="Times New Roman"/>
                      <w:szCs w:val="21"/>
                    </w:rPr>
                    <w:t>粉状、袋装</w:t>
                  </w:r>
                  <w:r>
                    <w:rPr>
                      <w:rFonts w:hint="eastAsia" w:cs="Times New Roman"/>
                      <w:szCs w:val="21"/>
                      <w:lang w:eastAsia="zh-CN"/>
                    </w:rPr>
                    <w:t>），</w:t>
                  </w:r>
                  <w:r>
                    <w:rPr>
                      <w:rFonts w:hint="eastAsia" w:cs="Times New Roman"/>
                      <w:szCs w:val="21"/>
                      <w:lang w:val="en-US" w:eastAsia="zh-CN"/>
                    </w:rPr>
                    <w:t>本项目部分由企业自主磨制（谷物约500t/a）</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最大暂存量为50t</w:t>
                  </w:r>
                </w:p>
              </w:tc>
            </w:tr>
            <w:tr w14:paraId="1BBA06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7B97EC60">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504" w:type="pct"/>
                  <w:gridSpan w:val="2"/>
                  <w:tcBorders>
                    <w:tl2br w:val="nil"/>
                    <w:tr2bl w:val="nil"/>
                  </w:tcBorders>
                  <w:noWrap w:val="0"/>
                  <w:vAlign w:val="center"/>
                </w:tcPr>
                <w:p w14:paraId="12919538">
                  <w:pPr>
                    <w:pStyle w:val="10"/>
                    <w:keepNext w:val="0"/>
                    <w:keepLines w:val="0"/>
                    <w:suppressLineNumbers w:val="0"/>
                    <w:overflowPunct w:val="0"/>
                    <w:topLinePunct/>
                    <w:spacing w:before="0" w:beforeAutospacing="0" w:after="0" w:afterAutospacing="0" w:line="240" w:lineRule="auto"/>
                    <w:ind w:left="0" w:right="113" w:rightChars="0"/>
                    <w:jc w:val="center"/>
                    <w:rPr>
                      <w:rFonts w:hint="default" w:ascii="Times New Roman" w:hAnsi="Times New Roman" w:cs="Times New Roman"/>
                      <w:sz w:val="21"/>
                      <w:szCs w:val="21"/>
                      <w:lang w:val="en-US" w:eastAsia="zh-CN"/>
                    </w:rPr>
                  </w:pPr>
                  <w:r>
                    <w:rPr>
                      <w:rFonts w:hint="eastAsia" w:ascii="Times New Roman" w:hAnsi="Times New Roman" w:cs="Times New Roman"/>
                      <w:b w:val="0"/>
                      <w:bCs/>
                      <w:sz w:val="21"/>
                      <w:szCs w:val="21"/>
                      <w:lang w:val="en-US" w:eastAsia="zh-CN" w:bidi="ar"/>
                    </w:rPr>
                    <w:t>谷物淀粉</w:t>
                  </w:r>
                </w:p>
              </w:tc>
              <w:tc>
                <w:tcPr>
                  <w:tcW w:w="427" w:type="pct"/>
                  <w:tcBorders>
                    <w:tl2br w:val="nil"/>
                    <w:tr2bl w:val="nil"/>
                  </w:tcBorders>
                  <w:noWrap w:val="0"/>
                  <w:vAlign w:val="center"/>
                </w:tcPr>
                <w:p w14:paraId="14DE776F">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t/a</w:t>
                  </w:r>
                </w:p>
              </w:tc>
              <w:tc>
                <w:tcPr>
                  <w:tcW w:w="464" w:type="pct"/>
                  <w:tcBorders>
                    <w:tl2br w:val="nil"/>
                    <w:tr2bl w:val="nil"/>
                  </w:tcBorders>
                  <w:noWrap w:val="0"/>
                  <w:vAlign w:val="center"/>
                </w:tcPr>
                <w:p w14:paraId="225FADD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165</w:t>
                  </w:r>
                </w:p>
              </w:tc>
              <w:tc>
                <w:tcPr>
                  <w:tcW w:w="436" w:type="pct"/>
                  <w:tcBorders>
                    <w:tl2br w:val="nil"/>
                    <w:tr2bl w:val="nil"/>
                  </w:tcBorders>
                  <w:noWrap w:val="0"/>
                  <w:vAlign w:val="center"/>
                </w:tcPr>
                <w:p w14:paraId="5C3C43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790</w:t>
                  </w:r>
                </w:p>
              </w:tc>
              <w:tc>
                <w:tcPr>
                  <w:tcW w:w="400" w:type="pct"/>
                  <w:tcBorders>
                    <w:tl2br w:val="nil"/>
                    <w:tr2bl w:val="nil"/>
                  </w:tcBorders>
                  <w:noWrap w:val="0"/>
                  <w:vAlign w:val="center"/>
                </w:tcPr>
                <w:p w14:paraId="53BF6C1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955</w:t>
                  </w:r>
                </w:p>
              </w:tc>
              <w:tc>
                <w:tcPr>
                  <w:tcW w:w="511" w:type="pct"/>
                  <w:tcBorders>
                    <w:tl2br w:val="nil"/>
                    <w:tr2bl w:val="nil"/>
                  </w:tcBorders>
                  <w:shd w:val="clear" w:color="auto" w:fill="auto"/>
                  <w:noWrap w:val="0"/>
                  <w:vAlign w:val="center"/>
                </w:tcPr>
                <w:p w14:paraId="25241B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原料库</w:t>
                  </w:r>
                </w:p>
              </w:tc>
              <w:tc>
                <w:tcPr>
                  <w:tcW w:w="522" w:type="pct"/>
                  <w:tcBorders>
                    <w:tl2br w:val="nil"/>
                    <w:tr2bl w:val="nil"/>
                  </w:tcBorders>
                  <w:shd w:val="clear" w:color="auto" w:fill="auto"/>
                  <w:noWrap w:val="0"/>
                  <w:vAlign w:val="center"/>
                </w:tcPr>
                <w:p w14:paraId="474465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10</w:t>
                  </w:r>
                </w:p>
              </w:tc>
              <w:tc>
                <w:tcPr>
                  <w:tcW w:w="1444" w:type="pct"/>
                  <w:tcBorders>
                    <w:tl2br w:val="nil"/>
                    <w:tr2bl w:val="nil"/>
                  </w:tcBorders>
                  <w:noWrap w:val="0"/>
                  <w:vAlign w:val="center"/>
                </w:tcPr>
                <w:p w14:paraId="70624EB3">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default" w:ascii="Times New Roman" w:hAnsi="Times New Roman" w:cs="Times New Roman"/>
                      <w:szCs w:val="21"/>
                    </w:rPr>
                    <w:t>外购</w:t>
                  </w:r>
                  <w:r>
                    <w:rPr>
                      <w:rFonts w:hint="eastAsia" w:ascii="Times New Roman" w:hAnsi="Times New Roman" w:cs="Times New Roman"/>
                      <w:szCs w:val="21"/>
                    </w:rPr>
                    <w:t>、</w:t>
                  </w:r>
                  <w:r>
                    <w:rPr>
                      <w:rFonts w:hint="eastAsia" w:ascii="Times New Roman" w:hAnsi="Times New Roman" w:cs="Times New Roman"/>
                      <w:szCs w:val="21"/>
                      <w:lang w:val="en-US" w:eastAsia="zh-CN"/>
                    </w:rPr>
                    <w:t>粉</w:t>
                  </w:r>
                  <w:r>
                    <w:rPr>
                      <w:rFonts w:hint="eastAsia" w:ascii="Times New Roman" w:hAnsi="Times New Roman" w:cs="Times New Roman"/>
                      <w:szCs w:val="21"/>
                    </w:rPr>
                    <w:t>状、袋装</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最大暂存量30t</w:t>
                  </w:r>
                </w:p>
              </w:tc>
            </w:tr>
            <w:tr w14:paraId="40819F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04E1BE9E">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504" w:type="pct"/>
                  <w:gridSpan w:val="2"/>
                  <w:tcBorders>
                    <w:tl2br w:val="nil"/>
                    <w:tr2bl w:val="nil"/>
                  </w:tcBorders>
                  <w:noWrap w:val="0"/>
                  <w:vAlign w:val="center"/>
                </w:tcPr>
                <w:p w14:paraId="0A513DEE">
                  <w:pPr>
                    <w:pStyle w:val="10"/>
                    <w:keepNext w:val="0"/>
                    <w:keepLines w:val="0"/>
                    <w:suppressLineNumbers w:val="0"/>
                    <w:overflowPunct w:val="0"/>
                    <w:topLinePunct/>
                    <w:spacing w:before="0" w:beforeAutospacing="0" w:after="0" w:afterAutospacing="0" w:line="240" w:lineRule="auto"/>
                    <w:ind w:left="0" w:right="113" w:rightChars="0"/>
                    <w:jc w:val="center"/>
                    <w:rPr>
                      <w:rFonts w:hint="eastAsia" w:ascii="Times New Roman" w:hAnsi="Times New Roman" w:cs="Times New Roman"/>
                      <w:sz w:val="21"/>
                      <w:szCs w:val="21"/>
                      <w:lang w:val="en-US" w:eastAsia="zh-CN"/>
                    </w:rPr>
                  </w:pPr>
                  <w:r>
                    <w:rPr>
                      <w:rFonts w:hint="eastAsia" w:ascii="Times New Roman" w:hAnsi="Times New Roman" w:cs="Times New Roman"/>
                      <w:b w:val="0"/>
                      <w:bCs/>
                      <w:sz w:val="21"/>
                      <w:szCs w:val="21"/>
                      <w:lang w:val="en-US" w:eastAsia="zh-CN" w:bidi="ar"/>
                    </w:rPr>
                    <w:t>植物油</w:t>
                  </w:r>
                </w:p>
              </w:tc>
              <w:tc>
                <w:tcPr>
                  <w:tcW w:w="427" w:type="pct"/>
                  <w:tcBorders>
                    <w:tl2br w:val="nil"/>
                    <w:tr2bl w:val="nil"/>
                  </w:tcBorders>
                  <w:noWrap w:val="0"/>
                  <w:vAlign w:val="center"/>
                </w:tcPr>
                <w:p w14:paraId="4F7B28A6">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t/a</w:t>
                  </w:r>
                </w:p>
              </w:tc>
              <w:tc>
                <w:tcPr>
                  <w:tcW w:w="464" w:type="pct"/>
                  <w:tcBorders>
                    <w:tl2br w:val="nil"/>
                    <w:tr2bl w:val="nil"/>
                  </w:tcBorders>
                  <w:noWrap w:val="0"/>
                  <w:vAlign w:val="center"/>
                </w:tcPr>
                <w:p w14:paraId="13E644D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95</w:t>
                  </w:r>
                </w:p>
              </w:tc>
              <w:tc>
                <w:tcPr>
                  <w:tcW w:w="436" w:type="pct"/>
                  <w:tcBorders>
                    <w:tl2br w:val="nil"/>
                    <w:tr2bl w:val="nil"/>
                  </w:tcBorders>
                  <w:noWrap w:val="0"/>
                  <w:vAlign w:val="center"/>
                </w:tcPr>
                <w:p w14:paraId="57D6B3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450</w:t>
                  </w:r>
                </w:p>
              </w:tc>
              <w:tc>
                <w:tcPr>
                  <w:tcW w:w="400" w:type="pct"/>
                  <w:tcBorders>
                    <w:tl2br w:val="nil"/>
                    <w:tr2bl w:val="nil"/>
                  </w:tcBorders>
                  <w:noWrap w:val="0"/>
                  <w:vAlign w:val="center"/>
                </w:tcPr>
                <w:p w14:paraId="144F8D1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545</w:t>
                  </w:r>
                </w:p>
              </w:tc>
              <w:tc>
                <w:tcPr>
                  <w:tcW w:w="511" w:type="pct"/>
                  <w:tcBorders>
                    <w:tl2br w:val="nil"/>
                    <w:tr2bl w:val="nil"/>
                  </w:tcBorders>
                  <w:shd w:val="clear" w:color="auto" w:fill="auto"/>
                  <w:noWrap w:val="0"/>
                  <w:vAlign w:val="center"/>
                </w:tcPr>
                <w:p w14:paraId="7268F5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原料库</w:t>
                  </w:r>
                </w:p>
              </w:tc>
              <w:tc>
                <w:tcPr>
                  <w:tcW w:w="522" w:type="pct"/>
                  <w:tcBorders>
                    <w:tl2br w:val="nil"/>
                    <w:tr2bl w:val="nil"/>
                  </w:tcBorders>
                  <w:noWrap w:val="0"/>
                  <w:vAlign w:val="center"/>
                </w:tcPr>
                <w:p w14:paraId="40B66F3C">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20</w:t>
                  </w:r>
                </w:p>
              </w:tc>
              <w:tc>
                <w:tcPr>
                  <w:tcW w:w="1444" w:type="pct"/>
                  <w:tcBorders>
                    <w:tl2br w:val="nil"/>
                    <w:tr2bl w:val="nil"/>
                  </w:tcBorders>
                  <w:noWrap w:val="0"/>
                  <w:vAlign w:val="center"/>
                </w:tcPr>
                <w:p w14:paraId="5F287533">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default" w:ascii="Times New Roman" w:hAnsi="Times New Roman" w:cs="Times New Roman"/>
                      <w:szCs w:val="21"/>
                    </w:rPr>
                    <w:t>外购</w:t>
                  </w:r>
                  <w:r>
                    <w:rPr>
                      <w:rFonts w:hint="eastAsia" w:ascii="Times New Roman" w:hAnsi="Times New Roman" w:cs="Times New Roman"/>
                      <w:szCs w:val="21"/>
                    </w:rPr>
                    <w:t>、</w:t>
                  </w:r>
                  <w:r>
                    <w:rPr>
                      <w:rFonts w:hint="eastAsia" w:ascii="Times New Roman" w:hAnsi="Times New Roman" w:cs="Times New Roman"/>
                      <w:szCs w:val="21"/>
                      <w:lang w:val="en-US" w:eastAsia="zh-CN"/>
                    </w:rPr>
                    <w:t>液体</w:t>
                  </w:r>
                  <w:r>
                    <w:rPr>
                      <w:rFonts w:hint="eastAsia" w:ascii="Times New Roman" w:hAnsi="Times New Roman" w:cs="Times New Roman"/>
                      <w:szCs w:val="21"/>
                    </w:rPr>
                    <w:t>、</w:t>
                  </w:r>
                  <w:r>
                    <w:rPr>
                      <w:rFonts w:hint="eastAsia" w:ascii="Times New Roman" w:hAnsi="Times New Roman" w:cs="Times New Roman"/>
                      <w:szCs w:val="21"/>
                      <w:lang w:val="en-US" w:eastAsia="zh-CN"/>
                    </w:rPr>
                    <w:t>箱</w:t>
                  </w:r>
                  <w:r>
                    <w:rPr>
                      <w:rFonts w:hint="eastAsia" w:ascii="Times New Roman" w:hAnsi="Times New Roman" w:cs="Times New Roman"/>
                      <w:szCs w:val="21"/>
                    </w:rPr>
                    <w:t>装</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最大暂存量25t</w:t>
                  </w:r>
                </w:p>
              </w:tc>
            </w:tr>
            <w:tr w14:paraId="445FC1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349683E5">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w:t>
                  </w:r>
                </w:p>
              </w:tc>
              <w:tc>
                <w:tcPr>
                  <w:tcW w:w="504" w:type="pct"/>
                  <w:gridSpan w:val="2"/>
                  <w:tcBorders>
                    <w:tl2br w:val="nil"/>
                    <w:tr2bl w:val="nil"/>
                  </w:tcBorders>
                  <w:noWrap w:val="0"/>
                  <w:vAlign w:val="center"/>
                </w:tcPr>
                <w:p w14:paraId="68389FBE">
                  <w:pPr>
                    <w:pStyle w:val="10"/>
                    <w:keepNext w:val="0"/>
                    <w:keepLines w:val="0"/>
                    <w:suppressLineNumbers w:val="0"/>
                    <w:overflowPunct w:val="0"/>
                    <w:topLinePunct/>
                    <w:spacing w:before="0" w:beforeAutospacing="0" w:after="0" w:afterAutospacing="0" w:line="240" w:lineRule="auto"/>
                    <w:ind w:left="0" w:right="113" w:rightChars="0"/>
                    <w:jc w:val="center"/>
                    <w:rPr>
                      <w:rFonts w:hint="default" w:ascii="Times New Roman" w:hAnsi="Times New Roman" w:cs="Times New Roman"/>
                      <w:sz w:val="21"/>
                      <w:szCs w:val="21"/>
                      <w:lang w:val="en-US" w:eastAsia="zh-CN"/>
                    </w:rPr>
                  </w:pPr>
                  <w:r>
                    <w:rPr>
                      <w:rFonts w:hint="eastAsia" w:ascii="Times New Roman" w:hAnsi="Times New Roman" w:cs="Times New Roman"/>
                      <w:b w:val="0"/>
                      <w:bCs/>
                      <w:sz w:val="21"/>
                      <w:szCs w:val="21"/>
                      <w:lang w:val="en-US" w:eastAsia="zh-CN" w:bidi="ar"/>
                    </w:rPr>
                    <w:t>虾</w:t>
                  </w:r>
                </w:p>
              </w:tc>
              <w:tc>
                <w:tcPr>
                  <w:tcW w:w="427" w:type="pct"/>
                  <w:tcBorders>
                    <w:tl2br w:val="nil"/>
                    <w:tr2bl w:val="nil"/>
                  </w:tcBorders>
                  <w:noWrap w:val="0"/>
                  <w:vAlign w:val="center"/>
                </w:tcPr>
                <w:p w14:paraId="7D377DE4">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t/a</w:t>
                  </w:r>
                </w:p>
              </w:tc>
              <w:tc>
                <w:tcPr>
                  <w:tcW w:w="464" w:type="pct"/>
                  <w:tcBorders>
                    <w:tl2br w:val="nil"/>
                    <w:tr2bl w:val="nil"/>
                  </w:tcBorders>
                  <w:noWrap w:val="0"/>
                  <w:vAlign w:val="center"/>
                </w:tcPr>
                <w:p w14:paraId="41AE94F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w:t>
                  </w:r>
                </w:p>
              </w:tc>
              <w:tc>
                <w:tcPr>
                  <w:tcW w:w="436" w:type="pct"/>
                  <w:tcBorders>
                    <w:tl2br w:val="nil"/>
                    <w:tr2bl w:val="nil"/>
                  </w:tcBorders>
                  <w:noWrap w:val="0"/>
                  <w:vAlign w:val="center"/>
                </w:tcPr>
                <w:p w14:paraId="7A716C2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240</w:t>
                  </w:r>
                </w:p>
              </w:tc>
              <w:tc>
                <w:tcPr>
                  <w:tcW w:w="400" w:type="pct"/>
                  <w:tcBorders>
                    <w:tl2br w:val="nil"/>
                    <w:tr2bl w:val="nil"/>
                  </w:tcBorders>
                  <w:noWrap w:val="0"/>
                  <w:vAlign w:val="center"/>
                </w:tcPr>
                <w:p w14:paraId="3C26B86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240</w:t>
                  </w:r>
                </w:p>
              </w:tc>
              <w:tc>
                <w:tcPr>
                  <w:tcW w:w="511" w:type="pct"/>
                  <w:tcBorders>
                    <w:tl2br w:val="nil"/>
                    <w:tr2bl w:val="nil"/>
                  </w:tcBorders>
                  <w:shd w:val="clear" w:color="auto" w:fill="auto"/>
                  <w:noWrap w:val="0"/>
                  <w:vAlign w:val="center"/>
                </w:tcPr>
                <w:p w14:paraId="377988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冷库</w:t>
                  </w:r>
                </w:p>
              </w:tc>
              <w:tc>
                <w:tcPr>
                  <w:tcW w:w="522" w:type="pct"/>
                  <w:tcBorders>
                    <w:tl2br w:val="nil"/>
                    <w:tr2bl w:val="nil"/>
                  </w:tcBorders>
                  <w:noWrap w:val="0"/>
                  <w:vAlign w:val="center"/>
                </w:tcPr>
                <w:p w14:paraId="1C940C54">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45</w:t>
                  </w:r>
                </w:p>
              </w:tc>
              <w:tc>
                <w:tcPr>
                  <w:tcW w:w="1444" w:type="pct"/>
                  <w:tcBorders>
                    <w:tl2br w:val="nil"/>
                    <w:tr2bl w:val="nil"/>
                  </w:tcBorders>
                  <w:noWrap w:val="0"/>
                  <w:vAlign w:val="center"/>
                </w:tcPr>
                <w:p w14:paraId="34C582FC">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default" w:ascii="Times New Roman" w:hAnsi="Times New Roman" w:cs="Times New Roman"/>
                      <w:szCs w:val="21"/>
                    </w:rPr>
                    <w:t>外购</w:t>
                  </w:r>
                  <w:r>
                    <w:rPr>
                      <w:rFonts w:hint="eastAsia" w:ascii="Times New Roman" w:hAnsi="Times New Roman" w:cs="Times New Roman"/>
                      <w:szCs w:val="21"/>
                    </w:rPr>
                    <w:t>、袋装</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最大暂存量</w:t>
                  </w:r>
                  <w:r>
                    <w:rPr>
                      <w:rFonts w:hint="eastAsia" w:cs="Times New Roman"/>
                      <w:szCs w:val="21"/>
                      <w:lang w:val="en-US" w:eastAsia="zh-CN"/>
                    </w:rPr>
                    <w:t>3</w:t>
                  </w:r>
                  <w:r>
                    <w:rPr>
                      <w:rFonts w:hint="eastAsia" w:ascii="Times New Roman" w:hAnsi="Times New Roman" w:cs="Times New Roman"/>
                      <w:szCs w:val="21"/>
                      <w:lang w:val="en-US" w:eastAsia="zh-CN"/>
                    </w:rPr>
                    <w:t>0t</w:t>
                  </w:r>
                </w:p>
              </w:tc>
            </w:tr>
            <w:tr w14:paraId="2F56EA5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3BC60A56">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w:t>
                  </w:r>
                </w:p>
              </w:tc>
              <w:tc>
                <w:tcPr>
                  <w:tcW w:w="504" w:type="pct"/>
                  <w:gridSpan w:val="2"/>
                  <w:tcBorders>
                    <w:tl2br w:val="nil"/>
                    <w:tr2bl w:val="nil"/>
                  </w:tcBorders>
                  <w:noWrap w:val="0"/>
                  <w:vAlign w:val="center"/>
                </w:tcPr>
                <w:p w14:paraId="5B3E941A">
                  <w:pPr>
                    <w:pStyle w:val="10"/>
                    <w:keepNext w:val="0"/>
                    <w:keepLines w:val="0"/>
                    <w:suppressLineNumbers w:val="0"/>
                    <w:overflowPunct w:val="0"/>
                    <w:topLinePunct/>
                    <w:spacing w:before="0" w:beforeAutospacing="0" w:after="0" w:afterAutospacing="0" w:line="240" w:lineRule="auto"/>
                    <w:ind w:left="0" w:right="113" w:rightChars="0"/>
                    <w:jc w:val="center"/>
                    <w:rPr>
                      <w:rFonts w:hint="default" w:ascii="Times New Roman" w:hAnsi="Times New Roman" w:cs="Times New Roman"/>
                      <w:sz w:val="21"/>
                      <w:szCs w:val="21"/>
                      <w:lang w:val="en-US" w:eastAsia="zh-CN"/>
                    </w:rPr>
                  </w:pPr>
                  <w:r>
                    <w:rPr>
                      <w:rFonts w:hint="eastAsia" w:ascii="Times New Roman" w:hAnsi="Times New Roman" w:cs="Times New Roman"/>
                      <w:b w:val="0"/>
                      <w:bCs/>
                      <w:sz w:val="21"/>
                      <w:szCs w:val="21"/>
                      <w:lang w:val="en-US" w:eastAsia="zh-CN" w:bidi="ar"/>
                    </w:rPr>
                    <w:t>鱼</w:t>
                  </w:r>
                </w:p>
              </w:tc>
              <w:tc>
                <w:tcPr>
                  <w:tcW w:w="427" w:type="pct"/>
                  <w:tcBorders>
                    <w:tl2br w:val="nil"/>
                    <w:tr2bl w:val="nil"/>
                  </w:tcBorders>
                  <w:noWrap w:val="0"/>
                  <w:vAlign w:val="center"/>
                </w:tcPr>
                <w:p w14:paraId="3F411FEC">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t/a</w:t>
                  </w:r>
                </w:p>
              </w:tc>
              <w:tc>
                <w:tcPr>
                  <w:tcW w:w="464" w:type="pct"/>
                  <w:tcBorders>
                    <w:tl2br w:val="nil"/>
                    <w:tr2bl w:val="nil"/>
                  </w:tcBorders>
                  <w:noWrap w:val="0"/>
                  <w:vAlign w:val="center"/>
                </w:tcPr>
                <w:p w14:paraId="7E6E6FE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w:t>
                  </w:r>
                </w:p>
              </w:tc>
              <w:tc>
                <w:tcPr>
                  <w:tcW w:w="436" w:type="pct"/>
                  <w:tcBorders>
                    <w:tl2br w:val="nil"/>
                    <w:tr2bl w:val="nil"/>
                  </w:tcBorders>
                  <w:noWrap w:val="0"/>
                  <w:vAlign w:val="center"/>
                </w:tcPr>
                <w:p w14:paraId="2C635F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230</w:t>
                  </w:r>
                </w:p>
              </w:tc>
              <w:tc>
                <w:tcPr>
                  <w:tcW w:w="400" w:type="pct"/>
                  <w:tcBorders>
                    <w:tl2br w:val="nil"/>
                    <w:tr2bl w:val="nil"/>
                  </w:tcBorders>
                  <w:noWrap w:val="0"/>
                  <w:vAlign w:val="center"/>
                </w:tcPr>
                <w:p w14:paraId="08CDC38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230</w:t>
                  </w:r>
                </w:p>
              </w:tc>
              <w:tc>
                <w:tcPr>
                  <w:tcW w:w="511" w:type="pct"/>
                  <w:tcBorders>
                    <w:tl2br w:val="nil"/>
                    <w:tr2bl w:val="nil"/>
                  </w:tcBorders>
                  <w:shd w:val="clear" w:color="auto" w:fill="auto"/>
                  <w:noWrap w:val="0"/>
                  <w:vAlign w:val="center"/>
                </w:tcPr>
                <w:p w14:paraId="15BA36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冷库</w:t>
                  </w:r>
                </w:p>
              </w:tc>
              <w:tc>
                <w:tcPr>
                  <w:tcW w:w="522" w:type="pct"/>
                  <w:tcBorders>
                    <w:tl2br w:val="nil"/>
                    <w:tr2bl w:val="nil"/>
                  </w:tcBorders>
                  <w:noWrap w:val="0"/>
                  <w:vAlign w:val="center"/>
                </w:tcPr>
                <w:p w14:paraId="3D3A163F">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60</w:t>
                  </w:r>
                </w:p>
              </w:tc>
              <w:tc>
                <w:tcPr>
                  <w:tcW w:w="1444" w:type="pct"/>
                  <w:tcBorders>
                    <w:tl2br w:val="nil"/>
                    <w:tr2bl w:val="nil"/>
                  </w:tcBorders>
                  <w:noWrap w:val="0"/>
                  <w:vAlign w:val="center"/>
                </w:tcPr>
                <w:p w14:paraId="1D617E9B">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default" w:ascii="Times New Roman" w:hAnsi="Times New Roman" w:cs="Times New Roman"/>
                      <w:szCs w:val="21"/>
                    </w:rPr>
                    <w:t>外购</w:t>
                  </w:r>
                  <w:r>
                    <w:rPr>
                      <w:rFonts w:hint="eastAsia" w:ascii="Times New Roman" w:hAnsi="Times New Roman" w:cs="Times New Roman"/>
                      <w:szCs w:val="21"/>
                    </w:rPr>
                    <w:t>、袋装</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最大暂存量</w:t>
                  </w:r>
                  <w:r>
                    <w:rPr>
                      <w:rFonts w:hint="eastAsia" w:cs="Times New Roman"/>
                      <w:szCs w:val="21"/>
                      <w:lang w:val="en-US" w:eastAsia="zh-CN"/>
                    </w:rPr>
                    <w:t>3</w:t>
                  </w:r>
                  <w:r>
                    <w:rPr>
                      <w:rFonts w:hint="eastAsia" w:ascii="Times New Roman" w:hAnsi="Times New Roman" w:cs="Times New Roman"/>
                      <w:szCs w:val="21"/>
                      <w:lang w:val="en-US" w:eastAsia="zh-CN"/>
                    </w:rPr>
                    <w:t>0t</w:t>
                  </w:r>
                </w:p>
              </w:tc>
            </w:tr>
            <w:tr w14:paraId="175541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5DA77653">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w:t>
                  </w:r>
                </w:p>
              </w:tc>
              <w:tc>
                <w:tcPr>
                  <w:tcW w:w="504" w:type="pct"/>
                  <w:gridSpan w:val="2"/>
                  <w:tcBorders>
                    <w:tl2br w:val="nil"/>
                    <w:tr2bl w:val="nil"/>
                  </w:tcBorders>
                  <w:noWrap w:val="0"/>
                  <w:vAlign w:val="center"/>
                </w:tcPr>
                <w:p w14:paraId="3E35024C">
                  <w:pPr>
                    <w:pStyle w:val="10"/>
                    <w:keepNext w:val="0"/>
                    <w:keepLines w:val="0"/>
                    <w:suppressLineNumbers w:val="0"/>
                    <w:overflowPunct w:val="0"/>
                    <w:topLinePunct/>
                    <w:spacing w:before="0" w:beforeAutospacing="0" w:after="0" w:afterAutospacing="0" w:line="240" w:lineRule="auto"/>
                    <w:ind w:left="0" w:right="113" w:rightChars="0"/>
                    <w:jc w:val="center"/>
                    <w:rPr>
                      <w:rFonts w:hint="default" w:ascii="Times New Roman" w:hAnsi="Times New Roman" w:cs="Times New Roman"/>
                      <w:sz w:val="21"/>
                      <w:szCs w:val="21"/>
                    </w:rPr>
                  </w:pPr>
                  <w:r>
                    <w:rPr>
                      <w:rFonts w:hint="eastAsia" w:ascii="Times New Roman" w:hAnsi="Times New Roman" w:cs="Times New Roman"/>
                      <w:b w:val="0"/>
                      <w:bCs/>
                      <w:sz w:val="21"/>
                      <w:szCs w:val="21"/>
                      <w:lang w:val="en-US" w:eastAsia="zh-CN" w:bidi="ar"/>
                    </w:rPr>
                    <w:t>糖</w:t>
                  </w:r>
                </w:p>
              </w:tc>
              <w:tc>
                <w:tcPr>
                  <w:tcW w:w="427" w:type="pct"/>
                  <w:tcBorders>
                    <w:tl2br w:val="nil"/>
                    <w:tr2bl w:val="nil"/>
                  </w:tcBorders>
                  <w:noWrap w:val="0"/>
                  <w:vAlign w:val="center"/>
                </w:tcPr>
                <w:p w14:paraId="14440CFA">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t/a</w:t>
                  </w:r>
                </w:p>
              </w:tc>
              <w:tc>
                <w:tcPr>
                  <w:tcW w:w="464" w:type="pct"/>
                  <w:tcBorders>
                    <w:tl2br w:val="nil"/>
                    <w:tr2bl w:val="nil"/>
                  </w:tcBorders>
                  <w:noWrap w:val="0"/>
                  <w:vAlign w:val="center"/>
                </w:tcPr>
                <w:p w14:paraId="384BD5D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40</w:t>
                  </w:r>
                </w:p>
              </w:tc>
              <w:tc>
                <w:tcPr>
                  <w:tcW w:w="436" w:type="pct"/>
                  <w:tcBorders>
                    <w:tl2br w:val="nil"/>
                    <w:tr2bl w:val="nil"/>
                  </w:tcBorders>
                  <w:noWrap w:val="0"/>
                  <w:vAlign w:val="center"/>
                </w:tcPr>
                <w:p w14:paraId="40A020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180</w:t>
                  </w:r>
                </w:p>
              </w:tc>
              <w:tc>
                <w:tcPr>
                  <w:tcW w:w="400" w:type="pct"/>
                  <w:tcBorders>
                    <w:tl2br w:val="nil"/>
                    <w:tr2bl w:val="nil"/>
                  </w:tcBorders>
                  <w:noWrap w:val="0"/>
                  <w:vAlign w:val="center"/>
                </w:tcPr>
                <w:p w14:paraId="7136D18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default" w:ascii="Times New Roman" w:hAnsi="Times New Roman" w:eastAsia="PMingLiU" w:cs="Times New Roman"/>
                      <w:i w:val="0"/>
                      <w:iCs w:val="0"/>
                      <w:color w:val="000000"/>
                      <w:kern w:val="0"/>
                      <w:sz w:val="21"/>
                      <w:szCs w:val="21"/>
                      <w:u w:val="none"/>
                      <w:lang w:val="en-US" w:eastAsia="zh-CN" w:bidi="ar"/>
                    </w:rPr>
                    <w:t>2</w:t>
                  </w:r>
                  <w:r>
                    <w:rPr>
                      <w:rFonts w:hint="eastAsia" w:eastAsia="PMingLiU" w:cs="Times New Roman"/>
                      <w:i w:val="0"/>
                      <w:iCs w:val="0"/>
                      <w:color w:val="000000"/>
                      <w:kern w:val="0"/>
                      <w:sz w:val="21"/>
                      <w:szCs w:val="21"/>
                      <w:u w:val="none"/>
                      <w:lang w:val="en-US" w:eastAsia="zh-CN" w:bidi="ar"/>
                    </w:rPr>
                    <w:t>2</w:t>
                  </w:r>
                  <w:r>
                    <w:rPr>
                      <w:rFonts w:hint="default" w:ascii="Times New Roman" w:hAnsi="Times New Roman" w:eastAsia="PMingLiU" w:cs="Times New Roman"/>
                      <w:i w:val="0"/>
                      <w:iCs w:val="0"/>
                      <w:color w:val="000000"/>
                      <w:kern w:val="0"/>
                      <w:sz w:val="21"/>
                      <w:szCs w:val="21"/>
                      <w:u w:val="none"/>
                      <w:lang w:val="en-US" w:eastAsia="zh-CN" w:bidi="ar"/>
                    </w:rPr>
                    <w:t>0</w:t>
                  </w:r>
                </w:p>
              </w:tc>
              <w:tc>
                <w:tcPr>
                  <w:tcW w:w="511" w:type="pct"/>
                  <w:tcBorders>
                    <w:tl2br w:val="nil"/>
                    <w:tr2bl w:val="nil"/>
                  </w:tcBorders>
                  <w:shd w:val="clear" w:color="auto" w:fill="auto"/>
                  <w:noWrap w:val="0"/>
                  <w:vAlign w:val="center"/>
                </w:tcPr>
                <w:p w14:paraId="68FE17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原料库</w:t>
                  </w:r>
                </w:p>
              </w:tc>
              <w:tc>
                <w:tcPr>
                  <w:tcW w:w="522" w:type="pct"/>
                  <w:tcBorders>
                    <w:tl2br w:val="nil"/>
                    <w:tr2bl w:val="nil"/>
                  </w:tcBorders>
                  <w:noWrap w:val="0"/>
                  <w:vAlign w:val="center"/>
                </w:tcPr>
                <w:p w14:paraId="424D2408">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50</w:t>
                  </w:r>
                </w:p>
              </w:tc>
              <w:tc>
                <w:tcPr>
                  <w:tcW w:w="1444" w:type="pct"/>
                  <w:tcBorders>
                    <w:tl2br w:val="nil"/>
                    <w:tr2bl w:val="nil"/>
                  </w:tcBorders>
                  <w:noWrap w:val="0"/>
                  <w:vAlign w:val="center"/>
                </w:tcPr>
                <w:p w14:paraId="0C3838D9">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rPr>
                  </w:pPr>
                  <w:r>
                    <w:rPr>
                      <w:rFonts w:hint="default" w:ascii="Times New Roman" w:hAnsi="Times New Roman" w:cs="Times New Roman"/>
                      <w:szCs w:val="21"/>
                    </w:rPr>
                    <w:t>外购</w:t>
                  </w:r>
                  <w:r>
                    <w:rPr>
                      <w:rFonts w:hint="eastAsia" w:ascii="Times New Roman" w:hAnsi="Times New Roman" w:cs="Times New Roman"/>
                      <w:szCs w:val="21"/>
                    </w:rPr>
                    <w:t>、</w:t>
                  </w:r>
                  <w:r>
                    <w:rPr>
                      <w:rFonts w:hint="eastAsia" w:ascii="Times New Roman" w:hAnsi="Times New Roman" w:cs="Times New Roman"/>
                      <w:szCs w:val="21"/>
                      <w:lang w:val="en-US" w:eastAsia="zh-CN"/>
                    </w:rPr>
                    <w:t>粒</w:t>
                  </w:r>
                  <w:r>
                    <w:rPr>
                      <w:rFonts w:hint="eastAsia" w:ascii="Times New Roman" w:hAnsi="Times New Roman" w:cs="Times New Roman"/>
                      <w:szCs w:val="21"/>
                    </w:rPr>
                    <w:t>状、袋装</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最大暂存量30t</w:t>
                  </w:r>
                </w:p>
              </w:tc>
            </w:tr>
            <w:tr w14:paraId="7BEB86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2D0B521A">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w:t>
                  </w:r>
                </w:p>
              </w:tc>
              <w:tc>
                <w:tcPr>
                  <w:tcW w:w="504" w:type="pct"/>
                  <w:gridSpan w:val="2"/>
                  <w:tcBorders>
                    <w:tl2br w:val="nil"/>
                    <w:tr2bl w:val="nil"/>
                  </w:tcBorders>
                  <w:noWrap w:val="0"/>
                  <w:vAlign w:val="center"/>
                </w:tcPr>
                <w:p w14:paraId="035D8AA8">
                  <w:pPr>
                    <w:pStyle w:val="10"/>
                    <w:keepNext w:val="0"/>
                    <w:keepLines w:val="0"/>
                    <w:suppressLineNumbers w:val="0"/>
                    <w:overflowPunct w:val="0"/>
                    <w:topLinePunct/>
                    <w:spacing w:before="0" w:beforeAutospacing="0" w:after="0" w:afterAutospacing="0" w:line="240" w:lineRule="auto"/>
                    <w:ind w:left="0" w:right="113" w:rightChars="0"/>
                    <w:jc w:val="center"/>
                    <w:rPr>
                      <w:rFonts w:hint="eastAsia" w:ascii="Times New Roman" w:hAnsi="Times New Roman" w:cs="Times New Roman"/>
                      <w:sz w:val="21"/>
                      <w:szCs w:val="21"/>
                      <w:lang w:val="en-US" w:eastAsia="zh-CN"/>
                    </w:rPr>
                  </w:pPr>
                  <w:r>
                    <w:rPr>
                      <w:rFonts w:hint="eastAsia" w:ascii="Times New Roman" w:hAnsi="Times New Roman" w:cs="Times New Roman"/>
                      <w:b w:val="0"/>
                      <w:bCs/>
                      <w:sz w:val="21"/>
                      <w:szCs w:val="21"/>
                      <w:lang w:val="en-US" w:eastAsia="zh-CN" w:bidi="ar"/>
                    </w:rPr>
                    <w:t>纸箱</w:t>
                  </w:r>
                </w:p>
              </w:tc>
              <w:tc>
                <w:tcPr>
                  <w:tcW w:w="427" w:type="pct"/>
                  <w:tcBorders>
                    <w:tl2br w:val="nil"/>
                    <w:tr2bl w:val="nil"/>
                  </w:tcBorders>
                  <w:noWrap w:val="0"/>
                  <w:vAlign w:val="center"/>
                </w:tcPr>
                <w:p w14:paraId="308E09EF">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万个</w:t>
                  </w:r>
                </w:p>
              </w:tc>
              <w:tc>
                <w:tcPr>
                  <w:tcW w:w="464" w:type="pct"/>
                  <w:tcBorders>
                    <w:tl2br w:val="nil"/>
                    <w:tr2bl w:val="nil"/>
                  </w:tcBorders>
                  <w:noWrap w:val="0"/>
                  <w:vAlign w:val="center"/>
                </w:tcPr>
                <w:p w14:paraId="2AB53BB0">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100</w:t>
                  </w:r>
                </w:p>
              </w:tc>
              <w:tc>
                <w:tcPr>
                  <w:tcW w:w="436" w:type="pct"/>
                  <w:tcBorders>
                    <w:tl2br w:val="nil"/>
                    <w:tr2bl w:val="nil"/>
                  </w:tcBorders>
                  <w:noWrap w:val="0"/>
                  <w:vAlign w:val="center"/>
                </w:tcPr>
                <w:p w14:paraId="05941C7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default" w:ascii="Times New Roman" w:hAnsi="Times New Roman" w:eastAsia="PMingLiU" w:cs="Times New Roman"/>
                      <w:i w:val="0"/>
                      <w:iCs w:val="0"/>
                      <w:color w:val="000000"/>
                      <w:kern w:val="0"/>
                      <w:sz w:val="21"/>
                      <w:szCs w:val="21"/>
                      <w:u w:val="none"/>
                      <w:lang w:val="en-US" w:eastAsia="zh-CN" w:bidi="ar"/>
                    </w:rPr>
                    <w:t>510</w:t>
                  </w:r>
                </w:p>
              </w:tc>
              <w:tc>
                <w:tcPr>
                  <w:tcW w:w="400" w:type="pct"/>
                  <w:tcBorders>
                    <w:tl2br w:val="nil"/>
                    <w:tr2bl w:val="nil"/>
                  </w:tcBorders>
                  <w:noWrap w:val="0"/>
                  <w:vAlign w:val="center"/>
                </w:tcPr>
                <w:p w14:paraId="63349D3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610</w:t>
                  </w:r>
                </w:p>
              </w:tc>
              <w:tc>
                <w:tcPr>
                  <w:tcW w:w="511" w:type="pct"/>
                  <w:tcBorders>
                    <w:tl2br w:val="nil"/>
                    <w:tr2bl w:val="nil"/>
                  </w:tcBorders>
                  <w:shd w:val="clear" w:color="auto" w:fill="auto"/>
                  <w:noWrap w:val="0"/>
                  <w:vAlign w:val="center"/>
                </w:tcPr>
                <w:p w14:paraId="3113EF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包材库</w:t>
                  </w:r>
                </w:p>
              </w:tc>
              <w:tc>
                <w:tcPr>
                  <w:tcW w:w="522" w:type="pct"/>
                  <w:tcBorders>
                    <w:tl2br w:val="nil"/>
                    <w:tr2bl w:val="nil"/>
                  </w:tcBorders>
                  <w:noWrap w:val="0"/>
                  <w:vAlign w:val="center"/>
                </w:tcPr>
                <w:p w14:paraId="3D12CE0A">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5</w:t>
                  </w:r>
                </w:p>
              </w:tc>
              <w:tc>
                <w:tcPr>
                  <w:tcW w:w="1444" w:type="pct"/>
                  <w:tcBorders>
                    <w:tl2br w:val="nil"/>
                    <w:tr2bl w:val="nil"/>
                  </w:tcBorders>
                  <w:noWrap w:val="0"/>
                  <w:vAlign w:val="center"/>
                </w:tcPr>
                <w:p w14:paraId="1D5F002A">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default" w:ascii="Times New Roman" w:hAnsi="Times New Roman" w:cs="Times New Roman"/>
                      <w:szCs w:val="21"/>
                    </w:rPr>
                    <w:t>外购</w:t>
                  </w:r>
                  <w:r>
                    <w:rPr>
                      <w:rFonts w:hint="eastAsia" w:ascii="Times New Roman" w:hAnsi="Times New Roman" w:cs="Times New Roman"/>
                      <w:szCs w:val="21"/>
                    </w:rPr>
                    <w:t>、</w:t>
                  </w:r>
                  <w:r>
                    <w:rPr>
                      <w:rFonts w:hint="eastAsia" w:ascii="Times New Roman" w:hAnsi="Times New Roman" w:cs="Times New Roman"/>
                      <w:szCs w:val="21"/>
                      <w:lang w:val="en-US" w:eastAsia="zh-CN"/>
                    </w:rPr>
                    <w:t>包装</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最大暂存量5万个</w:t>
                  </w:r>
                </w:p>
              </w:tc>
            </w:tr>
            <w:tr w14:paraId="4A640E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189C3DA3">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9</w:t>
                  </w:r>
                </w:p>
              </w:tc>
              <w:tc>
                <w:tcPr>
                  <w:tcW w:w="504" w:type="pct"/>
                  <w:gridSpan w:val="2"/>
                  <w:tcBorders>
                    <w:tl2br w:val="nil"/>
                    <w:tr2bl w:val="nil"/>
                  </w:tcBorders>
                  <w:noWrap w:val="0"/>
                  <w:vAlign w:val="center"/>
                </w:tcPr>
                <w:p w14:paraId="3B66D9C8">
                  <w:pPr>
                    <w:pStyle w:val="10"/>
                    <w:keepNext w:val="0"/>
                    <w:keepLines w:val="0"/>
                    <w:suppressLineNumbers w:val="0"/>
                    <w:overflowPunct w:val="0"/>
                    <w:topLinePunct/>
                    <w:spacing w:before="0" w:beforeAutospacing="0" w:after="0" w:afterAutospacing="0" w:line="240" w:lineRule="auto"/>
                    <w:ind w:left="0" w:right="113" w:rightChars="0"/>
                    <w:jc w:val="center"/>
                    <w:rPr>
                      <w:rFonts w:hint="default" w:ascii="Times New Roman" w:hAnsi="Times New Roman" w:cs="Times New Roman"/>
                      <w:sz w:val="21"/>
                      <w:szCs w:val="21"/>
                      <w:lang w:val="en-US" w:eastAsia="zh-CN"/>
                    </w:rPr>
                  </w:pPr>
                  <w:r>
                    <w:rPr>
                      <w:rFonts w:hint="eastAsia" w:ascii="Times New Roman" w:hAnsi="Times New Roman" w:cs="Times New Roman"/>
                      <w:b w:val="0"/>
                      <w:bCs/>
                      <w:sz w:val="21"/>
                      <w:szCs w:val="21"/>
                      <w:lang w:val="en-US" w:eastAsia="zh-CN" w:bidi="ar"/>
                    </w:rPr>
                    <w:t>纸盒</w:t>
                  </w:r>
                </w:p>
              </w:tc>
              <w:tc>
                <w:tcPr>
                  <w:tcW w:w="427" w:type="pct"/>
                  <w:tcBorders>
                    <w:tl2br w:val="nil"/>
                    <w:tr2bl w:val="nil"/>
                  </w:tcBorders>
                  <w:noWrap w:val="0"/>
                  <w:vAlign w:val="center"/>
                </w:tcPr>
                <w:p w14:paraId="744E5B26">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万个</w:t>
                  </w:r>
                </w:p>
              </w:tc>
              <w:tc>
                <w:tcPr>
                  <w:tcW w:w="464" w:type="pct"/>
                  <w:tcBorders>
                    <w:tl2br w:val="nil"/>
                    <w:tr2bl w:val="nil"/>
                  </w:tcBorders>
                  <w:noWrap w:val="0"/>
                  <w:vAlign w:val="center"/>
                </w:tcPr>
                <w:p w14:paraId="429C5E8A">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300</w:t>
                  </w:r>
                </w:p>
              </w:tc>
              <w:tc>
                <w:tcPr>
                  <w:tcW w:w="436" w:type="pct"/>
                  <w:tcBorders>
                    <w:tl2br w:val="nil"/>
                    <w:tr2bl w:val="nil"/>
                  </w:tcBorders>
                  <w:noWrap w:val="0"/>
                  <w:vAlign w:val="center"/>
                </w:tcPr>
                <w:p w14:paraId="56ACBC8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default" w:ascii="Times New Roman" w:hAnsi="Times New Roman" w:eastAsia="PMingLiU" w:cs="Times New Roman"/>
                      <w:i w:val="0"/>
                      <w:iCs w:val="0"/>
                      <w:color w:val="000000"/>
                      <w:kern w:val="0"/>
                      <w:sz w:val="21"/>
                      <w:szCs w:val="21"/>
                      <w:u w:val="none"/>
                      <w:lang w:val="en-US" w:eastAsia="zh-CN" w:bidi="ar"/>
                    </w:rPr>
                    <w:t>1530</w:t>
                  </w:r>
                </w:p>
              </w:tc>
              <w:tc>
                <w:tcPr>
                  <w:tcW w:w="400" w:type="pct"/>
                  <w:tcBorders>
                    <w:tl2br w:val="nil"/>
                    <w:tr2bl w:val="nil"/>
                  </w:tcBorders>
                  <w:noWrap w:val="0"/>
                  <w:vAlign w:val="center"/>
                </w:tcPr>
                <w:p w14:paraId="3AA7E83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1830</w:t>
                  </w:r>
                </w:p>
              </w:tc>
              <w:tc>
                <w:tcPr>
                  <w:tcW w:w="511" w:type="pct"/>
                  <w:tcBorders>
                    <w:tl2br w:val="nil"/>
                    <w:tr2bl w:val="nil"/>
                  </w:tcBorders>
                  <w:shd w:val="clear" w:color="auto" w:fill="auto"/>
                  <w:noWrap w:val="0"/>
                  <w:vAlign w:val="center"/>
                </w:tcPr>
                <w:p w14:paraId="14BB07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包材库</w:t>
                  </w:r>
                </w:p>
              </w:tc>
              <w:tc>
                <w:tcPr>
                  <w:tcW w:w="522" w:type="pct"/>
                  <w:tcBorders>
                    <w:tl2br w:val="nil"/>
                    <w:tr2bl w:val="nil"/>
                  </w:tcBorders>
                  <w:noWrap w:val="0"/>
                  <w:vAlign w:val="center"/>
                </w:tcPr>
                <w:p w14:paraId="67437896">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3</w:t>
                  </w:r>
                </w:p>
              </w:tc>
              <w:tc>
                <w:tcPr>
                  <w:tcW w:w="1444" w:type="pct"/>
                  <w:tcBorders>
                    <w:tl2br w:val="nil"/>
                    <w:tr2bl w:val="nil"/>
                  </w:tcBorders>
                  <w:noWrap w:val="0"/>
                  <w:vAlign w:val="center"/>
                </w:tcPr>
                <w:p w14:paraId="2516A0CE">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default" w:ascii="Times New Roman" w:hAnsi="Times New Roman" w:cs="Times New Roman"/>
                      <w:szCs w:val="21"/>
                    </w:rPr>
                    <w:t>外购</w:t>
                  </w:r>
                  <w:r>
                    <w:rPr>
                      <w:rFonts w:hint="eastAsia" w:ascii="Times New Roman" w:hAnsi="Times New Roman" w:cs="Times New Roman"/>
                      <w:szCs w:val="21"/>
                    </w:rPr>
                    <w:t>、</w:t>
                  </w:r>
                  <w:r>
                    <w:rPr>
                      <w:rFonts w:hint="eastAsia" w:ascii="Times New Roman" w:hAnsi="Times New Roman" w:cs="Times New Roman"/>
                      <w:szCs w:val="21"/>
                      <w:lang w:val="en-US" w:eastAsia="zh-CN"/>
                    </w:rPr>
                    <w:t>包装</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最大暂存量15万个</w:t>
                  </w:r>
                </w:p>
              </w:tc>
            </w:tr>
            <w:tr w14:paraId="35AE2F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2A76E16B">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w:t>
                  </w:r>
                </w:p>
              </w:tc>
              <w:tc>
                <w:tcPr>
                  <w:tcW w:w="504" w:type="pct"/>
                  <w:gridSpan w:val="2"/>
                  <w:tcBorders>
                    <w:tl2br w:val="nil"/>
                    <w:tr2bl w:val="nil"/>
                  </w:tcBorders>
                  <w:noWrap w:val="0"/>
                  <w:vAlign w:val="center"/>
                </w:tcPr>
                <w:p w14:paraId="42ED94EA">
                  <w:pPr>
                    <w:pStyle w:val="10"/>
                    <w:keepNext w:val="0"/>
                    <w:keepLines w:val="0"/>
                    <w:suppressLineNumbers w:val="0"/>
                    <w:overflowPunct w:val="0"/>
                    <w:topLinePunct/>
                    <w:spacing w:before="0" w:beforeAutospacing="0" w:after="0" w:afterAutospacing="0" w:line="240" w:lineRule="auto"/>
                    <w:ind w:left="0" w:right="113" w:rightChars="0"/>
                    <w:jc w:val="center"/>
                    <w:rPr>
                      <w:rFonts w:hint="default" w:ascii="Times New Roman" w:hAnsi="Times New Roman" w:cs="Times New Roman"/>
                      <w:sz w:val="21"/>
                      <w:szCs w:val="21"/>
                      <w:lang w:val="en-US" w:eastAsia="zh-CN"/>
                    </w:rPr>
                  </w:pPr>
                  <w:r>
                    <w:rPr>
                      <w:rFonts w:hint="eastAsia" w:ascii="Times New Roman" w:hAnsi="Times New Roman" w:cs="Times New Roman"/>
                      <w:b w:val="0"/>
                      <w:bCs/>
                      <w:sz w:val="21"/>
                      <w:szCs w:val="21"/>
                      <w:lang w:val="en-US" w:eastAsia="zh-CN" w:bidi="ar"/>
                    </w:rPr>
                    <w:t>纸罐</w:t>
                  </w:r>
                </w:p>
              </w:tc>
              <w:tc>
                <w:tcPr>
                  <w:tcW w:w="427" w:type="pct"/>
                  <w:tcBorders>
                    <w:tl2br w:val="nil"/>
                    <w:tr2bl w:val="nil"/>
                  </w:tcBorders>
                  <w:noWrap w:val="0"/>
                  <w:vAlign w:val="center"/>
                </w:tcPr>
                <w:p w14:paraId="28EC34FB">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万个</w:t>
                  </w:r>
                </w:p>
              </w:tc>
              <w:tc>
                <w:tcPr>
                  <w:tcW w:w="464" w:type="pct"/>
                  <w:tcBorders>
                    <w:tl2br w:val="nil"/>
                    <w:tr2bl w:val="nil"/>
                  </w:tcBorders>
                  <w:noWrap w:val="0"/>
                  <w:vAlign w:val="center"/>
                </w:tcPr>
                <w:p w14:paraId="3A4F992E">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500</w:t>
                  </w:r>
                </w:p>
              </w:tc>
              <w:tc>
                <w:tcPr>
                  <w:tcW w:w="436" w:type="pct"/>
                  <w:tcBorders>
                    <w:tl2br w:val="nil"/>
                    <w:tr2bl w:val="nil"/>
                  </w:tcBorders>
                  <w:noWrap w:val="0"/>
                  <w:vAlign w:val="center"/>
                </w:tcPr>
                <w:p w14:paraId="4BF2A56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default" w:ascii="Times New Roman" w:hAnsi="Times New Roman" w:eastAsia="PMingLiU" w:cs="Times New Roman"/>
                      <w:i w:val="0"/>
                      <w:iCs w:val="0"/>
                      <w:color w:val="000000"/>
                      <w:kern w:val="0"/>
                      <w:sz w:val="21"/>
                      <w:szCs w:val="21"/>
                      <w:u w:val="none"/>
                      <w:lang w:val="en-US" w:eastAsia="zh-CN" w:bidi="ar"/>
                    </w:rPr>
                    <w:t>2550</w:t>
                  </w:r>
                </w:p>
              </w:tc>
              <w:tc>
                <w:tcPr>
                  <w:tcW w:w="400" w:type="pct"/>
                  <w:tcBorders>
                    <w:tl2br w:val="nil"/>
                    <w:tr2bl w:val="nil"/>
                  </w:tcBorders>
                  <w:noWrap w:val="0"/>
                  <w:vAlign w:val="center"/>
                </w:tcPr>
                <w:p w14:paraId="25284B3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eastAsia="zh-CN"/>
                    </w:rPr>
                  </w:pPr>
                  <w:r>
                    <w:rPr>
                      <w:rFonts w:hint="eastAsia" w:eastAsia="PMingLiU" w:cs="Times New Roman"/>
                      <w:i w:val="0"/>
                      <w:iCs w:val="0"/>
                      <w:color w:val="000000"/>
                      <w:kern w:val="0"/>
                      <w:sz w:val="21"/>
                      <w:szCs w:val="21"/>
                      <w:u w:val="none"/>
                      <w:lang w:val="en-US" w:eastAsia="zh-CN" w:bidi="ar"/>
                    </w:rPr>
                    <w:t>3050</w:t>
                  </w:r>
                </w:p>
              </w:tc>
              <w:tc>
                <w:tcPr>
                  <w:tcW w:w="511" w:type="pct"/>
                  <w:tcBorders>
                    <w:tl2br w:val="nil"/>
                    <w:tr2bl w:val="nil"/>
                  </w:tcBorders>
                  <w:shd w:val="clear" w:color="auto" w:fill="auto"/>
                  <w:noWrap w:val="0"/>
                  <w:vAlign w:val="center"/>
                </w:tcPr>
                <w:p w14:paraId="539EE8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包材库</w:t>
                  </w:r>
                </w:p>
              </w:tc>
              <w:tc>
                <w:tcPr>
                  <w:tcW w:w="522" w:type="pct"/>
                  <w:tcBorders>
                    <w:tl2br w:val="nil"/>
                    <w:tr2bl w:val="nil"/>
                  </w:tcBorders>
                  <w:noWrap w:val="0"/>
                  <w:vAlign w:val="center"/>
                </w:tcPr>
                <w:p w14:paraId="535FACE0">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3</w:t>
                  </w:r>
                </w:p>
              </w:tc>
              <w:tc>
                <w:tcPr>
                  <w:tcW w:w="1444" w:type="pct"/>
                  <w:tcBorders>
                    <w:tl2br w:val="nil"/>
                    <w:tr2bl w:val="nil"/>
                  </w:tcBorders>
                  <w:noWrap w:val="0"/>
                  <w:vAlign w:val="center"/>
                </w:tcPr>
                <w:p w14:paraId="1D3EB466">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default" w:ascii="Times New Roman" w:hAnsi="Times New Roman" w:cs="Times New Roman"/>
                      <w:szCs w:val="21"/>
                    </w:rPr>
                    <w:t>外购</w:t>
                  </w:r>
                  <w:r>
                    <w:rPr>
                      <w:rFonts w:hint="eastAsia" w:ascii="Times New Roman" w:hAnsi="Times New Roman" w:cs="Times New Roman"/>
                      <w:szCs w:val="21"/>
                    </w:rPr>
                    <w:t>、</w:t>
                  </w:r>
                  <w:r>
                    <w:rPr>
                      <w:rFonts w:hint="eastAsia" w:ascii="Times New Roman" w:hAnsi="Times New Roman" w:cs="Times New Roman"/>
                      <w:szCs w:val="21"/>
                      <w:lang w:val="en-US" w:eastAsia="zh-CN"/>
                    </w:rPr>
                    <w:t>包装</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最大暂存量20万个</w:t>
                  </w:r>
                </w:p>
              </w:tc>
            </w:tr>
            <w:tr w14:paraId="24BAD7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000" w:type="pct"/>
                  <w:gridSpan w:val="10"/>
                  <w:tcBorders>
                    <w:tl2br w:val="nil"/>
                    <w:tr2bl w:val="nil"/>
                  </w:tcBorders>
                  <w:noWrap w:val="0"/>
                  <w:vAlign w:val="center"/>
                </w:tcPr>
                <w:p w14:paraId="152A05CE">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cs="Times New Roman"/>
                      <w:szCs w:val="21"/>
                      <w:lang w:val="en-US" w:eastAsia="zh-CN"/>
                    </w:rPr>
                  </w:pPr>
                  <w:r>
                    <w:rPr>
                      <w:rFonts w:hint="eastAsia" w:cs="Times New Roman"/>
                      <w:szCs w:val="21"/>
                      <w:lang w:val="en-US" w:eastAsia="zh-CN"/>
                    </w:rPr>
                    <w:t>公辅</w:t>
                  </w:r>
                </w:p>
              </w:tc>
            </w:tr>
            <w:tr w14:paraId="20D357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71D681D1">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cs="Times New Roman"/>
                      <w:szCs w:val="21"/>
                      <w:lang w:val="en-US" w:eastAsia="zh-CN"/>
                    </w:rPr>
                    <w:t>11</w:t>
                  </w:r>
                </w:p>
              </w:tc>
              <w:tc>
                <w:tcPr>
                  <w:tcW w:w="504" w:type="pct"/>
                  <w:gridSpan w:val="2"/>
                  <w:tcBorders>
                    <w:tl2br w:val="nil"/>
                    <w:tr2bl w:val="nil"/>
                  </w:tcBorders>
                  <w:noWrap w:val="0"/>
                  <w:vAlign w:val="center"/>
                </w:tcPr>
                <w:p w14:paraId="08A12AB1">
                  <w:pPr>
                    <w:pStyle w:val="10"/>
                    <w:keepNext w:val="0"/>
                    <w:keepLines w:val="0"/>
                    <w:suppressLineNumbers w:val="0"/>
                    <w:overflowPunct w:val="0"/>
                    <w:topLinePunct/>
                    <w:spacing w:before="0" w:beforeAutospacing="0" w:after="0" w:afterAutospacing="0" w:line="240" w:lineRule="auto"/>
                    <w:ind w:left="0" w:right="113" w:rightChars="0"/>
                    <w:jc w:val="center"/>
                    <w:rPr>
                      <w:rFonts w:hint="default" w:ascii="Times New Roman" w:hAnsi="Times New Roman" w:cs="Times New Roman"/>
                      <w:b w:val="0"/>
                      <w:bCs/>
                      <w:sz w:val="21"/>
                      <w:szCs w:val="21"/>
                      <w:lang w:val="en-US" w:eastAsia="zh-CN" w:bidi="ar"/>
                    </w:rPr>
                  </w:pPr>
                  <w:r>
                    <w:rPr>
                      <w:rFonts w:hint="eastAsia" w:cs="Times New Roman"/>
                      <w:b w:val="0"/>
                      <w:bCs/>
                      <w:sz w:val="21"/>
                      <w:szCs w:val="21"/>
                      <w:lang w:val="en-US" w:eastAsia="zh-CN" w:bidi="ar"/>
                    </w:rPr>
                    <w:t>酒精</w:t>
                  </w:r>
                </w:p>
              </w:tc>
              <w:tc>
                <w:tcPr>
                  <w:tcW w:w="427" w:type="pct"/>
                  <w:tcBorders>
                    <w:tl2br w:val="nil"/>
                    <w:tr2bl w:val="nil"/>
                  </w:tcBorders>
                  <w:noWrap w:val="0"/>
                  <w:vAlign w:val="center"/>
                </w:tcPr>
                <w:p w14:paraId="6A9D7919">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cs="Times New Roman"/>
                      <w:szCs w:val="21"/>
                      <w:lang w:val="en-US" w:eastAsia="zh-CN"/>
                    </w:rPr>
                    <w:t>t/a</w:t>
                  </w:r>
                </w:p>
              </w:tc>
              <w:tc>
                <w:tcPr>
                  <w:tcW w:w="464" w:type="pct"/>
                  <w:tcBorders>
                    <w:tl2br w:val="nil"/>
                    <w:tr2bl w:val="nil"/>
                  </w:tcBorders>
                  <w:noWrap w:val="0"/>
                  <w:vAlign w:val="center"/>
                </w:tcPr>
                <w:p w14:paraId="47AA947D">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cs="Times New Roman"/>
                      <w:szCs w:val="21"/>
                      <w:lang w:val="en-US" w:eastAsia="zh-CN"/>
                    </w:rPr>
                    <w:t>0.12</w:t>
                  </w:r>
                </w:p>
              </w:tc>
              <w:tc>
                <w:tcPr>
                  <w:tcW w:w="436" w:type="pct"/>
                  <w:tcBorders>
                    <w:tl2br w:val="nil"/>
                    <w:tr2bl w:val="nil"/>
                  </w:tcBorders>
                  <w:noWrap w:val="0"/>
                  <w:vAlign w:val="center"/>
                </w:tcPr>
                <w:p w14:paraId="2B2C1B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0.16</w:t>
                  </w:r>
                </w:p>
              </w:tc>
              <w:tc>
                <w:tcPr>
                  <w:tcW w:w="400" w:type="pct"/>
                  <w:tcBorders>
                    <w:tl2br w:val="nil"/>
                    <w:tr2bl w:val="nil"/>
                  </w:tcBorders>
                  <w:noWrap w:val="0"/>
                  <w:vAlign w:val="center"/>
                </w:tcPr>
                <w:p w14:paraId="459B98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PMingLiU" w:cs="Times New Roman"/>
                      <w:i w:val="0"/>
                      <w:iCs w:val="0"/>
                      <w:color w:val="000000"/>
                      <w:kern w:val="0"/>
                      <w:sz w:val="21"/>
                      <w:szCs w:val="21"/>
                      <w:u w:val="none"/>
                      <w:lang w:val="en-US" w:eastAsia="zh-CN" w:bidi="ar"/>
                    </w:rPr>
                  </w:pPr>
                  <w:r>
                    <w:rPr>
                      <w:rFonts w:hint="eastAsia" w:eastAsia="PMingLiU" w:cs="Times New Roman"/>
                      <w:i w:val="0"/>
                      <w:iCs w:val="0"/>
                      <w:color w:val="000000"/>
                      <w:kern w:val="0"/>
                      <w:sz w:val="21"/>
                      <w:szCs w:val="21"/>
                      <w:u w:val="none"/>
                      <w:lang w:val="en-US" w:eastAsia="zh-CN" w:bidi="ar"/>
                    </w:rPr>
                    <w:t>0.28</w:t>
                  </w:r>
                </w:p>
              </w:tc>
              <w:tc>
                <w:tcPr>
                  <w:tcW w:w="511" w:type="pct"/>
                  <w:tcBorders>
                    <w:tl2br w:val="nil"/>
                    <w:tr2bl w:val="nil"/>
                  </w:tcBorders>
                  <w:shd w:val="clear" w:color="auto" w:fill="auto"/>
                  <w:noWrap w:val="0"/>
                  <w:vAlign w:val="center"/>
                </w:tcPr>
                <w:p w14:paraId="3E10235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zCs w:val="21"/>
                      <w:lang w:val="en-US" w:eastAsia="zh-CN"/>
                    </w:rPr>
                    <w:t>消毒间</w:t>
                  </w:r>
                </w:p>
              </w:tc>
              <w:tc>
                <w:tcPr>
                  <w:tcW w:w="522" w:type="pct"/>
                  <w:tcBorders>
                    <w:tl2br w:val="nil"/>
                    <w:tr2bl w:val="nil"/>
                  </w:tcBorders>
                  <w:noWrap w:val="0"/>
                  <w:vAlign w:val="center"/>
                </w:tcPr>
                <w:p w14:paraId="7D364F58">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cs="Times New Roman"/>
                      <w:szCs w:val="21"/>
                      <w:lang w:val="en-US" w:eastAsia="zh-CN"/>
                    </w:rPr>
                  </w:pPr>
                  <w:r>
                    <w:rPr>
                      <w:rFonts w:hint="eastAsia" w:cs="Times New Roman"/>
                      <w:szCs w:val="21"/>
                      <w:lang w:val="en-US" w:eastAsia="zh-CN"/>
                    </w:rPr>
                    <w:t>20</w:t>
                  </w:r>
                </w:p>
              </w:tc>
              <w:tc>
                <w:tcPr>
                  <w:tcW w:w="1444" w:type="pct"/>
                  <w:tcBorders>
                    <w:tl2br w:val="nil"/>
                    <w:tr2bl w:val="nil"/>
                  </w:tcBorders>
                  <w:noWrap w:val="0"/>
                  <w:vAlign w:val="center"/>
                </w:tcPr>
                <w:p w14:paraId="194AFEAE">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外购、液体、瓶装，最大暂存量0.015t</w:t>
                  </w:r>
                </w:p>
              </w:tc>
            </w:tr>
            <w:tr w14:paraId="4FE025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000" w:type="pct"/>
                  <w:gridSpan w:val="10"/>
                  <w:tcBorders>
                    <w:tl2br w:val="nil"/>
                    <w:tr2bl w:val="nil"/>
                  </w:tcBorders>
                  <w:noWrap w:val="0"/>
                  <w:vAlign w:val="center"/>
                </w:tcPr>
                <w:p w14:paraId="64EB7439">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Cs w:val="21"/>
                      <w:lang w:val="en-US" w:eastAsia="zh-CN"/>
                    </w:rPr>
                  </w:pPr>
                  <w:r>
                    <w:rPr>
                      <w:rFonts w:hint="eastAsia" w:ascii="Times New Roman" w:hAnsi="Times New Roman" w:cs="Times New Roman"/>
                      <w:b/>
                      <w:bCs w:val="0"/>
                      <w:szCs w:val="21"/>
                      <w:lang w:val="en-US" w:eastAsia="zh-CN"/>
                    </w:rPr>
                    <w:t>能源消耗</w:t>
                  </w:r>
                </w:p>
              </w:tc>
            </w:tr>
            <w:tr w14:paraId="6873F8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2D76F390">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w:t>
                  </w:r>
                </w:p>
              </w:tc>
              <w:tc>
                <w:tcPr>
                  <w:tcW w:w="384" w:type="pct"/>
                  <w:tcBorders>
                    <w:tl2br w:val="nil"/>
                    <w:tr2bl w:val="nil"/>
                  </w:tcBorders>
                  <w:noWrap w:val="0"/>
                  <w:vAlign w:val="center"/>
                </w:tcPr>
                <w:p w14:paraId="714F49E6">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kern w:val="2"/>
                      <w:sz w:val="21"/>
                      <w:szCs w:val="21"/>
                      <w:lang w:val="en-US" w:eastAsia="zh-CN" w:bidi="ar-SA"/>
                    </w:rPr>
                  </w:pPr>
                  <w:r>
                    <w:rPr>
                      <w:rFonts w:hint="eastAsia" w:ascii="Times New Roman" w:hAnsi="Times New Roman" w:cs="Times New Roman"/>
                      <w:szCs w:val="21"/>
                      <w:lang w:val="en-US" w:eastAsia="zh-CN"/>
                    </w:rPr>
                    <w:t>水</w:t>
                  </w:r>
                </w:p>
              </w:tc>
              <w:tc>
                <w:tcPr>
                  <w:tcW w:w="547" w:type="pct"/>
                  <w:gridSpan w:val="2"/>
                  <w:tcBorders>
                    <w:tl2br w:val="nil"/>
                    <w:tr2bl w:val="nil"/>
                  </w:tcBorders>
                  <w:noWrap w:val="0"/>
                  <w:vAlign w:val="center"/>
                </w:tcPr>
                <w:p w14:paraId="4BCE3159">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kern w:val="0"/>
                      <w:szCs w:val="21"/>
                      <w:lang w:val="en-US" w:eastAsia="zh-CN" w:bidi="ar"/>
                    </w:rPr>
                    <w:t>m</w:t>
                  </w:r>
                  <w:r>
                    <w:rPr>
                      <w:rFonts w:hint="eastAsia" w:ascii="Times New Roman" w:hAnsi="Times New Roman" w:cs="Times New Roman"/>
                      <w:kern w:val="0"/>
                      <w:szCs w:val="21"/>
                      <w:vertAlign w:val="superscript"/>
                      <w:lang w:val="en-US" w:eastAsia="zh-CN" w:bidi="ar"/>
                    </w:rPr>
                    <w:t>3</w:t>
                  </w:r>
                  <w:r>
                    <w:rPr>
                      <w:rFonts w:hint="default" w:ascii="Times New Roman" w:hAnsi="Times New Roman" w:cs="Times New Roman"/>
                      <w:kern w:val="0"/>
                      <w:szCs w:val="21"/>
                      <w:lang w:bidi="ar"/>
                    </w:rPr>
                    <w:t>/a</w:t>
                  </w:r>
                </w:p>
              </w:tc>
              <w:tc>
                <w:tcPr>
                  <w:tcW w:w="901" w:type="pct"/>
                  <w:gridSpan w:val="2"/>
                  <w:tcBorders>
                    <w:tl2br w:val="nil"/>
                    <w:tr2bl w:val="nil"/>
                  </w:tcBorders>
                  <w:noWrap w:val="0"/>
                  <w:vAlign w:val="center"/>
                </w:tcPr>
                <w:p w14:paraId="517C8343">
                  <w:pPr>
                    <w:keepNext/>
                    <w:keepLines w:val="0"/>
                    <w:pageBreakBefore w:val="0"/>
                    <w:widowControl w:val="0"/>
                    <w:suppressLineNumbers w:val="0"/>
                    <w:tabs>
                      <w:tab w:val="center" w:pos="874"/>
                      <w:tab w:val="right" w:pos="1629"/>
                    </w:tabs>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cs="Times New Roman"/>
                      <w:szCs w:val="21"/>
                      <w:lang w:val="en-US" w:eastAsia="zh-CN"/>
                    </w:rPr>
                    <w:t>1277.5</w:t>
                  </w:r>
                </w:p>
              </w:tc>
              <w:tc>
                <w:tcPr>
                  <w:tcW w:w="912" w:type="pct"/>
                  <w:gridSpan w:val="2"/>
                  <w:tcBorders>
                    <w:tl2br w:val="nil"/>
                    <w:tr2bl w:val="nil"/>
                  </w:tcBorders>
                  <w:shd w:val="clear" w:color="auto" w:fill="auto"/>
                  <w:noWrap w:val="0"/>
                  <w:vAlign w:val="center"/>
                </w:tcPr>
                <w:p w14:paraId="559A04ED">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eastAsia" w:cs="Times New Roman"/>
                      <w:szCs w:val="21"/>
                      <w:lang w:val="en-US" w:eastAsia="zh-CN"/>
                    </w:rPr>
                    <w:t>1079.5</w:t>
                  </w:r>
                </w:p>
              </w:tc>
              <w:tc>
                <w:tcPr>
                  <w:tcW w:w="522" w:type="pct"/>
                  <w:tcBorders>
                    <w:tl2br w:val="nil"/>
                    <w:tr2bl w:val="nil"/>
                  </w:tcBorders>
                  <w:noWrap w:val="0"/>
                  <w:vAlign w:val="center"/>
                </w:tcPr>
                <w:p w14:paraId="4CFA0B02">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2357</w:t>
                  </w:r>
                </w:p>
              </w:tc>
              <w:tc>
                <w:tcPr>
                  <w:tcW w:w="1444" w:type="pct"/>
                  <w:tcBorders>
                    <w:tl2br w:val="nil"/>
                    <w:tr2bl w:val="nil"/>
                  </w:tcBorders>
                  <w:noWrap w:val="0"/>
                  <w:vAlign w:val="center"/>
                </w:tcPr>
                <w:p w14:paraId="334BE725">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Cs w:val="21"/>
                    </w:rPr>
                  </w:pPr>
                  <w:r>
                    <w:rPr>
                      <w:rFonts w:hint="eastAsia" w:ascii="Times New Roman" w:hAnsi="Times New Roman" w:cs="Times New Roman"/>
                      <w:szCs w:val="21"/>
                    </w:rPr>
                    <w:t>园区供水管网供给</w:t>
                  </w:r>
                </w:p>
              </w:tc>
            </w:tr>
            <w:tr w14:paraId="10C50E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88" w:type="pct"/>
                  <w:tcBorders>
                    <w:tl2br w:val="nil"/>
                    <w:tr2bl w:val="nil"/>
                  </w:tcBorders>
                  <w:noWrap w:val="0"/>
                  <w:vAlign w:val="center"/>
                </w:tcPr>
                <w:p w14:paraId="57D30301">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12</w:t>
                  </w:r>
                </w:p>
              </w:tc>
              <w:tc>
                <w:tcPr>
                  <w:tcW w:w="384" w:type="pct"/>
                  <w:tcBorders>
                    <w:tl2br w:val="nil"/>
                    <w:tr2bl w:val="nil"/>
                  </w:tcBorders>
                  <w:noWrap w:val="0"/>
                  <w:vAlign w:val="center"/>
                </w:tcPr>
                <w:p w14:paraId="2958DD48">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kern w:val="2"/>
                      <w:sz w:val="21"/>
                      <w:szCs w:val="21"/>
                      <w:lang w:val="en-US" w:eastAsia="zh-CN" w:bidi="ar-SA"/>
                    </w:rPr>
                  </w:pPr>
                  <w:r>
                    <w:rPr>
                      <w:rFonts w:hint="eastAsia" w:ascii="Times New Roman" w:hAnsi="Times New Roman" w:cs="Times New Roman"/>
                      <w:szCs w:val="21"/>
                      <w:lang w:val="en-US" w:eastAsia="zh-CN"/>
                    </w:rPr>
                    <w:t>电</w:t>
                  </w:r>
                </w:p>
              </w:tc>
              <w:tc>
                <w:tcPr>
                  <w:tcW w:w="547" w:type="pct"/>
                  <w:gridSpan w:val="2"/>
                  <w:tcBorders>
                    <w:tl2br w:val="nil"/>
                    <w:tr2bl w:val="nil"/>
                  </w:tcBorders>
                  <w:noWrap w:val="0"/>
                  <w:vAlign w:val="center"/>
                </w:tcPr>
                <w:p w14:paraId="45148C7A">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kern w:val="0"/>
                      <w:szCs w:val="21"/>
                      <w:lang w:bidi="ar"/>
                    </w:rPr>
                    <w:t>kwh</w:t>
                  </w:r>
                  <w:r>
                    <w:rPr>
                      <w:rFonts w:hint="default" w:ascii="Times New Roman" w:hAnsi="Times New Roman" w:cs="Times New Roman"/>
                      <w:kern w:val="0"/>
                      <w:szCs w:val="21"/>
                      <w:lang w:bidi="ar"/>
                    </w:rPr>
                    <w:t>/a</w:t>
                  </w:r>
                </w:p>
              </w:tc>
              <w:tc>
                <w:tcPr>
                  <w:tcW w:w="901" w:type="pct"/>
                  <w:gridSpan w:val="2"/>
                  <w:tcBorders>
                    <w:tl2br w:val="nil"/>
                    <w:tr2bl w:val="nil"/>
                  </w:tcBorders>
                  <w:noWrap w:val="0"/>
                  <w:vAlign w:val="center"/>
                </w:tcPr>
                <w:p w14:paraId="6EC09446">
                  <w:pPr>
                    <w:keepNext/>
                    <w:keepLines w:val="0"/>
                    <w:pageBreakBefore w:val="0"/>
                    <w:widowControl w:val="0"/>
                    <w:suppressLineNumbers w:val="0"/>
                    <w:tabs>
                      <w:tab w:val="center" w:pos="874"/>
                      <w:tab w:val="right" w:pos="1629"/>
                    </w:tabs>
                    <w:kinsoku/>
                    <w:wordWrap/>
                    <w:overflowPunct w:val="0"/>
                    <w:topLinePunct w:val="0"/>
                    <w:autoSpaceDE/>
                    <w:autoSpaceDN/>
                    <w:bidi w:val="0"/>
                    <w:adjustRightInd/>
                    <w:spacing w:before="0" w:beforeAutospacing="0" w:after="0" w:afterAutospacing="0" w:line="240" w:lineRule="auto"/>
                    <w:ind w:left="0" w:right="0" w:firstLine="0"/>
                    <w:jc w:val="center"/>
                    <w:textAlignment w:val="auto"/>
                    <w:outlineLvl w:val="9"/>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10万</w:t>
                  </w:r>
                </w:p>
              </w:tc>
              <w:tc>
                <w:tcPr>
                  <w:tcW w:w="912" w:type="pct"/>
                  <w:gridSpan w:val="2"/>
                  <w:tcBorders>
                    <w:tl2br w:val="nil"/>
                    <w:tr2bl w:val="nil"/>
                  </w:tcBorders>
                  <w:shd w:val="clear" w:color="auto" w:fill="auto"/>
                  <w:noWrap w:val="0"/>
                  <w:vAlign w:val="center"/>
                </w:tcPr>
                <w:p w14:paraId="6E1C0069">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bCs/>
                      <w:color w:val="000000"/>
                      <w:kern w:val="44"/>
                      <w:sz w:val="21"/>
                      <w:szCs w:val="21"/>
                      <w:lang w:val="en-US" w:eastAsia="zh-CN" w:bidi="ar-SA"/>
                    </w:rPr>
                  </w:pPr>
                  <w:r>
                    <w:rPr>
                      <w:rFonts w:hint="eastAsia" w:ascii="Times New Roman" w:hAnsi="Times New Roman" w:cs="Times New Roman"/>
                      <w:szCs w:val="21"/>
                      <w:lang w:val="en-US" w:eastAsia="zh-CN"/>
                    </w:rPr>
                    <w:t>25万</w:t>
                  </w:r>
                </w:p>
              </w:tc>
              <w:tc>
                <w:tcPr>
                  <w:tcW w:w="522" w:type="pct"/>
                  <w:tcBorders>
                    <w:tl2br w:val="nil"/>
                    <w:tr2bl w:val="nil"/>
                  </w:tcBorders>
                  <w:noWrap w:val="0"/>
                  <w:vAlign w:val="center"/>
                </w:tcPr>
                <w:p w14:paraId="4F208B83">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Cs w:val="21"/>
                      <w:lang w:val="en-US" w:eastAsia="zh-CN"/>
                    </w:rPr>
                  </w:pPr>
                  <w:r>
                    <w:rPr>
                      <w:rFonts w:hint="eastAsia" w:cs="Times New Roman"/>
                      <w:szCs w:val="21"/>
                      <w:lang w:val="en-US" w:eastAsia="zh-CN"/>
                    </w:rPr>
                    <w:t>35万</w:t>
                  </w:r>
                </w:p>
              </w:tc>
              <w:tc>
                <w:tcPr>
                  <w:tcW w:w="1444" w:type="pct"/>
                  <w:tcBorders>
                    <w:tl2br w:val="nil"/>
                    <w:tr2bl w:val="nil"/>
                  </w:tcBorders>
                  <w:noWrap w:val="0"/>
                  <w:vAlign w:val="center"/>
                </w:tcPr>
                <w:p w14:paraId="4481AE5F">
                  <w:pPr>
                    <w:keepNext/>
                    <w:keepLines w:val="0"/>
                    <w:pageBreakBefore w:val="0"/>
                    <w:widowControl w:val="0"/>
                    <w:suppressLineNumbers w:val="0"/>
                    <w:kinsoku/>
                    <w:wordWrap/>
                    <w:overflowPunct w:val="0"/>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Cs w:val="21"/>
                    </w:rPr>
                  </w:pPr>
                  <w:r>
                    <w:rPr>
                      <w:rFonts w:hint="eastAsia" w:ascii="Times New Roman" w:hAnsi="Times New Roman" w:cs="Times New Roman"/>
                      <w:szCs w:val="21"/>
                    </w:rPr>
                    <w:t>园区供电管网供给</w:t>
                  </w:r>
                </w:p>
              </w:tc>
            </w:tr>
          </w:tbl>
          <w:p w14:paraId="2D1F4559">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主要原辅材料物化性质：</w:t>
            </w:r>
          </w:p>
          <w:p w14:paraId="641FB606">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植物油：植物油是从植物中提取的油脂，比如常见的菜籽油、大豆油、花生油、橄榄油等。外观：通常为淡黄色至金黄色。多数植物油（如大豆油、葵花籽油）在常温下呈液态，富含饱和脂肪酸的油（如椰子油）在常温下呈固态或半固态。密度：0.91~0.93</w:t>
            </w:r>
            <w:r>
              <w:rPr>
                <w:rFonts w:hint="default" w:ascii="Times New Roman" w:hAnsi="Times New Roman" w:cs="Times New Roman"/>
                <w:b w:val="0"/>
                <w:bCs w:val="0"/>
                <w:color w:val="auto"/>
                <w:sz w:val="24"/>
              </w:rPr>
              <w:t>g/cm³。</w:t>
            </w:r>
            <w:r>
              <w:rPr>
                <w:rFonts w:hint="default" w:ascii="Times New Roman" w:hAnsi="Times New Roman" w:cs="Times New Roman"/>
                <w:b w:val="0"/>
                <w:bCs w:val="0"/>
                <w:color w:val="auto"/>
                <w:sz w:val="24"/>
                <w:lang w:val="en-US" w:eastAsia="zh-CN"/>
              </w:rPr>
              <w:t>熔点与凝固点：高饱和脂肪酸油（如椰子油）熔点约25℃；不饱和脂肪酸油（如亚麻籽油）凝固点约-20℃。沸点：200~300℃。烟点</w:t>
            </w:r>
            <w:r>
              <w:rPr>
                <w:rFonts w:hint="eastAsia" w:ascii="Times New Roman" w:hAnsi="Times New Roman" w:cs="Times New Roman"/>
                <w:b w:val="0"/>
                <w:bCs w:val="0"/>
                <w:color w:val="auto"/>
                <w:sz w:val="24"/>
                <w:lang w:val="en-US" w:eastAsia="zh-CN"/>
              </w:rPr>
              <w:t>：</w:t>
            </w:r>
            <w:r>
              <w:rPr>
                <w:rFonts w:hint="default" w:ascii="Times New Roman" w:hAnsi="Times New Roman" w:cs="Times New Roman"/>
                <w:b w:val="0"/>
                <w:bCs w:val="0"/>
                <w:color w:val="auto"/>
                <w:sz w:val="24"/>
                <w:lang w:val="en-US" w:eastAsia="zh-CN"/>
              </w:rPr>
              <w:t>190~230℃。</w:t>
            </w:r>
            <w:r>
              <w:rPr>
                <w:rFonts w:hint="eastAsia" w:ascii="Times New Roman" w:hAnsi="Times New Roman" w:cs="Times New Roman"/>
                <w:b w:val="0"/>
                <w:bCs w:val="0"/>
                <w:color w:val="auto"/>
                <w:sz w:val="24"/>
                <w:lang w:val="en-US" w:eastAsia="zh-CN"/>
              </w:rPr>
              <w:t>溶解性：不溶于水，溶于非极性有机溶剂（如乙醚、氯仿）。氧化性：不饱和脂肪酸含量越高，氧化速度越快。热稳定性：高温下易分解，产生丙烯醛等有害物质。</w:t>
            </w:r>
          </w:p>
          <w:p w14:paraId="61B25B4D">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R507制冷剂：用于速冻库及冷藏库制冷，R507制冷剂由五氟乙烷及三氟乙烷组成的混合物，在常温下为无色气体，在自身压力下为无色透明液体，无毒不燃，具有良好的热稳定性及化学稳定性，分子式为CHF</w:t>
            </w:r>
            <w:r>
              <w:rPr>
                <w:rFonts w:hint="default" w:ascii="Times New Roman" w:hAnsi="Times New Roman" w:cs="Times New Roman"/>
                <w:b w:val="0"/>
                <w:bCs w:val="0"/>
                <w:color w:val="auto"/>
                <w:sz w:val="24"/>
                <w:vertAlign w:val="subscript"/>
              </w:rPr>
              <w:t>2</w:t>
            </w:r>
            <w:r>
              <w:rPr>
                <w:rFonts w:hint="default" w:ascii="Times New Roman" w:hAnsi="Times New Roman" w:cs="Times New Roman"/>
                <w:b w:val="0"/>
                <w:bCs w:val="0"/>
                <w:color w:val="auto"/>
                <w:sz w:val="24"/>
              </w:rPr>
              <w:t>CF</w:t>
            </w:r>
            <w:r>
              <w:rPr>
                <w:rFonts w:hint="default" w:ascii="Times New Roman" w:hAnsi="Times New Roman" w:cs="Times New Roman"/>
                <w:b w:val="0"/>
                <w:bCs w:val="0"/>
                <w:color w:val="auto"/>
                <w:sz w:val="24"/>
                <w:vertAlign w:val="subscript"/>
              </w:rPr>
              <w:t>3</w:t>
            </w:r>
            <w:r>
              <w:rPr>
                <w:rFonts w:hint="default" w:ascii="Times New Roman" w:hAnsi="Times New Roman" w:cs="Times New Roman"/>
                <w:b w:val="0"/>
                <w:bCs w:val="0"/>
                <w:color w:val="auto"/>
                <w:sz w:val="24"/>
              </w:rPr>
              <w:t>/CH</w:t>
            </w:r>
            <w:r>
              <w:rPr>
                <w:rFonts w:hint="default" w:ascii="Times New Roman" w:hAnsi="Times New Roman" w:cs="Times New Roman"/>
                <w:b w:val="0"/>
                <w:bCs w:val="0"/>
                <w:color w:val="auto"/>
                <w:sz w:val="24"/>
                <w:vertAlign w:val="subscript"/>
              </w:rPr>
              <w:t>3</w:t>
            </w:r>
            <w:r>
              <w:rPr>
                <w:rFonts w:hint="default" w:ascii="Times New Roman" w:hAnsi="Times New Roman" w:cs="Times New Roman"/>
                <w:b w:val="0"/>
                <w:bCs w:val="0"/>
                <w:color w:val="auto"/>
                <w:sz w:val="24"/>
              </w:rPr>
              <w:t>CF</w:t>
            </w:r>
            <w:r>
              <w:rPr>
                <w:rFonts w:hint="default" w:ascii="Times New Roman" w:hAnsi="Times New Roman" w:cs="Times New Roman"/>
                <w:b w:val="0"/>
                <w:bCs w:val="0"/>
                <w:color w:val="auto"/>
                <w:sz w:val="24"/>
                <w:vertAlign w:val="subscript"/>
              </w:rPr>
              <w:t>3</w:t>
            </w:r>
            <w:r>
              <w:rPr>
                <w:rFonts w:hint="default" w:ascii="Times New Roman" w:hAnsi="Times New Roman" w:cs="Times New Roman"/>
                <w:b w:val="0"/>
                <w:bCs w:val="0"/>
                <w:color w:val="auto"/>
                <w:sz w:val="24"/>
              </w:rPr>
              <w:t>，分子量98.86，沸点-46.7°C，相对密度为1.02。R507是R502制冷剂的长期替代品，ODP值为零，不含任何破坏臭氧层的物质。制冷剂在设备安装时一次性充入制冷系统的密闭管道中，循环使用不外排，几乎无损耗，当需补充时由厂家上门补充，厂内不另外暂存。</w:t>
            </w:r>
          </w:p>
          <w:p w14:paraId="43062E33">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rPr>
              <w:t>酒精：化学名为乙醇，是一种有机化合物，化学式为C</w:t>
            </w:r>
            <w:r>
              <w:rPr>
                <w:rFonts w:hint="default" w:ascii="Times New Roman" w:hAnsi="Times New Roman" w:cs="Times New Roman"/>
                <w:b w:val="0"/>
                <w:bCs w:val="0"/>
                <w:color w:val="auto"/>
                <w:sz w:val="24"/>
                <w:vertAlign w:val="subscript"/>
              </w:rPr>
              <w:t>2</w:t>
            </w:r>
            <w:r>
              <w:rPr>
                <w:rFonts w:hint="default" w:ascii="Times New Roman" w:hAnsi="Times New Roman" w:cs="Times New Roman"/>
                <w:b w:val="0"/>
                <w:bCs w:val="0"/>
                <w:color w:val="auto"/>
                <w:sz w:val="24"/>
              </w:rPr>
              <w:t>H</w:t>
            </w:r>
            <w:r>
              <w:rPr>
                <w:rFonts w:hint="default" w:ascii="Times New Roman" w:hAnsi="Times New Roman" w:cs="Times New Roman"/>
                <w:b w:val="0"/>
                <w:bCs w:val="0"/>
                <w:color w:val="auto"/>
                <w:sz w:val="24"/>
                <w:vertAlign w:val="subscript"/>
              </w:rPr>
              <w:t>5</w:t>
            </w:r>
            <w:r>
              <w:rPr>
                <w:rFonts w:hint="default" w:ascii="Times New Roman" w:hAnsi="Times New Roman" w:cs="Times New Roman"/>
                <w:b w:val="0"/>
                <w:bCs w:val="0"/>
                <w:color w:val="auto"/>
                <w:sz w:val="24"/>
              </w:rPr>
              <w:t>OH。它是无色、易挥发的液体，具有特殊的香味，广泛用于饮料、医药、化工等领域。外观：无色透明液体。气味：特有的香味。密度：0.789g/cm³（20°C时）。沸点：78.37°C。熔点</w:t>
            </w:r>
            <w:r>
              <w:rPr>
                <w:rFonts w:hint="eastAsia"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-114.1°C。溶解性：与水以任何比例混溶。可燃性：酒精是一种易燃液体，可以燃烧产生二氧化碳和水。氧化性：酒精可以被氧化成醛和酸。还原性：在某些化学反应中，酒精可以作为还原剂。</w:t>
            </w:r>
          </w:p>
          <w:p w14:paraId="0C6CA332">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eastAsia" w:ascii="Times New Roman" w:hAnsi="Times New Roman" w:eastAsia="宋体" w:cs="宋体"/>
                <w:b/>
                <w:bCs/>
                <w:color w:val="auto"/>
                <w:sz w:val="24"/>
                <w:szCs w:val="24"/>
                <w:lang w:val="en-US" w:eastAsia="zh-CN"/>
              </w:rPr>
            </w:pPr>
            <w:r>
              <w:rPr>
                <w:rFonts w:hint="eastAsia" w:cs="宋体"/>
                <w:b/>
                <w:bCs/>
                <w:color w:val="auto"/>
                <w:sz w:val="24"/>
                <w:szCs w:val="24"/>
                <w:lang w:val="en-US" w:eastAsia="zh-CN"/>
              </w:rPr>
              <w:t>6、</w:t>
            </w:r>
            <w:r>
              <w:rPr>
                <w:rFonts w:hint="eastAsia" w:ascii="Times New Roman" w:hAnsi="Times New Roman" w:eastAsia="宋体" w:cs="宋体"/>
                <w:b/>
                <w:bCs/>
                <w:color w:val="auto"/>
                <w:sz w:val="24"/>
                <w:szCs w:val="24"/>
                <w:lang w:val="en-US" w:eastAsia="zh-CN"/>
              </w:rPr>
              <w:t>公用工程</w:t>
            </w:r>
          </w:p>
          <w:p w14:paraId="50AEE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9"/>
              <w:rPr>
                <w:rFonts w:hint="eastAsia" w:ascii="Times New Roman" w:hAnsi="Times New Roman" w:cs="宋体"/>
                <w:b/>
                <w:bCs/>
                <w:color w:val="auto"/>
                <w:sz w:val="24"/>
                <w:szCs w:val="24"/>
              </w:rPr>
            </w:pPr>
            <w:r>
              <w:rPr>
                <w:rFonts w:hint="eastAsia" w:ascii="Times New Roman" w:hAnsi="Times New Roman" w:cs="宋体"/>
                <w:b/>
                <w:bCs/>
                <w:color w:val="auto"/>
                <w:sz w:val="24"/>
                <w:szCs w:val="24"/>
              </w:rPr>
              <w:t>6.1用水量核算</w:t>
            </w:r>
          </w:p>
          <w:p w14:paraId="2E500731">
            <w:pPr>
              <w:pStyle w:val="37"/>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auto"/>
              <w:ind w:right="0" w:firstLine="480" w:firstLineChars="200"/>
              <w:jc w:val="both"/>
              <w:textAlignment w:val="auto"/>
              <w:outlineLvl w:val="9"/>
              <w:rPr>
                <w:rFonts w:hint="eastAsia" w:cs="宋体"/>
                <w:b w:val="0"/>
                <w:bCs w:val="0"/>
                <w:color w:val="auto"/>
                <w:sz w:val="24"/>
                <w:szCs w:val="24"/>
                <w:lang w:val="en-US" w:eastAsia="zh-CN"/>
              </w:rPr>
            </w:pPr>
            <w:r>
              <w:rPr>
                <w:rFonts w:hint="eastAsia" w:cs="宋体"/>
                <w:b w:val="0"/>
                <w:bCs w:val="0"/>
                <w:color w:val="auto"/>
                <w:sz w:val="24"/>
                <w:szCs w:val="24"/>
                <w:lang w:val="en-US" w:eastAsia="zh-CN"/>
              </w:rPr>
              <w:t>本项目用水主要为员工生活用水、生产用水。</w:t>
            </w:r>
          </w:p>
          <w:p w14:paraId="6644B78D">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生活用水</w:t>
            </w:r>
          </w:p>
          <w:p w14:paraId="30B198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rPr>
            </w:pPr>
            <w:r>
              <w:rPr>
                <w:rFonts w:hint="eastAsia" w:ascii="Times New Roman" w:hAnsi="Times New Roman" w:cs="Times New Roman"/>
                <w:color w:val="auto"/>
                <w:sz w:val="24"/>
                <w:szCs w:val="24"/>
              </w:rPr>
              <w:t>本</w:t>
            </w:r>
            <w:r>
              <w:rPr>
                <w:rFonts w:hint="eastAsia" w:ascii="Times New Roman" w:hAnsi="Times New Roman" w:cs="Times New Roman"/>
                <w:color w:val="auto"/>
                <w:sz w:val="24"/>
                <w:szCs w:val="24"/>
                <w:lang w:val="en-US" w:eastAsia="zh-CN"/>
              </w:rPr>
              <w:t>次扩建</w:t>
            </w:r>
            <w:r>
              <w:rPr>
                <w:rFonts w:hint="eastAsia" w:ascii="Times New Roman" w:hAnsi="Times New Roman" w:cs="Times New Roman"/>
                <w:color w:val="auto"/>
                <w:sz w:val="24"/>
                <w:szCs w:val="24"/>
              </w:rPr>
              <w:t>项目</w:t>
            </w:r>
            <w:r>
              <w:rPr>
                <w:rFonts w:hint="eastAsia" w:ascii="Times New Roman" w:hAnsi="Times New Roman" w:cs="Times New Roman"/>
                <w:color w:val="auto"/>
                <w:sz w:val="24"/>
                <w:szCs w:val="24"/>
                <w:lang w:val="en-US" w:eastAsia="zh-CN"/>
              </w:rPr>
              <w:t>新增劳动定员25</w:t>
            </w:r>
            <w:r>
              <w:rPr>
                <w:rFonts w:hint="eastAsia" w:ascii="Times New Roman" w:hAnsi="Times New Roman" w:cs="Times New Roman"/>
                <w:color w:val="auto"/>
                <w:sz w:val="24"/>
                <w:szCs w:val="24"/>
              </w:rPr>
              <w:t>人，</w:t>
            </w:r>
            <w:r>
              <w:rPr>
                <w:rFonts w:hint="default" w:ascii="Times New Roman" w:hAnsi="Times New Roman" w:cs="Times New Roman"/>
                <w:sz w:val="24"/>
                <w:szCs w:val="24"/>
              </w:rPr>
              <w:t>不在厂区</w:t>
            </w:r>
            <w:r>
              <w:rPr>
                <w:rFonts w:hint="eastAsia" w:ascii="Times New Roman" w:hAnsi="Times New Roman" w:cs="Times New Roman"/>
                <w:sz w:val="24"/>
                <w:szCs w:val="24"/>
              </w:rPr>
              <w:t>食宿</w:t>
            </w:r>
            <w:r>
              <w:rPr>
                <w:rFonts w:hint="default" w:ascii="Times New Roman" w:hAnsi="Times New Roman" w:cs="Times New Roman"/>
                <w:sz w:val="24"/>
                <w:szCs w:val="24"/>
              </w:rPr>
              <w:t>，</w:t>
            </w:r>
            <w:r>
              <w:rPr>
                <w:rFonts w:hint="eastAsia" w:ascii="Times New Roman" w:hAnsi="Times New Roman" w:cs="Times New Roman"/>
                <w:sz w:val="24"/>
                <w:szCs w:val="24"/>
                <w:lang w:eastAsia="zh-CN"/>
              </w:rPr>
              <w:t>年工作</w:t>
            </w:r>
            <w:r>
              <w:rPr>
                <w:rFonts w:hint="eastAsia" w:ascii="Times New Roman" w:hAnsi="Times New Roman" w:cs="Times New Roman"/>
                <w:sz w:val="24"/>
                <w:szCs w:val="24"/>
                <w:lang w:val="en-US" w:eastAsia="zh-CN"/>
              </w:rPr>
              <w:t>250天。</w:t>
            </w:r>
            <w:r>
              <w:rPr>
                <w:rFonts w:hint="default" w:ascii="Times New Roman" w:hAnsi="Times New Roman" w:cs="Times New Roman"/>
                <w:bCs/>
                <w:color w:val="auto"/>
                <w:sz w:val="24"/>
                <w:szCs w:val="24"/>
              </w:rPr>
              <w:t>根据</w:t>
            </w:r>
            <w:r>
              <w:rPr>
                <w:rFonts w:hint="default" w:ascii="Times New Roman" w:hAnsi="Times New Roman" w:cs="Times New Roman"/>
                <w:color w:val="auto"/>
                <w:sz w:val="24"/>
                <w:szCs w:val="24"/>
              </w:rPr>
              <w:t>《安徽省行业用水定额》（DB34/T 679-</w:t>
            </w:r>
            <w:r>
              <w:rPr>
                <w:rFonts w:hint="eastAsia" w:ascii="Times New Roman" w:hAnsi="Times New Roman" w:cs="Times New Roman"/>
                <w:color w:val="auto"/>
                <w:sz w:val="24"/>
                <w:szCs w:val="24"/>
              </w:rPr>
              <w:t>2019</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rPr>
              <w:t>中的相关规定</w:t>
            </w:r>
            <w:r>
              <w:rPr>
                <w:rFonts w:hint="default" w:ascii="Times New Roman" w:hAnsi="Times New Roman" w:cs="Times New Roman"/>
                <w:color w:val="auto"/>
                <w:sz w:val="24"/>
                <w:szCs w:val="24"/>
              </w:rPr>
              <w:t>，工作人员生活用水定额</w:t>
            </w:r>
            <w:r>
              <w:rPr>
                <w:rFonts w:hint="eastAsia" w:ascii="Times New Roman" w:hAnsi="Times New Roman" w:cs="Times New Roman"/>
                <w:color w:val="auto"/>
                <w:sz w:val="24"/>
                <w:szCs w:val="24"/>
              </w:rPr>
              <w:t>6</w:t>
            </w:r>
            <w:r>
              <w:rPr>
                <w:rFonts w:hint="default" w:ascii="Times New Roman" w:hAnsi="Times New Roman" w:cs="Times New Roman"/>
                <w:color w:val="auto"/>
                <w:sz w:val="24"/>
                <w:szCs w:val="24"/>
              </w:rPr>
              <w:t>0L/人，则生活用水量</w:t>
            </w:r>
            <w:r>
              <w:rPr>
                <w:rFonts w:hint="eastAsia" w:ascii="Times New Roman" w:hAnsi="Times New Roman" w:cs="Times New Roman"/>
                <w:color w:val="auto"/>
                <w:sz w:val="24"/>
                <w:szCs w:val="24"/>
                <w:lang w:val="en-US" w:eastAsia="zh-CN"/>
              </w:rPr>
              <w:t>1.5</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375</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3</w:t>
            </w:r>
            <w:r>
              <w:rPr>
                <w:rFonts w:hint="default" w:ascii="Times New Roman" w:hAnsi="Times New Roman" w:cs="Times New Roman"/>
                <w:color w:val="auto"/>
                <w:sz w:val="24"/>
                <w:szCs w:val="24"/>
              </w:rPr>
              <w:t>/a。生活污水产生系数按</w:t>
            </w:r>
            <w:r>
              <w:rPr>
                <w:rFonts w:hint="eastAsia" w:ascii="Times New Roman" w:hAnsi="Times New Roman" w:cs="Times New Roman"/>
                <w:color w:val="auto"/>
                <w:sz w:val="24"/>
                <w:szCs w:val="24"/>
              </w:rPr>
              <w:t>80%</w:t>
            </w:r>
            <w:r>
              <w:rPr>
                <w:rFonts w:hint="default" w:ascii="Times New Roman" w:hAnsi="Times New Roman" w:cs="Times New Roman"/>
                <w:color w:val="auto"/>
                <w:sz w:val="24"/>
                <w:szCs w:val="24"/>
              </w:rPr>
              <w:t>计，即</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p>
          <w:p w14:paraId="5405C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lang w:val="en-US" w:eastAsia="zh-CN"/>
              </w:rPr>
            </w:pP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生产用水</w:t>
            </w:r>
          </w:p>
          <w:p w14:paraId="4EF178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color w:val="auto"/>
                <w:sz w:val="24"/>
                <w:szCs w:val="24"/>
                <w:lang w:val="en-US" w:eastAsia="zh-CN"/>
              </w:rPr>
            </w:pPr>
            <w:bookmarkStart w:id="11" w:name="_Toc27059"/>
            <w:bookmarkStart w:id="12" w:name="_Toc28289"/>
            <w:bookmarkStart w:id="13" w:name="_Toc31899"/>
            <w:r>
              <w:rPr>
                <w:rFonts w:hint="eastAsia" w:ascii="Times New Roman" w:hAnsi="Times New Roman" w:eastAsia="宋体" w:cs="Times New Roman"/>
                <w:color w:val="auto"/>
                <w:sz w:val="24"/>
                <w:szCs w:val="24"/>
                <w:lang w:val="en-US" w:eastAsia="zh-CN"/>
              </w:rPr>
              <w:t>本项目生产用水主要为食品添加用水、</w:t>
            </w:r>
            <w:r>
              <w:rPr>
                <w:rFonts w:hint="eastAsia" w:cs="Times New Roman"/>
                <w:color w:val="auto"/>
                <w:sz w:val="24"/>
                <w:szCs w:val="24"/>
                <w:lang w:val="en-US" w:eastAsia="zh-CN"/>
              </w:rPr>
              <w:t>原料清洗用水、</w:t>
            </w:r>
            <w:r>
              <w:rPr>
                <w:rFonts w:hint="eastAsia" w:ascii="Times New Roman" w:hAnsi="Times New Roman" w:eastAsia="宋体" w:cs="Times New Roman"/>
                <w:color w:val="auto"/>
                <w:sz w:val="24"/>
                <w:szCs w:val="24"/>
                <w:lang w:val="en-US" w:eastAsia="zh-CN"/>
              </w:rPr>
              <w:t>生产设备清洗用水</w:t>
            </w:r>
            <w:r>
              <w:rPr>
                <w:rFonts w:hint="eastAsia" w:cs="Times New Roman"/>
                <w:color w:val="auto"/>
                <w:sz w:val="24"/>
                <w:szCs w:val="24"/>
                <w:lang w:val="en-US" w:eastAsia="zh-CN"/>
              </w:rPr>
              <w:t>、地面清洗用水</w:t>
            </w:r>
            <w:r>
              <w:rPr>
                <w:rFonts w:hint="eastAsia" w:ascii="Times New Roman" w:hAnsi="Times New Roman" w:eastAsia="宋体" w:cs="Times New Roman"/>
                <w:color w:val="auto"/>
                <w:sz w:val="24"/>
                <w:szCs w:val="24"/>
                <w:lang w:val="en-US" w:eastAsia="zh-CN"/>
              </w:rPr>
              <w:t>。</w:t>
            </w:r>
          </w:p>
          <w:p w14:paraId="23D13E7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①食品添加用水</w:t>
            </w:r>
          </w:p>
          <w:p w14:paraId="4CC775F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根据企业提供资料，膨化生产线和</w:t>
            </w:r>
            <w:r>
              <w:rPr>
                <w:rFonts w:hint="eastAsia" w:cs="Times New Roman"/>
                <w:color w:val="auto"/>
                <w:sz w:val="24"/>
                <w:szCs w:val="24"/>
                <w:lang w:val="en-US" w:eastAsia="zh-CN"/>
              </w:rPr>
              <w:t>烘烤</w:t>
            </w:r>
            <w:r>
              <w:rPr>
                <w:rFonts w:hint="eastAsia" w:ascii="Times New Roman" w:hAnsi="Times New Roman" w:eastAsia="宋体" w:cs="Times New Roman"/>
                <w:color w:val="auto"/>
                <w:sz w:val="24"/>
                <w:szCs w:val="24"/>
                <w:lang w:val="en-US" w:eastAsia="zh-CN"/>
              </w:rPr>
              <w:t>生产线需要添加一定量的自来水，再与原料等混合搅拌、打浆，用水量为0.05m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/t成品，本项目成品年生产量为4050t/a，则用水量为0.81m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b w:val="0"/>
                <w:bCs w:val="0"/>
                <w:color w:val="auto"/>
                <w:kern w:val="2"/>
                <w:sz w:val="24"/>
                <w:szCs w:val="24"/>
                <w:lang w:val="en-US" w:eastAsia="zh-CN" w:bidi="ar-SA"/>
              </w:rPr>
              <w:t>/d</w:t>
            </w:r>
            <w:r>
              <w:rPr>
                <w:rFonts w:hint="eastAsia" w:ascii="Times New Roman" w:hAnsi="Times New Roman" w:eastAsia="宋体" w:cs="Times New Roman"/>
                <w:color w:val="auto"/>
                <w:sz w:val="24"/>
                <w:szCs w:val="24"/>
                <w:lang w:val="en-US" w:eastAsia="zh-CN"/>
              </w:rPr>
              <w:t>，202.5m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b w:val="0"/>
                <w:bCs w:val="0"/>
                <w:color w:val="auto"/>
                <w:kern w:val="2"/>
                <w:sz w:val="24"/>
                <w:szCs w:val="24"/>
                <w:lang w:val="en-US" w:eastAsia="zh-CN" w:bidi="ar-SA"/>
              </w:rPr>
              <w:t>全部于烘烤工序蒸发损耗。</w:t>
            </w:r>
          </w:p>
          <w:p w14:paraId="252A36F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②原料清洗用水</w:t>
            </w:r>
          </w:p>
          <w:p w14:paraId="28C9591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根据企业提供资料，鱼、虾需要进行清洗，用水量约为0.35m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/t原料，本项目鱼、虾共计</w:t>
            </w:r>
            <w:r>
              <w:rPr>
                <w:rFonts w:hint="eastAsia" w:cs="Times New Roman"/>
                <w:b w:val="0"/>
                <w:bCs w:val="0"/>
                <w:color w:val="auto"/>
                <w:kern w:val="2"/>
                <w:sz w:val="24"/>
                <w:szCs w:val="24"/>
                <w:lang w:val="en-US" w:eastAsia="zh-CN" w:bidi="ar-SA"/>
              </w:rPr>
              <w:t>470</w:t>
            </w:r>
            <w:r>
              <w:rPr>
                <w:rFonts w:hint="eastAsia" w:ascii="Times New Roman" w:hAnsi="Times New Roman" w:eastAsia="宋体" w:cs="Times New Roman"/>
                <w:b w:val="0"/>
                <w:bCs w:val="0"/>
                <w:color w:val="auto"/>
                <w:kern w:val="2"/>
                <w:sz w:val="24"/>
                <w:szCs w:val="24"/>
                <w:lang w:val="en-US" w:eastAsia="zh-CN" w:bidi="ar-SA"/>
              </w:rPr>
              <w:t>t/a，则原料清洗用水量约</w:t>
            </w:r>
            <w:r>
              <w:rPr>
                <w:rFonts w:hint="eastAsia" w:cs="Times New Roman"/>
                <w:b w:val="0"/>
                <w:bCs w:val="0"/>
                <w:color w:val="auto"/>
                <w:kern w:val="2"/>
                <w:sz w:val="24"/>
                <w:szCs w:val="24"/>
                <w:lang w:val="en-US" w:eastAsia="zh-CN" w:bidi="ar-SA"/>
              </w:rPr>
              <w:t>0.658</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r>
              <w:rPr>
                <w:rFonts w:hint="eastAsia" w:cs="Times New Roman"/>
                <w:b w:val="0"/>
                <w:bCs w:val="0"/>
                <w:color w:val="auto"/>
                <w:kern w:val="2"/>
                <w:sz w:val="24"/>
                <w:szCs w:val="24"/>
                <w:lang w:val="en-US" w:eastAsia="zh-CN" w:bidi="ar-SA"/>
              </w:rPr>
              <w:t>164.5</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w:t>
            </w:r>
            <w:r>
              <w:rPr>
                <w:rFonts w:hint="eastAsia" w:ascii="Times New Roman" w:hAnsi="Times New Roman" w:eastAsia="宋体" w:cs="Times New Roman"/>
                <w:b w:val="0"/>
                <w:bCs w:val="0"/>
                <w:color w:val="auto"/>
                <w:kern w:val="2"/>
                <w:sz w:val="24"/>
                <w:szCs w:val="24"/>
                <w:lang w:val="en-US" w:eastAsia="zh-CN" w:bidi="ar-SA"/>
              </w:rPr>
              <w:t>耗水量按20%计，则损耗水量为0.</w:t>
            </w:r>
            <w:r>
              <w:rPr>
                <w:rFonts w:hint="eastAsia" w:cs="Times New Roman"/>
                <w:b w:val="0"/>
                <w:bCs w:val="0"/>
                <w:color w:val="auto"/>
                <w:kern w:val="2"/>
                <w:sz w:val="24"/>
                <w:szCs w:val="24"/>
                <w:lang w:val="en-US" w:eastAsia="zh-CN" w:bidi="ar-SA"/>
              </w:rPr>
              <w:t>1316</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w:t>
            </w:r>
            <w:r>
              <w:rPr>
                <w:rFonts w:hint="eastAsia" w:cs="Times New Roman"/>
                <w:b w:val="0"/>
                <w:bCs w:val="0"/>
                <w:color w:val="auto"/>
                <w:kern w:val="2"/>
                <w:sz w:val="24"/>
                <w:szCs w:val="24"/>
                <w:lang w:val="en-US" w:eastAsia="zh-CN" w:bidi="ar-SA"/>
              </w:rPr>
              <w:t>32.9</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/a，污水产生量按用水量的0.8计，污水产生量为</w:t>
            </w:r>
            <w:r>
              <w:rPr>
                <w:rFonts w:hint="eastAsia" w:cs="Times New Roman"/>
                <w:b w:val="0"/>
                <w:bCs w:val="0"/>
                <w:color w:val="auto"/>
                <w:kern w:val="2"/>
                <w:sz w:val="24"/>
                <w:szCs w:val="24"/>
                <w:lang w:val="en-US" w:eastAsia="zh-CN" w:bidi="ar-SA"/>
              </w:rPr>
              <w:t>0.5264</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w:t>
            </w:r>
            <w:r>
              <w:rPr>
                <w:rFonts w:hint="eastAsia" w:cs="Times New Roman"/>
                <w:b w:val="0"/>
                <w:bCs w:val="0"/>
                <w:color w:val="auto"/>
                <w:kern w:val="2"/>
                <w:sz w:val="24"/>
                <w:szCs w:val="24"/>
                <w:lang w:val="en-US" w:eastAsia="zh-CN" w:bidi="ar-SA"/>
              </w:rPr>
              <w:t>131.6</w:t>
            </w:r>
            <w:r>
              <w:rPr>
                <w:rFonts w:hint="eastAsia" w:ascii="Times New Roman" w:hAnsi="Times New Roman" w:eastAsia="宋体" w:cs="Times New Roman"/>
                <w:b w:val="0"/>
                <w:bCs w:val="0"/>
                <w:color w:val="auto"/>
                <w:kern w:val="2"/>
                <w:sz w:val="24"/>
                <w:szCs w:val="24"/>
                <w:lang w:val="en-US" w:eastAsia="zh-CN" w:bidi="ar-SA"/>
              </w:rPr>
              <w:t>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/a，项目原料清洗废水经沉淀池处理后，通过</w:t>
            </w:r>
            <w:r>
              <w:rPr>
                <w:rFonts w:hint="eastAsia" w:cs="Times New Roman"/>
                <w:b w:val="0"/>
                <w:bCs w:val="0"/>
                <w:color w:val="auto"/>
                <w:kern w:val="2"/>
                <w:sz w:val="24"/>
                <w:szCs w:val="24"/>
                <w:lang w:val="en-US" w:eastAsia="zh-CN" w:bidi="ar-SA"/>
              </w:rPr>
              <w:t>园区污水</w:t>
            </w:r>
            <w:r>
              <w:rPr>
                <w:rFonts w:hint="eastAsia" w:ascii="Times New Roman" w:hAnsi="Times New Roman" w:eastAsia="宋体" w:cs="Times New Roman"/>
                <w:b w:val="0"/>
                <w:bCs w:val="0"/>
                <w:color w:val="auto"/>
                <w:kern w:val="2"/>
                <w:sz w:val="24"/>
                <w:szCs w:val="24"/>
                <w:lang w:val="en-US" w:eastAsia="zh-CN" w:bidi="ar-SA"/>
              </w:rPr>
              <w:t>管网进入</w:t>
            </w:r>
            <w:r>
              <w:rPr>
                <w:rFonts w:hint="eastAsia"/>
                <w:color w:val="auto"/>
                <w:sz w:val="24"/>
              </w:rPr>
              <w:t>安徽淮相科技发展有限公司第二污水处理厂</w:t>
            </w:r>
            <w:r>
              <w:rPr>
                <w:rFonts w:hint="eastAsia" w:ascii="Times New Roman" w:hAnsi="Times New Roman" w:eastAsia="宋体" w:cs="Times New Roman"/>
                <w:b w:val="0"/>
                <w:bCs w:val="0"/>
                <w:color w:val="auto"/>
                <w:kern w:val="2"/>
                <w:sz w:val="24"/>
                <w:szCs w:val="24"/>
                <w:lang w:val="en-US" w:eastAsia="zh-CN" w:bidi="ar-SA"/>
              </w:rPr>
              <w:t>，处理达标后进入老濉河。</w:t>
            </w:r>
          </w:p>
          <w:p w14:paraId="5521DA4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③</w:t>
            </w:r>
            <w:r>
              <w:rPr>
                <w:rFonts w:hint="eastAsia" w:ascii="Times New Roman" w:hAnsi="Times New Roman" w:eastAsia="宋体" w:cs="Times New Roman"/>
                <w:b w:val="0"/>
                <w:bCs w:val="0"/>
                <w:color w:val="auto"/>
                <w:kern w:val="2"/>
                <w:sz w:val="24"/>
                <w:szCs w:val="24"/>
                <w:lang w:val="en-US" w:eastAsia="zh-CN" w:bidi="ar-SA"/>
              </w:rPr>
              <w:t>设备清洗用水</w:t>
            </w:r>
          </w:p>
          <w:p w14:paraId="540A0AE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根据企业提供资料，本项目虾片机、蛋卷机等设备每天生产结束时需要清洗一次，采用食品级毛巾擦拭，每天约消耗0.35</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b w:val="0"/>
                <w:bCs w:val="0"/>
                <w:color w:val="auto"/>
                <w:kern w:val="2"/>
                <w:sz w:val="24"/>
                <w:szCs w:val="24"/>
                <w:lang w:val="en-US" w:eastAsia="zh-CN" w:bidi="ar-SA"/>
              </w:rPr>
              <w:t>/d自来水，则年用水量约为87.5</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b w:val="0"/>
                <w:bCs w:val="0"/>
                <w:color w:val="auto"/>
                <w:kern w:val="2"/>
                <w:sz w:val="24"/>
                <w:szCs w:val="24"/>
                <w:lang w:val="en-US" w:eastAsia="zh-CN" w:bidi="ar-SA"/>
              </w:rPr>
              <w:t>/a，损耗水量按20%计，则损耗水量为0.07m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/d、17.5m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/a，污水产生量按用水量的0.8计，污水产生量为0.28m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/d、70m</w:t>
            </w:r>
            <w:r>
              <w:rPr>
                <w:rFonts w:hint="eastAsia" w:ascii="Times New Roman" w:hAnsi="Times New Roman" w:eastAsia="宋体" w:cs="Times New Roman"/>
                <w:b w:val="0"/>
                <w:bCs w:val="0"/>
                <w:color w:val="auto"/>
                <w:kern w:val="2"/>
                <w:sz w:val="24"/>
                <w:szCs w:val="24"/>
                <w:vertAlign w:val="superscript"/>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/a，项目设备清洗废水经沉淀池处理后，通过</w:t>
            </w:r>
            <w:r>
              <w:rPr>
                <w:rFonts w:hint="eastAsia" w:cs="Times New Roman"/>
                <w:b w:val="0"/>
                <w:bCs w:val="0"/>
                <w:color w:val="auto"/>
                <w:kern w:val="2"/>
                <w:sz w:val="24"/>
                <w:szCs w:val="24"/>
                <w:lang w:val="en-US" w:eastAsia="zh-CN" w:bidi="ar-SA"/>
              </w:rPr>
              <w:t>园区污水</w:t>
            </w:r>
            <w:r>
              <w:rPr>
                <w:rFonts w:hint="eastAsia" w:ascii="Times New Roman" w:hAnsi="Times New Roman" w:eastAsia="宋体" w:cs="Times New Roman"/>
                <w:b w:val="0"/>
                <w:bCs w:val="0"/>
                <w:color w:val="auto"/>
                <w:kern w:val="2"/>
                <w:sz w:val="24"/>
                <w:szCs w:val="24"/>
                <w:lang w:val="en-US" w:eastAsia="zh-CN" w:bidi="ar-SA"/>
              </w:rPr>
              <w:t>管网进入</w:t>
            </w:r>
            <w:r>
              <w:rPr>
                <w:rFonts w:hint="eastAsia"/>
                <w:color w:val="auto"/>
                <w:sz w:val="24"/>
              </w:rPr>
              <w:t>安徽淮相科技发展有限公司第二污水处理厂</w:t>
            </w:r>
            <w:r>
              <w:rPr>
                <w:rFonts w:hint="eastAsia" w:ascii="Times New Roman" w:hAnsi="Times New Roman" w:eastAsia="宋体" w:cs="Times New Roman"/>
                <w:b w:val="0"/>
                <w:bCs w:val="0"/>
                <w:color w:val="auto"/>
                <w:kern w:val="2"/>
                <w:sz w:val="24"/>
                <w:szCs w:val="24"/>
                <w:lang w:val="en-US" w:eastAsia="zh-CN" w:bidi="ar-SA"/>
              </w:rPr>
              <w:t>，处理达标后进入老濉河。</w:t>
            </w:r>
          </w:p>
          <w:p w14:paraId="4F8F1B4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④地面清洗用水</w:t>
            </w:r>
          </w:p>
          <w:p w14:paraId="489D131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eastAsia="宋体" w:cs="Times New Roman"/>
                <w:b w:val="0"/>
                <w:bCs w:val="0"/>
                <w:color w:val="auto"/>
                <w:kern w:val="2"/>
                <w:sz w:val="24"/>
                <w:szCs w:val="24"/>
                <w:lang w:val="en-US" w:eastAsia="zh-CN" w:bidi="ar-SA"/>
              </w:rPr>
            </w:pPr>
            <w:r>
              <w:rPr>
                <w:rFonts w:hint="eastAsia"/>
                <w:color w:val="auto"/>
                <w:sz w:val="24"/>
              </w:rPr>
              <w:t>根据《建筑给水排水设计标准》（GB50015-2019），地面清洁用水按2.0L/m</w:t>
            </w:r>
            <w:r>
              <w:rPr>
                <w:rFonts w:hint="eastAsia"/>
                <w:color w:val="auto"/>
                <w:sz w:val="24"/>
                <w:vertAlign w:val="superscript"/>
              </w:rPr>
              <w:t>2</w:t>
            </w:r>
            <w:r>
              <w:rPr>
                <w:rFonts w:hint="eastAsia"/>
                <w:color w:val="auto"/>
                <w:sz w:val="24"/>
              </w:rPr>
              <w:t>计算，</w:t>
            </w:r>
            <w:r>
              <w:rPr>
                <w:rFonts w:hint="eastAsia"/>
                <w:color w:val="auto"/>
                <w:sz w:val="24"/>
                <w:lang w:val="en-US" w:eastAsia="zh-CN"/>
              </w:rPr>
              <w:t>根据企业提供的资料，</w:t>
            </w:r>
            <w:r>
              <w:rPr>
                <w:rFonts w:hint="eastAsia" w:cs="Times New Roman"/>
                <w:b w:val="0"/>
                <w:bCs w:val="0"/>
                <w:color w:val="auto"/>
                <w:kern w:val="2"/>
                <w:sz w:val="24"/>
                <w:szCs w:val="24"/>
                <w:lang w:val="en-US" w:eastAsia="zh-CN" w:bidi="ar-SA"/>
              </w:rPr>
              <w:t>本项目厂房地面采取拖洗的方式进行清洁，主要清洗生产车间人员走动的区域，需要清洁的面积约500m</w:t>
            </w:r>
            <w:r>
              <w:rPr>
                <w:rFonts w:hint="eastAsia" w:cs="Times New Roman"/>
                <w:b w:val="0"/>
                <w:bCs w:val="0"/>
                <w:color w:val="auto"/>
                <w:kern w:val="2"/>
                <w:sz w:val="24"/>
                <w:szCs w:val="24"/>
                <w:vertAlign w:val="superscript"/>
                <w:lang w:val="en-US" w:eastAsia="zh-CN" w:bidi="ar-SA"/>
              </w:rPr>
              <w:t>2</w:t>
            </w:r>
            <w:r>
              <w:rPr>
                <w:rFonts w:hint="eastAsia" w:cs="Times New Roman"/>
                <w:b w:val="0"/>
                <w:bCs w:val="0"/>
                <w:color w:val="auto"/>
                <w:kern w:val="2"/>
                <w:sz w:val="24"/>
                <w:szCs w:val="24"/>
                <w:lang w:val="en-US" w:eastAsia="zh-CN" w:bidi="ar-SA"/>
              </w:rPr>
              <w:t>，地面每天清洗1次，则地面清洗用水为1m</w:t>
            </w:r>
            <w:r>
              <w:rPr>
                <w:rFonts w:hint="eastAsia" w:cs="Times New Roman"/>
                <w:b w:val="0"/>
                <w:bCs w:val="0"/>
                <w:color w:val="auto"/>
                <w:kern w:val="2"/>
                <w:sz w:val="24"/>
                <w:szCs w:val="24"/>
                <w:vertAlign w:val="superscript"/>
                <w:lang w:val="en-US" w:eastAsia="zh-CN" w:bidi="ar-SA"/>
              </w:rPr>
              <w:t>3</w:t>
            </w:r>
            <w:r>
              <w:rPr>
                <w:rFonts w:hint="eastAsia" w:cs="Times New Roman"/>
                <w:b w:val="0"/>
                <w:bCs w:val="0"/>
                <w:color w:val="auto"/>
                <w:kern w:val="2"/>
                <w:sz w:val="24"/>
                <w:szCs w:val="24"/>
                <w:lang w:val="en-US" w:eastAsia="zh-CN" w:bidi="ar-SA"/>
              </w:rPr>
              <w:t>/d、250m</w:t>
            </w:r>
            <w:r>
              <w:rPr>
                <w:rFonts w:hint="eastAsia" w:cs="Times New Roman"/>
                <w:b w:val="0"/>
                <w:bCs w:val="0"/>
                <w:color w:val="auto"/>
                <w:kern w:val="2"/>
                <w:sz w:val="24"/>
                <w:szCs w:val="24"/>
                <w:vertAlign w:val="superscript"/>
                <w:lang w:val="en-US" w:eastAsia="zh-CN" w:bidi="ar-SA"/>
              </w:rPr>
              <w:t>3</w:t>
            </w:r>
            <w:r>
              <w:rPr>
                <w:rFonts w:hint="eastAsia" w:cs="Times New Roman"/>
                <w:b w:val="0"/>
                <w:bCs w:val="0"/>
                <w:color w:val="auto"/>
                <w:kern w:val="2"/>
                <w:sz w:val="24"/>
                <w:szCs w:val="24"/>
                <w:lang w:val="en-US" w:eastAsia="zh-CN" w:bidi="ar-SA"/>
              </w:rPr>
              <w:t>/a。</w:t>
            </w:r>
            <w:r>
              <w:rPr>
                <w:rFonts w:hint="eastAsia"/>
                <w:color w:val="auto"/>
                <w:sz w:val="24"/>
              </w:rPr>
              <w:t>废水产生量按80%计算，地面清</w:t>
            </w:r>
            <w:r>
              <w:rPr>
                <w:rFonts w:hint="eastAsia"/>
                <w:color w:val="auto"/>
                <w:sz w:val="24"/>
                <w:lang w:eastAsia="zh-CN"/>
              </w:rPr>
              <w:t>洗</w:t>
            </w:r>
            <w:r>
              <w:rPr>
                <w:rFonts w:hint="eastAsia"/>
                <w:color w:val="auto"/>
                <w:sz w:val="24"/>
              </w:rPr>
              <w:t>废水产生量为：</w:t>
            </w:r>
            <w:r>
              <w:rPr>
                <w:rFonts w:hint="eastAsia"/>
                <w:color w:val="auto"/>
                <w:sz w:val="24"/>
                <w:lang w:val="en-US" w:eastAsia="zh-CN"/>
              </w:rPr>
              <w:t>0.8m</w:t>
            </w:r>
            <w:r>
              <w:rPr>
                <w:rFonts w:hint="eastAsia"/>
                <w:color w:val="auto"/>
                <w:sz w:val="24"/>
                <w:vertAlign w:val="superscript"/>
                <w:lang w:val="en-US" w:eastAsia="zh-CN"/>
              </w:rPr>
              <w:t>3</w:t>
            </w:r>
            <w:r>
              <w:rPr>
                <w:rFonts w:hint="eastAsia"/>
                <w:color w:val="auto"/>
                <w:sz w:val="24"/>
                <w:lang w:val="en-US" w:eastAsia="zh-CN"/>
              </w:rPr>
              <w:t>/d，</w:t>
            </w:r>
            <w:r>
              <w:rPr>
                <w:rFonts w:hint="eastAsia"/>
                <w:color w:val="auto"/>
                <w:sz w:val="24"/>
                <w:lang w:eastAsia="zh-CN"/>
              </w:rPr>
              <w:t>2</w:t>
            </w:r>
            <w:r>
              <w:rPr>
                <w:rFonts w:hint="eastAsia"/>
                <w:color w:val="auto"/>
                <w:sz w:val="24"/>
                <w:lang w:val="en-US" w:eastAsia="zh-CN"/>
              </w:rPr>
              <w:t>00m</w:t>
            </w:r>
            <w:r>
              <w:rPr>
                <w:rFonts w:hint="eastAsia"/>
                <w:color w:val="auto"/>
                <w:sz w:val="24"/>
                <w:vertAlign w:val="superscript"/>
                <w:lang w:val="en-US" w:eastAsia="zh-CN"/>
              </w:rPr>
              <w:t>3</w:t>
            </w:r>
            <w:r>
              <w:rPr>
                <w:rFonts w:hint="eastAsia"/>
                <w:color w:val="auto"/>
                <w:sz w:val="24"/>
              </w:rPr>
              <w:t>/a。项目</w:t>
            </w:r>
            <w:r>
              <w:rPr>
                <w:rFonts w:hint="eastAsia"/>
                <w:color w:val="auto"/>
                <w:sz w:val="24"/>
                <w:lang w:val="en-US" w:eastAsia="zh-CN"/>
              </w:rPr>
              <w:t>地面</w:t>
            </w:r>
            <w:r>
              <w:rPr>
                <w:rFonts w:hint="eastAsia"/>
                <w:color w:val="auto"/>
                <w:sz w:val="24"/>
              </w:rPr>
              <w:t>清洗废水经沉淀池处理后，通过园区污水管网进入安徽淮相科技发展有限公司第二污水处理厂，处理达标后进入老濉河</w:t>
            </w:r>
            <w:r>
              <w:rPr>
                <w:rFonts w:hint="eastAsia"/>
                <w:color w:val="auto"/>
                <w:sz w:val="24"/>
                <w:lang w:eastAsia="zh-CN"/>
              </w:rPr>
              <w:t>。</w:t>
            </w:r>
          </w:p>
          <w:p w14:paraId="36657356">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 w:val="0"/>
                <w:bCs w:val="0"/>
                <w:color w:val="auto"/>
                <w:kern w:val="2"/>
                <w:sz w:val="24"/>
                <w:szCs w:val="24"/>
                <w:lang w:val="en-US" w:eastAsia="zh-CN" w:bidi="ar-SA"/>
              </w:rPr>
            </w:pPr>
            <w:r>
              <w:rPr>
                <w:rFonts w:hint="default"/>
              </w:rPr>
              <w:drawing>
                <wp:inline distT="0" distB="0" distL="114300" distR="114300">
                  <wp:extent cx="5161280" cy="3550920"/>
                  <wp:effectExtent l="0" t="0" r="1270" b="1143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1"/>
                          <a:stretch>
                            <a:fillRect/>
                          </a:stretch>
                        </pic:blipFill>
                        <pic:spPr>
                          <a:xfrm>
                            <a:off x="0" y="0"/>
                            <a:ext cx="5161280" cy="3550920"/>
                          </a:xfrm>
                          <a:prstGeom prst="rect">
                            <a:avLst/>
                          </a:prstGeom>
                          <a:noFill/>
                          <a:ln>
                            <a:noFill/>
                          </a:ln>
                        </pic:spPr>
                      </pic:pic>
                    </a:graphicData>
                  </a:graphic>
                </wp:inline>
              </w:drawing>
            </w:r>
          </w:p>
          <w:p w14:paraId="33EC23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57" w:afterLines="50" w:afterAutospacing="0" w:line="240" w:lineRule="auto"/>
              <w:ind w:left="0" w:leftChars="0" w:right="0"/>
              <w:jc w:val="center"/>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eastAsia="zh-CN"/>
              </w:rPr>
              <w:t>图</w:t>
            </w:r>
            <w:r>
              <w:rPr>
                <w:rFonts w:hint="eastAsia" w:ascii="Times New Roman" w:hAnsi="Times New Roman" w:cs="Times New Roman"/>
                <w:b/>
                <w:bCs/>
                <w:color w:val="auto"/>
                <w:sz w:val="24"/>
                <w:szCs w:val="24"/>
                <w:lang w:val="en-US" w:eastAsia="zh-CN"/>
              </w:rPr>
              <w:t>2-1  扩建项目水平衡图  单位：m</w:t>
            </w:r>
            <w:r>
              <w:rPr>
                <w:rFonts w:hint="eastAsia" w:ascii="Times New Roman" w:hAnsi="Times New Roman" w:cs="Times New Roman"/>
                <w:b/>
                <w:bCs/>
                <w:color w:val="auto"/>
                <w:sz w:val="24"/>
                <w:szCs w:val="24"/>
                <w:vertAlign w:val="superscript"/>
                <w:lang w:val="en-US" w:eastAsia="zh-CN"/>
              </w:rPr>
              <w:t>3</w:t>
            </w:r>
            <w:r>
              <w:rPr>
                <w:rFonts w:hint="eastAsia" w:ascii="Times New Roman" w:hAnsi="Times New Roman" w:cs="Times New Roman"/>
                <w:b/>
                <w:bCs/>
                <w:color w:val="auto"/>
                <w:sz w:val="24"/>
                <w:szCs w:val="24"/>
                <w:lang w:val="en-US" w:eastAsia="zh-CN"/>
              </w:rPr>
              <w:t>/d（250d）</w:t>
            </w:r>
          </w:p>
          <w:p w14:paraId="1F98595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lang w:val="en-US" w:eastAsia="zh-CN"/>
              </w:rPr>
            </w:pPr>
            <w:r>
              <w:rPr>
                <w:rFonts w:hint="default"/>
              </w:rPr>
              <w:drawing>
                <wp:inline distT="0" distB="0" distL="114300" distR="114300">
                  <wp:extent cx="5158740" cy="3632200"/>
                  <wp:effectExtent l="0" t="0" r="3810" b="635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2"/>
                          <a:stretch>
                            <a:fillRect/>
                          </a:stretch>
                        </pic:blipFill>
                        <pic:spPr>
                          <a:xfrm>
                            <a:off x="0" y="0"/>
                            <a:ext cx="5158740" cy="3632200"/>
                          </a:xfrm>
                          <a:prstGeom prst="rect">
                            <a:avLst/>
                          </a:prstGeom>
                          <a:noFill/>
                          <a:ln>
                            <a:noFill/>
                          </a:ln>
                        </pic:spPr>
                      </pic:pic>
                    </a:graphicData>
                  </a:graphic>
                </wp:inline>
              </w:drawing>
            </w:r>
            <w:r>
              <w:rPr>
                <w:rFonts w:hint="default" w:ascii="Times New Roman" w:hAnsi="Times New Roman" w:eastAsia="宋体" w:cs="Times New Roman"/>
                <w:b/>
                <w:bCs/>
                <w:color w:val="auto"/>
                <w:sz w:val="24"/>
                <w:szCs w:val="24"/>
                <w:lang w:val="en-US" w:eastAsia="zh-CN"/>
              </w:rPr>
              <w:t>图2-</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扩建项目完成后</w:t>
            </w:r>
            <w:r>
              <w:rPr>
                <w:rFonts w:hint="default" w:ascii="Times New Roman" w:hAnsi="Times New Roman" w:eastAsia="宋体" w:cs="Times New Roman"/>
                <w:b/>
                <w:bCs/>
                <w:color w:val="auto"/>
                <w:sz w:val="24"/>
                <w:szCs w:val="24"/>
                <w:lang w:val="en-US" w:eastAsia="zh-CN"/>
              </w:rPr>
              <w:t>全厂项目水平衡图  单位：m</w:t>
            </w:r>
            <w:r>
              <w:rPr>
                <w:rFonts w:hint="default" w:ascii="Times New Roman" w:hAnsi="Times New Roman" w:eastAsia="宋体" w:cs="Times New Roman"/>
                <w:b/>
                <w:bCs/>
                <w:color w:val="auto"/>
                <w:sz w:val="24"/>
                <w:szCs w:val="24"/>
                <w:vertAlign w:val="superscript"/>
                <w:lang w:val="en-US" w:eastAsia="zh-CN"/>
              </w:rPr>
              <w:t>3</w:t>
            </w:r>
            <w:r>
              <w:rPr>
                <w:rFonts w:hint="default" w:ascii="Times New Roman" w:hAnsi="Times New Roman" w:eastAsia="宋体" w:cs="Times New Roman"/>
                <w:b/>
                <w:bCs/>
                <w:color w:val="auto"/>
                <w:sz w:val="24"/>
                <w:szCs w:val="24"/>
                <w:lang w:val="en-US" w:eastAsia="zh-CN"/>
              </w:rPr>
              <w:t>/d（</w:t>
            </w:r>
            <w:r>
              <w:rPr>
                <w:rFonts w:hint="eastAsia" w:ascii="Times New Roman" w:hAnsi="Times New Roman" w:eastAsia="宋体" w:cs="Times New Roman"/>
                <w:b/>
                <w:bCs/>
                <w:color w:val="auto"/>
                <w:sz w:val="24"/>
                <w:szCs w:val="24"/>
                <w:lang w:val="en-US" w:eastAsia="zh-CN"/>
              </w:rPr>
              <w:t>250</w:t>
            </w:r>
            <w:r>
              <w:rPr>
                <w:rFonts w:hint="default" w:ascii="Times New Roman" w:hAnsi="Times New Roman" w:eastAsia="宋体" w:cs="Times New Roman"/>
                <w:b/>
                <w:bCs/>
                <w:color w:val="auto"/>
                <w:sz w:val="24"/>
                <w:szCs w:val="24"/>
                <w:lang w:val="en-US" w:eastAsia="zh-CN"/>
              </w:rPr>
              <w:t>d）</w:t>
            </w:r>
          </w:p>
          <w:p w14:paraId="224E14D4">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0" w:firstLineChars="0"/>
              <w:textAlignment w:val="auto"/>
              <w:outlineLvl w:val="9"/>
              <w:rPr>
                <w:rFonts w:hint="eastAsia" w:ascii="Times New Roman" w:hAnsi="Times New Roman" w:eastAsia="宋体" w:cs="宋体"/>
                <w:b/>
                <w:bCs/>
                <w:color w:val="auto"/>
                <w:sz w:val="24"/>
                <w:szCs w:val="24"/>
              </w:rPr>
            </w:pPr>
            <w:r>
              <w:rPr>
                <w:rFonts w:hint="eastAsia" w:ascii="Times New Roman" w:hAnsi="Times New Roman" w:eastAsia="宋体" w:cs="宋体"/>
                <w:b/>
                <w:bCs/>
                <w:color w:val="auto"/>
                <w:sz w:val="24"/>
                <w:szCs w:val="24"/>
              </w:rPr>
              <w:t>6.2供电</w:t>
            </w:r>
          </w:p>
          <w:p w14:paraId="2366CAD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项目配电由园区统一供电，供电设施齐全，可满足企业生产和生活用电需要。本项目年消耗电量25万kWh。</w:t>
            </w:r>
          </w:p>
          <w:p w14:paraId="7F39250D">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rPr>
              <w:t>6.3消防</w:t>
            </w:r>
          </w:p>
          <w:p w14:paraId="36282D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宋体"/>
                <w:b/>
                <w:bCs/>
                <w:color w:val="auto"/>
                <w:sz w:val="24"/>
                <w:szCs w:val="24"/>
                <w:lang w:val="en-US" w:eastAsia="zh-CN"/>
              </w:rPr>
            </w:pPr>
            <w:r>
              <w:rPr>
                <w:rFonts w:hint="eastAsia" w:ascii="Times New Roman" w:hAnsi="Times New Roman" w:cs="宋体"/>
                <w:color w:val="auto"/>
                <w:sz w:val="24"/>
                <w:szCs w:val="24"/>
              </w:rPr>
              <w:t>厂区消防设计依据《建筑设计防火规范》（</w:t>
            </w:r>
            <w:r>
              <w:rPr>
                <w:rFonts w:hint="default" w:ascii="Times New Roman" w:hAnsi="Times New Roman" w:cs="Times New Roman"/>
                <w:color w:val="auto"/>
                <w:sz w:val="24"/>
                <w:szCs w:val="24"/>
              </w:rPr>
              <w:t>GB50016-2014</w:t>
            </w:r>
            <w:r>
              <w:rPr>
                <w:rFonts w:hint="eastAsia" w:ascii="Times New Roman" w:hAnsi="Times New Roman" w:cs="宋体"/>
                <w:color w:val="auto"/>
                <w:sz w:val="24"/>
                <w:szCs w:val="24"/>
              </w:rPr>
              <w:t>，</w:t>
            </w:r>
            <w:r>
              <w:rPr>
                <w:rFonts w:hint="default" w:ascii="Times New Roman" w:hAnsi="Times New Roman" w:cs="Times New Roman"/>
                <w:color w:val="auto"/>
                <w:sz w:val="24"/>
                <w:szCs w:val="24"/>
              </w:rPr>
              <w:t>2018</w:t>
            </w:r>
            <w:r>
              <w:rPr>
                <w:rFonts w:hint="eastAsia" w:ascii="Times New Roman" w:hAnsi="Times New Roman" w:cs="宋体"/>
                <w:color w:val="auto"/>
                <w:sz w:val="24"/>
                <w:szCs w:val="24"/>
              </w:rPr>
              <w:t>修改版），在厂区内设立室外消火栓。室外消火栓间距为</w:t>
            </w:r>
            <w:r>
              <w:rPr>
                <w:rFonts w:hint="default" w:ascii="Times New Roman" w:hAnsi="Times New Roman" w:cs="Times New Roman"/>
                <w:color w:val="auto"/>
                <w:sz w:val="24"/>
                <w:szCs w:val="24"/>
              </w:rPr>
              <w:t>120m</w:t>
            </w:r>
            <w:r>
              <w:rPr>
                <w:rFonts w:hint="eastAsia" w:ascii="Times New Roman" w:hAnsi="Times New Roman" w:cs="宋体"/>
                <w:color w:val="auto"/>
                <w:sz w:val="24"/>
                <w:szCs w:val="24"/>
              </w:rPr>
              <w:t>，消火栓保护半径</w:t>
            </w:r>
            <w:r>
              <w:rPr>
                <w:rFonts w:hint="default" w:ascii="Times New Roman" w:hAnsi="Times New Roman" w:cs="Times New Roman"/>
                <w:color w:val="auto"/>
                <w:sz w:val="24"/>
                <w:szCs w:val="24"/>
              </w:rPr>
              <w:t>150m</w:t>
            </w:r>
            <w:r>
              <w:rPr>
                <w:rFonts w:hint="eastAsia" w:ascii="Times New Roman" w:hAnsi="Times New Roman" w:cs="宋体"/>
                <w:color w:val="auto"/>
                <w:sz w:val="24"/>
                <w:szCs w:val="24"/>
              </w:rPr>
              <w:t>。</w:t>
            </w:r>
          </w:p>
          <w:p w14:paraId="55FEE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rPr>
              <w:t>7、</w:t>
            </w:r>
            <w:r>
              <w:rPr>
                <w:rFonts w:hint="default" w:ascii="Times New Roman" w:hAnsi="Times New Roman" w:cs="Times New Roman"/>
                <w:b/>
                <w:bCs/>
                <w:color w:val="auto"/>
                <w:sz w:val="24"/>
                <w:szCs w:val="24"/>
              </w:rPr>
              <w:t>平面布置合理性分析</w:t>
            </w:r>
          </w:p>
          <w:p w14:paraId="5D40BA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本项目租赁</w:t>
            </w:r>
            <w:r>
              <w:rPr>
                <w:rFonts w:hint="eastAsia" w:ascii="Times New Roman" w:hAnsi="Times New Roman" w:cs="Times New Roman"/>
                <w:color w:val="auto"/>
                <w:sz w:val="24"/>
                <w:szCs w:val="24"/>
                <w:lang w:val="en-US" w:eastAsia="zh-CN"/>
              </w:rPr>
              <w:t>1#厂房和办公楼，利用现有2#厂房进行重新布局改造，增加4条膨化生产线，同时，将2#厂房现有薄饼生产线转移到1#厂房，增加1条烘焙生产线，在1#厂房从北向东依次建设原料库、冷库、成品库、半成品库、包材库、烘烤生产线。</w:t>
            </w:r>
          </w:p>
          <w:p w14:paraId="5758B32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建设项目合理布局，根据使用功能的要求，厂区分为生产区、原料库、成品区</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各功能区分区明确，布局合理、工艺流程布置顺畅可行。因此，本项目总平面布置合理。</w:t>
            </w:r>
          </w:p>
          <w:p w14:paraId="38686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9"/>
              <w:rPr>
                <w:rFonts w:hint="eastAsia"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8、工作制度及劳动定员</w:t>
            </w:r>
            <w:bookmarkEnd w:id="11"/>
            <w:bookmarkEnd w:id="12"/>
            <w:bookmarkEnd w:id="13"/>
          </w:p>
          <w:p w14:paraId="79C4FBC4">
            <w:pPr>
              <w:keepNext w:val="0"/>
              <w:keepLines w:val="0"/>
              <w:pageBreakBefore w:val="0"/>
              <w:widowControl w:val="0"/>
              <w:suppressLineNumbers w:val="0"/>
              <w:kinsoku/>
              <w:wordWrap/>
              <w:topLinePunct w:val="0"/>
              <w:autoSpaceDE/>
              <w:autoSpaceDN/>
              <w:bidi w:val="0"/>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现有劳动定员75人，</w:t>
            </w:r>
            <w:r>
              <w:rPr>
                <w:rFonts w:hint="eastAsia" w:ascii="Times New Roman" w:hAnsi="Times New Roman" w:cs="Times New Roman"/>
                <w:color w:val="auto"/>
                <w:sz w:val="24"/>
                <w:szCs w:val="24"/>
              </w:rPr>
              <w:t>本</w:t>
            </w:r>
            <w:r>
              <w:rPr>
                <w:rFonts w:hint="eastAsia" w:ascii="Times New Roman" w:hAnsi="Times New Roman" w:cs="Times New Roman"/>
                <w:color w:val="auto"/>
                <w:sz w:val="24"/>
                <w:szCs w:val="24"/>
                <w:lang w:val="en-US" w:eastAsia="zh-CN"/>
              </w:rPr>
              <w:t>次扩建</w:t>
            </w:r>
            <w:r>
              <w:rPr>
                <w:rFonts w:hint="eastAsia" w:ascii="Times New Roman" w:hAnsi="Times New Roman" w:cs="Times New Roman"/>
                <w:color w:val="auto"/>
                <w:sz w:val="24"/>
                <w:szCs w:val="24"/>
              </w:rPr>
              <w:t>项目</w:t>
            </w:r>
            <w:r>
              <w:rPr>
                <w:rFonts w:hint="eastAsia" w:ascii="Times New Roman" w:hAnsi="Times New Roman" w:cs="Times New Roman"/>
                <w:color w:val="auto"/>
                <w:sz w:val="24"/>
                <w:szCs w:val="24"/>
                <w:lang w:val="en-US" w:eastAsia="zh-CN"/>
              </w:rPr>
              <w:t>新增劳动定员25</w:t>
            </w:r>
            <w:r>
              <w:rPr>
                <w:rFonts w:hint="eastAsia" w:ascii="Times New Roman" w:hAnsi="Times New Roman" w:cs="Times New Roman"/>
                <w:color w:val="auto"/>
                <w:sz w:val="24"/>
                <w:szCs w:val="24"/>
              </w:rPr>
              <w:t>人</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年工作250天，工作时间</w:t>
            </w:r>
            <w:r>
              <w:rPr>
                <w:rFonts w:hint="default" w:ascii="Times New Roman" w:hAnsi="Times New Roman" w:cs="Times New Roman"/>
                <w:color w:val="auto"/>
                <w:sz w:val="24"/>
                <w:szCs w:val="24"/>
                <w:lang w:val="en-US" w:eastAsia="zh-CN"/>
              </w:rPr>
              <w:t>10</w:t>
            </w:r>
            <w:r>
              <w:rPr>
                <w:rFonts w:hint="eastAsia" w:ascii="Times New Roman" w:hAnsi="Times New Roman" w:cs="Times New Roman"/>
                <w:color w:val="auto"/>
                <w:sz w:val="24"/>
                <w:szCs w:val="24"/>
              </w:rPr>
              <w:t>h</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不在厂内食宿</w:t>
            </w:r>
            <w:r>
              <w:rPr>
                <w:rFonts w:hint="eastAsia" w:ascii="Times New Roman" w:hAnsi="Times New Roman" w:eastAsia="宋体" w:cs="Times New Roman"/>
                <w:color w:val="auto"/>
                <w:sz w:val="24"/>
                <w:szCs w:val="24"/>
                <w:lang w:val="en-US" w:eastAsia="zh-CN"/>
              </w:rPr>
              <w:t>。</w:t>
            </w:r>
          </w:p>
          <w:p w14:paraId="673D4EC0">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p>
        </w:tc>
      </w:tr>
      <w:tr w14:paraId="0986E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0" w:type="pct"/>
            <w:noWrap w:val="0"/>
            <w:vAlign w:val="center"/>
          </w:tcPr>
          <w:p w14:paraId="3BB5D3DA">
            <w:pPr>
              <w:pStyle w:val="25"/>
              <w:keepNext w:val="0"/>
              <w:keepLines w:val="0"/>
              <w:suppressLineNumbers w:val="0"/>
              <w:adjustRightInd w:val="0"/>
              <w:snapToGrid w:val="0"/>
              <w:spacing w:before="0" w:beforeAutospacing="0" w:after="0" w:afterAutospacing="0"/>
              <w:ind w:left="0" w:right="0"/>
              <w:jc w:val="center"/>
              <w:rPr>
                <w:rFonts w:hint="default" w:cs="宋体"/>
                <w:szCs w:val="24"/>
              </w:rPr>
            </w:pPr>
            <w:r>
              <w:rPr>
                <w:rFonts w:hint="eastAsia" w:cs="宋体"/>
                <w:szCs w:val="24"/>
              </w:rPr>
              <w:t>工艺流程和产排污环节</w:t>
            </w:r>
          </w:p>
        </w:tc>
        <w:tc>
          <w:tcPr>
            <w:tcW w:w="4609" w:type="pct"/>
            <w:noWrap w:val="0"/>
            <w:vAlign w:val="top"/>
          </w:tcPr>
          <w:p w14:paraId="3FA03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9"/>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1</w:t>
            </w:r>
            <w:r>
              <w:rPr>
                <w:rFonts w:hint="default" w:ascii="Times New Roman" w:hAnsi="Times New Roman" w:eastAsia="宋体" w:cs="宋体"/>
                <w:b/>
                <w:bCs/>
                <w:color w:val="auto"/>
                <w:sz w:val="24"/>
                <w:szCs w:val="24"/>
                <w:lang w:val="en-US" w:eastAsia="zh-CN"/>
              </w:rPr>
              <w:t>、施工期</w:t>
            </w:r>
          </w:p>
          <w:p w14:paraId="4A6A31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w:t>
            </w:r>
            <w:r>
              <w:rPr>
                <w:rFonts w:hint="eastAsia" w:cs="Times New Roman"/>
                <w:sz w:val="24"/>
                <w:szCs w:val="24"/>
                <w:lang w:val="en-US" w:eastAsia="zh-CN"/>
              </w:rPr>
              <w:t>利用现有厂房重新布局，同时</w:t>
            </w:r>
            <w:r>
              <w:rPr>
                <w:rFonts w:hint="eastAsia" w:ascii="Times New Roman" w:hAnsi="Times New Roman" w:cs="Times New Roman"/>
                <w:sz w:val="24"/>
                <w:szCs w:val="24"/>
                <w:lang w:val="en-US" w:eastAsia="zh-CN"/>
              </w:rPr>
              <w:t>租赁</w:t>
            </w:r>
            <w:r>
              <w:rPr>
                <w:rFonts w:hint="eastAsia" w:cs="Times New Roman"/>
                <w:sz w:val="24"/>
                <w:szCs w:val="24"/>
                <w:lang w:val="en-US" w:eastAsia="zh-CN"/>
              </w:rPr>
              <w:t>淮北市欣然食品有限责任公司</w:t>
            </w:r>
            <w:r>
              <w:rPr>
                <w:rFonts w:hint="eastAsia" w:ascii="Times New Roman" w:hAnsi="Times New Roman" w:cs="Times New Roman"/>
                <w:sz w:val="24"/>
                <w:szCs w:val="24"/>
                <w:lang w:val="en-US" w:eastAsia="zh-CN"/>
              </w:rPr>
              <w:t>空置厂房建设，</w:t>
            </w:r>
            <w:r>
              <w:rPr>
                <w:rFonts w:hint="eastAsia"/>
                <w:sz w:val="24"/>
              </w:rPr>
              <w:t>项目</w:t>
            </w:r>
            <w:r>
              <w:rPr>
                <w:rFonts w:hint="eastAsia"/>
                <w:sz w:val="24"/>
                <w:lang w:val="en-US" w:eastAsia="zh-CN"/>
              </w:rPr>
              <w:t>基本不涉及</w:t>
            </w:r>
            <w:r>
              <w:rPr>
                <w:rFonts w:hint="eastAsia"/>
                <w:sz w:val="24"/>
              </w:rPr>
              <w:t>土建施工过程，施工期污染不大</w:t>
            </w:r>
            <w:r>
              <w:rPr>
                <w:rFonts w:hint="eastAsia"/>
                <w:sz w:val="24"/>
                <w:lang w:eastAsia="zh-CN"/>
              </w:rPr>
              <w:t>，</w:t>
            </w:r>
            <w:r>
              <w:rPr>
                <w:rFonts w:hint="eastAsia"/>
                <w:sz w:val="24"/>
              </w:rPr>
              <w:t>本项目施工期仅对其进行装修和设备安装调试，因此本项目建设施工期内主要存在的环境问题为施工机械噪声、建筑垃圾、生活垃圾及室内装修废气。装修和生产设备安装过程中会产生噪声，但此过程是短暂的，对周边环境影响不大；装修过程中产生少量的装修垃圾及生活垃圾交由环卫部门统一清运处置；厂房装修和生产设备安装会产生少量的工人生活污水，依托厂区化粪池预处理后进入市政污水管网。项目施工期短暂，</w:t>
            </w:r>
            <w:r>
              <w:rPr>
                <w:rFonts w:hint="eastAsia"/>
                <w:sz w:val="24"/>
                <w:lang w:val="en-US" w:eastAsia="zh-CN"/>
              </w:rPr>
              <w:t>产生污染</w:t>
            </w:r>
            <w:r>
              <w:rPr>
                <w:rFonts w:hint="eastAsia"/>
                <w:sz w:val="24"/>
              </w:rPr>
              <w:t>较小。故不对此产污环节进行分析</w:t>
            </w:r>
            <w:r>
              <w:rPr>
                <w:rFonts w:hint="eastAsia" w:ascii="Times New Roman" w:hAnsi="Times New Roman" w:cs="Times New Roman"/>
                <w:sz w:val="24"/>
                <w:szCs w:val="24"/>
                <w:lang w:val="en-US" w:eastAsia="zh-CN"/>
              </w:rPr>
              <w:t>。</w:t>
            </w:r>
          </w:p>
          <w:p w14:paraId="3F2B0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outlineLvl w:val="9"/>
              <w:rPr>
                <w:rFonts w:hint="eastAsia"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2</w:t>
            </w:r>
            <w:r>
              <w:rPr>
                <w:rFonts w:hint="default" w:ascii="Times New Roman" w:hAnsi="Times New Roman" w:eastAsia="宋体" w:cs="宋体"/>
                <w:b/>
                <w:bCs/>
                <w:color w:val="auto"/>
                <w:sz w:val="24"/>
                <w:szCs w:val="24"/>
                <w:lang w:val="en-US" w:eastAsia="zh-CN"/>
              </w:rPr>
              <w:t>、</w:t>
            </w:r>
            <w:r>
              <w:rPr>
                <w:rFonts w:hint="eastAsia" w:ascii="Times New Roman" w:hAnsi="Times New Roman" w:eastAsia="宋体" w:cs="宋体"/>
                <w:b/>
                <w:bCs/>
                <w:color w:val="auto"/>
                <w:sz w:val="24"/>
                <w:szCs w:val="24"/>
                <w:lang w:val="en-US" w:eastAsia="zh-CN"/>
              </w:rPr>
              <w:t>营运期</w:t>
            </w:r>
          </w:p>
          <w:p w14:paraId="577D044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cs="宋体"/>
                <w:b w:val="0"/>
                <w:bCs w:val="0"/>
                <w:color w:val="auto"/>
                <w:sz w:val="24"/>
                <w:lang w:val="en-US" w:eastAsia="zh-CN"/>
              </w:rPr>
            </w:pPr>
            <w:r>
              <w:rPr>
                <w:rFonts w:hint="eastAsia" w:cs="宋体"/>
                <w:b w:val="0"/>
                <w:bCs w:val="0"/>
                <w:color w:val="auto"/>
                <w:sz w:val="24"/>
                <w:lang w:val="en-US" w:eastAsia="zh-CN"/>
              </w:rPr>
              <w:t>根据建设单位提供的资料，本项目会磨制一定量的谷物粉，在磨粉间将干净的谷物通过打粉机粉碎成谷物粉，粉碎后的谷物粉打包好送至原料库待用。该工序主要产生粉碎粉尘（G1）、废包装材料（S1）、设备运行噪声（N）。</w:t>
            </w:r>
          </w:p>
          <w:p w14:paraId="2295FD9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宋体"/>
                <w:b w:val="0"/>
                <w:bCs w:val="0"/>
                <w:color w:val="auto"/>
                <w:kern w:val="2"/>
                <w:sz w:val="24"/>
                <w:szCs w:val="24"/>
                <w:lang w:val="en-US" w:eastAsia="zh-CN" w:bidi="ar-SA"/>
              </w:rPr>
            </w:pPr>
            <w:r>
              <w:rPr>
                <w:rFonts w:hint="eastAsia" w:cs="宋体"/>
                <w:b w:val="0"/>
                <w:bCs w:val="0"/>
                <w:color w:val="auto"/>
                <w:sz w:val="24"/>
              </w:rPr>
              <w:t>本项目</w:t>
            </w:r>
            <w:r>
              <w:rPr>
                <w:rFonts w:hint="eastAsia" w:cs="宋体"/>
                <w:b w:val="0"/>
                <w:bCs w:val="0"/>
                <w:color w:val="auto"/>
                <w:sz w:val="24"/>
                <w:lang w:val="en-US" w:eastAsia="zh-CN"/>
              </w:rPr>
              <w:t>膨化</w:t>
            </w:r>
            <w:r>
              <w:rPr>
                <w:rFonts w:hint="eastAsia" w:cs="宋体"/>
                <w:b w:val="0"/>
                <w:bCs w:val="0"/>
                <w:color w:val="auto"/>
                <w:sz w:val="24"/>
              </w:rPr>
              <w:t>产品主要为</w:t>
            </w:r>
            <w:r>
              <w:rPr>
                <w:rFonts w:hint="eastAsia" w:cs="宋体"/>
                <w:b w:val="0"/>
                <w:bCs w:val="0"/>
                <w:color w:val="auto"/>
                <w:sz w:val="24"/>
                <w:lang w:val="en-US" w:eastAsia="zh-CN"/>
              </w:rPr>
              <w:t>米果</w:t>
            </w:r>
            <w:r>
              <w:rPr>
                <w:rFonts w:hint="eastAsia" w:cs="宋体"/>
                <w:b w:val="0"/>
                <w:bCs w:val="0"/>
                <w:color w:val="auto"/>
                <w:sz w:val="24"/>
              </w:rPr>
              <w:t>、</w:t>
            </w:r>
            <w:r>
              <w:rPr>
                <w:rFonts w:hint="eastAsia" w:cs="宋体"/>
                <w:b w:val="0"/>
                <w:bCs w:val="0"/>
                <w:color w:val="auto"/>
                <w:sz w:val="24"/>
                <w:lang w:val="en-US" w:eastAsia="zh-CN"/>
              </w:rPr>
              <w:t>泡芙；烘烤产品主要为薄饼</w:t>
            </w:r>
            <w:r>
              <w:rPr>
                <w:rFonts w:hint="eastAsia" w:cs="宋体"/>
                <w:b w:val="0"/>
                <w:bCs w:val="0"/>
                <w:color w:val="auto"/>
                <w:sz w:val="24"/>
              </w:rPr>
              <w:t>，生产工艺基本一致。</w:t>
            </w:r>
          </w:p>
          <w:p w14:paraId="32E9803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宋体"/>
                <w:b/>
                <w:bCs/>
                <w:color w:val="auto"/>
                <w:kern w:val="2"/>
                <w:sz w:val="24"/>
                <w:szCs w:val="24"/>
                <w:lang w:val="en-US" w:eastAsia="zh-CN" w:bidi="ar-SA"/>
              </w:rPr>
            </w:pPr>
            <w:r>
              <w:rPr>
                <w:rFonts w:hint="eastAsia" w:ascii="Times New Roman" w:hAnsi="Times New Roman" w:eastAsia="宋体" w:cs="宋体"/>
                <w:b/>
                <w:bCs/>
                <w:color w:val="auto"/>
                <w:kern w:val="2"/>
                <w:sz w:val="24"/>
                <w:szCs w:val="24"/>
                <w:lang w:val="en-US" w:eastAsia="zh-CN" w:bidi="ar-SA"/>
              </w:rPr>
              <w:t>（1）</w:t>
            </w:r>
            <w:r>
              <w:rPr>
                <w:rFonts w:hint="eastAsia" w:cs="宋体"/>
                <w:b/>
                <w:bCs/>
                <w:color w:val="auto"/>
                <w:kern w:val="2"/>
                <w:sz w:val="24"/>
                <w:szCs w:val="24"/>
                <w:lang w:val="en-US" w:eastAsia="zh-CN" w:bidi="ar-SA"/>
              </w:rPr>
              <w:t>米果</w:t>
            </w:r>
            <w:r>
              <w:rPr>
                <w:rFonts w:hint="eastAsia" w:ascii="Times New Roman" w:hAnsi="Times New Roman" w:eastAsia="宋体" w:cs="宋体"/>
                <w:b/>
                <w:bCs/>
                <w:color w:val="auto"/>
                <w:kern w:val="2"/>
                <w:sz w:val="24"/>
                <w:szCs w:val="24"/>
                <w:lang w:val="en-US" w:eastAsia="zh-CN" w:bidi="ar-SA"/>
              </w:rPr>
              <w:t>生产线工艺流程和产排污环节</w:t>
            </w:r>
          </w:p>
          <w:p w14:paraId="212657FD">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根据建设单位提供的资料，</w:t>
            </w:r>
            <w:r>
              <w:rPr>
                <w:rFonts w:hint="eastAsia" w:cs="Times New Roman"/>
                <w:b w:val="0"/>
                <w:bCs w:val="0"/>
                <w:kern w:val="2"/>
                <w:sz w:val="24"/>
                <w:szCs w:val="24"/>
                <w:lang w:val="en-US" w:eastAsia="zh-CN" w:bidi="ar-SA"/>
              </w:rPr>
              <w:t>米果</w:t>
            </w:r>
            <w:r>
              <w:rPr>
                <w:rFonts w:hint="eastAsia" w:ascii="Times New Roman" w:hAnsi="Times New Roman" w:eastAsia="宋体" w:cs="Times New Roman"/>
                <w:b w:val="0"/>
                <w:bCs w:val="0"/>
                <w:kern w:val="2"/>
                <w:sz w:val="24"/>
                <w:szCs w:val="24"/>
                <w:lang w:val="en-US" w:eastAsia="zh-CN" w:bidi="ar-SA"/>
              </w:rPr>
              <w:t>生产工艺流程和产排污环节见图2-3。</w:t>
            </w:r>
            <w:r>
              <w:rPr>
                <w:rFonts w:hint="default"/>
              </w:rPr>
              <w:drawing>
                <wp:inline distT="0" distB="0" distL="114300" distR="114300">
                  <wp:extent cx="5095240" cy="5275580"/>
                  <wp:effectExtent l="0" t="0" r="1016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095240" cy="5275580"/>
                          </a:xfrm>
                          <a:prstGeom prst="rect">
                            <a:avLst/>
                          </a:prstGeom>
                          <a:noFill/>
                          <a:ln>
                            <a:noFill/>
                          </a:ln>
                        </pic:spPr>
                      </pic:pic>
                    </a:graphicData>
                  </a:graphic>
                </wp:inline>
              </w:drawing>
            </w:r>
            <w:r>
              <w:rPr>
                <w:rFonts w:hint="eastAsia" w:cs="Times New Roman"/>
                <w:lang w:val="en-US" w:eastAsia="zh-CN"/>
              </w:rPr>
              <w:t xml:space="preserve">                                                                                                                                                                                                                                   </w:t>
            </w:r>
          </w:p>
          <w:p w14:paraId="014B0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cs="Times New Roman"/>
                <w:b/>
                <w:bCs/>
                <w:sz w:val="24"/>
                <w:szCs w:val="24"/>
              </w:rPr>
              <w:t>图</w:t>
            </w:r>
            <w:r>
              <w:rPr>
                <w:rFonts w:hint="default" w:ascii="Times New Roman" w:hAnsi="Times New Roman" w:cs="Times New Roman"/>
                <w:b/>
                <w:bCs/>
                <w:sz w:val="24"/>
                <w:szCs w:val="24"/>
              </w:rPr>
              <w:t>2-</w:t>
            </w: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rPr>
              <w:t xml:space="preserve">  </w:t>
            </w:r>
            <w:r>
              <w:rPr>
                <w:rFonts w:hint="eastAsia" w:cs="Times New Roman"/>
                <w:b/>
                <w:bCs/>
                <w:sz w:val="24"/>
                <w:szCs w:val="24"/>
                <w:lang w:val="en-US" w:eastAsia="zh-CN"/>
              </w:rPr>
              <w:t>米果</w:t>
            </w:r>
            <w:r>
              <w:rPr>
                <w:rFonts w:hint="eastAsia" w:ascii="Times New Roman" w:hAnsi="Times New Roman" w:cs="Times New Roman"/>
                <w:b/>
                <w:bCs/>
                <w:sz w:val="24"/>
                <w:szCs w:val="24"/>
              </w:rPr>
              <w:t>工艺流程及产污环节</w:t>
            </w:r>
            <w:r>
              <w:rPr>
                <w:rFonts w:hint="eastAsia" w:ascii="Times New Roman" w:hAnsi="Times New Roman" w:cs="Times New Roman"/>
                <w:b/>
                <w:bCs/>
                <w:sz w:val="24"/>
                <w:szCs w:val="24"/>
                <w:lang w:val="en-US" w:eastAsia="zh-CN"/>
              </w:rPr>
              <w:t>图</w:t>
            </w:r>
          </w:p>
          <w:p w14:paraId="122D069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cs="Times New Roman"/>
                <w:b w:val="0"/>
                <w:bCs w:val="0"/>
                <w:kern w:val="2"/>
                <w:sz w:val="24"/>
                <w:szCs w:val="24"/>
                <w:lang w:val="en-US" w:eastAsia="zh-CN" w:bidi="ar-SA"/>
              </w:rPr>
              <w:t>米果</w:t>
            </w:r>
            <w:r>
              <w:rPr>
                <w:rFonts w:hint="default" w:ascii="Times New Roman" w:hAnsi="Times New Roman" w:eastAsia="宋体" w:cs="Times New Roman"/>
                <w:b w:val="0"/>
                <w:bCs w:val="0"/>
                <w:kern w:val="2"/>
                <w:sz w:val="24"/>
                <w:szCs w:val="24"/>
                <w:lang w:val="en-US" w:eastAsia="zh-CN" w:bidi="ar-SA"/>
              </w:rPr>
              <w:t>生产工艺流程说明如下：</w:t>
            </w:r>
          </w:p>
          <w:p w14:paraId="4FFFE5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原辅料验收</w:t>
            </w:r>
            <w:r>
              <w:rPr>
                <w:rFonts w:hint="default" w:ascii="Times New Roman" w:hAnsi="Times New Roman" w:eastAsia="宋体" w:cs="Times New Roman"/>
                <w:b/>
                <w:bCs/>
                <w:sz w:val="24"/>
                <w:szCs w:val="24"/>
              </w:rPr>
              <w:t>：</w:t>
            </w:r>
            <w:bookmarkStart w:id="14" w:name="OLE_LINK5"/>
            <w:r>
              <w:rPr>
                <w:rFonts w:hint="default" w:ascii="Times New Roman" w:hAnsi="Times New Roman" w:eastAsia="宋体" w:cs="Times New Roman"/>
                <w:b w:val="0"/>
                <w:bCs w:val="0"/>
                <w:i w:val="0"/>
                <w:iCs w:val="0"/>
                <w:sz w:val="24"/>
                <w:szCs w:val="24"/>
                <w:lang w:val="en-US" w:eastAsia="zh-CN"/>
              </w:rPr>
              <w:t>将</w:t>
            </w:r>
            <w:r>
              <w:rPr>
                <w:rFonts w:hint="default" w:ascii="Times New Roman" w:hAnsi="Times New Roman" w:eastAsia="宋体" w:cs="Times New Roman"/>
                <w:sz w:val="24"/>
                <w:szCs w:val="24"/>
              </w:rPr>
              <w:t>外购的原</w:t>
            </w:r>
            <w:r>
              <w:rPr>
                <w:rFonts w:hint="default" w:ascii="Times New Roman" w:hAnsi="Times New Roman" w:eastAsia="宋体" w:cs="Times New Roman"/>
                <w:sz w:val="24"/>
                <w:szCs w:val="24"/>
                <w:lang w:val="en-US" w:eastAsia="zh-CN"/>
              </w:rPr>
              <w:t>辅</w:t>
            </w:r>
            <w:r>
              <w:rPr>
                <w:rFonts w:hint="default" w:ascii="Times New Roman" w:hAnsi="Times New Roman" w:eastAsia="宋体" w:cs="Times New Roman"/>
                <w:sz w:val="24"/>
                <w:szCs w:val="24"/>
              </w:rPr>
              <w:t>料</w:t>
            </w:r>
            <w:r>
              <w:rPr>
                <w:rFonts w:hint="default" w:ascii="Times New Roman" w:hAnsi="Times New Roman" w:eastAsia="宋体" w:cs="Times New Roman"/>
                <w:sz w:val="24"/>
                <w:szCs w:val="24"/>
                <w:lang w:val="en-US" w:eastAsia="zh-CN"/>
              </w:rPr>
              <w:t>按照</w:t>
            </w:r>
            <w:r>
              <w:rPr>
                <w:rFonts w:hint="default" w:ascii="Times New Roman" w:hAnsi="Times New Roman" w:cs="Times New Roman"/>
                <w:kern w:val="0"/>
                <w:sz w:val="24"/>
                <w:szCs w:val="24"/>
                <w:lang w:val="en-US" w:eastAsia="zh-CN"/>
              </w:rPr>
              <w:t>相关质量标准要求</w:t>
            </w:r>
            <w:r>
              <w:rPr>
                <w:rFonts w:hint="default" w:ascii="Times New Roman" w:hAnsi="Times New Roman" w:eastAsia="宋体" w:cs="Times New Roman"/>
                <w:sz w:val="24"/>
                <w:szCs w:val="24"/>
                <w:lang w:val="en-US" w:eastAsia="zh-CN"/>
              </w:rPr>
              <w:t>进行检测</w:t>
            </w:r>
            <w:r>
              <w:rPr>
                <w:rFonts w:hint="default" w:ascii="Times New Roman" w:hAnsi="Times New Roman" w:eastAsia="宋体" w:cs="Times New Roman"/>
                <w:sz w:val="24"/>
                <w:szCs w:val="24"/>
              </w:rPr>
              <w:t>，</w:t>
            </w:r>
            <w:bookmarkEnd w:id="14"/>
            <w:r>
              <w:rPr>
                <w:rFonts w:hint="default" w:cs="Times New Roman"/>
                <w:sz w:val="24"/>
                <w:szCs w:val="24"/>
                <w:lang w:val="en-US" w:eastAsia="zh-CN"/>
              </w:rPr>
              <w:t>主要为外观检查、水分检测，</w:t>
            </w:r>
            <w:r>
              <w:rPr>
                <w:rFonts w:hint="default" w:ascii="Times New Roman" w:hAnsi="Times New Roman" w:eastAsia="宋体" w:cs="Times New Roman"/>
                <w:sz w:val="24"/>
                <w:szCs w:val="24"/>
                <w:lang w:val="en-US" w:eastAsia="zh-CN"/>
              </w:rPr>
              <w:t>合格原辅料留下，不合格品通知供应商退货。</w:t>
            </w:r>
          </w:p>
          <w:p w14:paraId="5A7EAD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sz w:val="24"/>
                <w:szCs w:val="24"/>
                <w:lang w:val="en-US" w:eastAsia="zh-CN"/>
              </w:rPr>
              <w:t>领料脱包、杀菌</w:t>
            </w:r>
            <w:r>
              <w:rPr>
                <w:rFonts w:hint="default" w:ascii="Times New Roman" w:hAnsi="Times New Roman" w:eastAsia="宋体" w:cs="Times New Roman"/>
                <w:b/>
                <w:bCs/>
                <w:sz w:val="24"/>
                <w:szCs w:val="24"/>
              </w:rPr>
              <w:t>：</w:t>
            </w:r>
            <w:r>
              <w:rPr>
                <w:rFonts w:hint="default" w:ascii="Times New Roman" w:hAnsi="Times New Roman" w:eastAsia="宋体" w:cs="Times New Roman"/>
                <w:color w:val="000000"/>
                <w:sz w:val="24"/>
                <w:szCs w:val="24"/>
                <w:lang w:val="en-US" w:eastAsia="zh-CN"/>
              </w:rPr>
              <w:t>将</w:t>
            </w:r>
            <w:r>
              <w:rPr>
                <w:rFonts w:hint="default" w:cs="Times New Roman"/>
                <w:color w:val="000000"/>
                <w:sz w:val="24"/>
                <w:szCs w:val="24"/>
                <w:lang w:val="en-US" w:eastAsia="zh-CN"/>
              </w:rPr>
              <w:t>原料</w:t>
            </w:r>
            <w:r>
              <w:rPr>
                <w:rFonts w:hint="default" w:ascii="Times New Roman" w:hAnsi="Times New Roman" w:eastAsia="宋体" w:cs="Times New Roman"/>
                <w:color w:val="000000"/>
                <w:sz w:val="24"/>
                <w:szCs w:val="24"/>
              </w:rPr>
              <w:t>库</w:t>
            </w:r>
            <w:r>
              <w:rPr>
                <w:rFonts w:hint="default"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原辅料领来，脱外包装，</w:t>
            </w:r>
            <w:r>
              <w:rPr>
                <w:rFonts w:hint="default" w:ascii="Times New Roman" w:hAnsi="Times New Roman" w:eastAsia="宋体" w:cs="Times New Roman"/>
                <w:color w:val="000000"/>
                <w:sz w:val="24"/>
                <w:szCs w:val="24"/>
                <w:lang w:val="en-US" w:eastAsia="zh-CN"/>
              </w:rPr>
              <w:t>进行</w:t>
            </w:r>
            <w:r>
              <w:rPr>
                <w:rFonts w:hint="default" w:cs="Times New Roman"/>
                <w:color w:val="000000"/>
                <w:sz w:val="24"/>
                <w:szCs w:val="24"/>
                <w:lang w:val="en-US" w:eastAsia="zh-CN"/>
              </w:rPr>
              <w:t>紫外线杀菌</w:t>
            </w:r>
            <w:r>
              <w:rPr>
                <w:rFonts w:hint="default" w:ascii="Times New Roman" w:hAnsi="Times New Roman" w:eastAsia="宋体" w:cs="Times New Roman"/>
                <w:color w:val="auto"/>
                <w:sz w:val="24"/>
                <w:szCs w:val="24"/>
              </w:rPr>
              <w:t>。</w:t>
            </w:r>
            <w:r>
              <w:rPr>
                <w:rFonts w:hint="default" w:ascii="Times New Roman" w:hAnsi="Times New Roman" w:eastAsia="宋体" w:cs="Times New Roman"/>
                <w:sz w:val="24"/>
                <w:szCs w:val="24"/>
              </w:rPr>
              <w:t>此工序产生废包装材料（S</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r>
              <w:rPr>
                <w:rFonts w:hint="default" w:cs="Times New Roman"/>
                <w:sz w:val="24"/>
                <w:szCs w:val="24"/>
                <w:lang w:eastAsia="zh-CN"/>
              </w:rPr>
              <w:t>、</w:t>
            </w:r>
            <w:r>
              <w:rPr>
                <w:rFonts w:hint="default" w:cs="Times New Roman"/>
                <w:sz w:val="24"/>
                <w:szCs w:val="24"/>
                <w:lang w:val="en-US" w:eastAsia="zh-CN"/>
              </w:rPr>
              <w:t>废紫外灯管（S2）</w:t>
            </w:r>
            <w:r>
              <w:rPr>
                <w:rFonts w:hint="default" w:ascii="Times New Roman" w:hAnsi="Times New Roman" w:eastAsia="宋体" w:cs="Times New Roman"/>
                <w:sz w:val="24"/>
                <w:szCs w:val="24"/>
                <w:lang w:eastAsia="zh-CN"/>
              </w:rPr>
              <w:t>。</w:t>
            </w:r>
          </w:p>
          <w:p w14:paraId="6A816D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eastAsia="宋体" w:cs="Times New Roman"/>
                <w:sz w:val="24"/>
                <w:szCs w:val="24"/>
              </w:rPr>
            </w:pPr>
            <w:r>
              <w:rPr>
                <w:rFonts w:hint="default" w:cs="Times New Roman"/>
                <w:b/>
                <w:bCs/>
                <w:color w:val="auto"/>
                <w:sz w:val="24"/>
                <w:szCs w:val="24"/>
                <w:lang w:val="en-US" w:eastAsia="zh-CN"/>
              </w:rPr>
              <w:t>预处理</w:t>
            </w:r>
            <w:r>
              <w:rPr>
                <w:rFonts w:hint="default" w:ascii="Times New Roman" w:hAnsi="Times New Roman" w:eastAsia="宋体" w:cs="Times New Roman"/>
                <w:b/>
                <w:bCs/>
                <w:color w:val="auto"/>
                <w:sz w:val="24"/>
                <w:szCs w:val="24"/>
                <w:lang w:val="en-US" w:eastAsia="zh-CN"/>
              </w:rPr>
              <w:t>：</w:t>
            </w:r>
            <w:r>
              <w:rPr>
                <w:rFonts w:hint="default" w:cs="Times New Roman"/>
                <w:b w:val="0"/>
                <w:bCs w:val="0"/>
                <w:color w:val="auto"/>
                <w:sz w:val="24"/>
                <w:szCs w:val="24"/>
                <w:lang w:val="en-US" w:eastAsia="zh-CN"/>
              </w:rPr>
              <w:t>糖在使用前需进行人工过筛处理，去除杂质；</w:t>
            </w:r>
            <w:r>
              <w:rPr>
                <w:rFonts w:hint="default" w:ascii="Times New Roman" w:hAnsi="Times New Roman" w:cs="Times New Roman"/>
                <w:sz w:val="24"/>
                <w:szCs w:val="24"/>
                <w:lang w:val="en-US" w:eastAsia="zh-CN"/>
              </w:rPr>
              <w:t>在化油锅内将植物油加热到40-50℃</w:t>
            </w:r>
            <w:r>
              <w:rPr>
                <w:rFonts w:hint="default" w:cs="Times New Roman"/>
                <w:sz w:val="24"/>
                <w:szCs w:val="24"/>
                <w:lang w:val="en-US" w:eastAsia="zh-CN"/>
              </w:rPr>
              <w:t>，采用电加热，</w:t>
            </w:r>
            <w:r>
              <w:rPr>
                <w:rFonts w:hint="default" w:ascii="Times New Roman" w:hAnsi="Times New Roman" w:cs="Times New Roman"/>
                <w:sz w:val="24"/>
                <w:szCs w:val="24"/>
                <w:lang w:val="en-US" w:eastAsia="zh-CN"/>
              </w:rPr>
              <w:t>由于植物油</w:t>
            </w:r>
            <w:r>
              <w:rPr>
                <w:rFonts w:hint="default" w:ascii="Times New Roman" w:hAnsi="Times New Roman" w:cs="Times New Roman"/>
                <w:b w:val="0"/>
                <w:bCs w:val="0"/>
                <w:color w:val="auto"/>
                <w:sz w:val="24"/>
                <w:lang w:val="en-US" w:eastAsia="zh-CN"/>
              </w:rPr>
              <w:t>沸点</w:t>
            </w:r>
            <w:r>
              <w:rPr>
                <w:rFonts w:hint="eastAsia" w:cs="Times New Roman"/>
                <w:b w:val="0"/>
                <w:bCs w:val="0"/>
                <w:color w:val="auto"/>
                <w:sz w:val="24"/>
                <w:lang w:val="en-US" w:eastAsia="zh-CN"/>
              </w:rPr>
              <w:t>为</w:t>
            </w:r>
            <w:r>
              <w:rPr>
                <w:rFonts w:hint="default" w:ascii="Times New Roman" w:hAnsi="Times New Roman" w:cs="Times New Roman"/>
                <w:b w:val="0"/>
                <w:bCs w:val="0"/>
                <w:color w:val="auto"/>
                <w:sz w:val="24"/>
                <w:lang w:val="en-US" w:eastAsia="zh-CN"/>
              </w:rPr>
              <w:t>200~300℃</w:t>
            </w:r>
            <w:r>
              <w:rPr>
                <w:rFonts w:hint="eastAsia" w:cs="Times New Roman"/>
                <w:b w:val="0"/>
                <w:bCs w:val="0"/>
                <w:color w:val="auto"/>
                <w:sz w:val="24"/>
                <w:lang w:val="en-US" w:eastAsia="zh-CN"/>
              </w:rPr>
              <w:t>，</w:t>
            </w:r>
            <w:r>
              <w:rPr>
                <w:rFonts w:hint="default" w:ascii="Times New Roman" w:hAnsi="Times New Roman" w:cs="Times New Roman"/>
                <w:b w:val="0"/>
                <w:bCs w:val="0"/>
                <w:color w:val="auto"/>
                <w:sz w:val="24"/>
                <w:lang w:val="en-US" w:eastAsia="zh-CN"/>
              </w:rPr>
              <w:t>烟点</w:t>
            </w:r>
            <w:r>
              <w:rPr>
                <w:rFonts w:hint="eastAsia" w:cs="Times New Roman"/>
                <w:b w:val="0"/>
                <w:bCs w:val="0"/>
                <w:color w:val="auto"/>
                <w:sz w:val="24"/>
                <w:lang w:val="en-US" w:eastAsia="zh-CN"/>
              </w:rPr>
              <w:t>为</w:t>
            </w:r>
            <w:r>
              <w:rPr>
                <w:rFonts w:hint="default" w:ascii="Times New Roman" w:hAnsi="Times New Roman" w:cs="Times New Roman"/>
                <w:b w:val="0"/>
                <w:bCs w:val="0"/>
                <w:color w:val="auto"/>
                <w:sz w:val="24"/>
                <w:lang w:val="en-US" w:eastAsia="zh-CN"/>
              </w:rPr>
              <w:t>190~230℃。</w:t>
            </w:r>
            <w:r>
              <w:rPr>
                <w:rFonts w:hint="default" w:ascii="Times New Roman" w:hAnsi="Times New Roman" w:cs="Times New Roman"/>
                <w:sz w:val="24"/>
                <w:szCs w:val="24"/>
                <w:lang w:val="en-US" w:eastAsia="zh-CN"/>
              </w:rPr>
              <w:t>油脂不会分解，故不产生油烟</w:t>
            </w:r>
            <w:r>
              <w:rPr>
                <w:rFonts w:hint="default" w:cs="Times New Roman"/>
                <w:sz w:val="24"/>
                <w:szCs w:val="24"/>
                <w:lang w:val="en-US" w:eastAsia="zh-CN"/>
              </w:rPr>
              <w:t>。</w:t>
            </w:r>
            <w:r>
              <w:rPr>
                <w:rFonts w:hint="default" w:ascii="Times New Roman" w:hAnsi="Times New Roman" w:eastAsia="宋体" w:cs="Times New Roman"/>
                <w:sz w:val="24"/>
                <w:szCs w:val="24"/>
              </w:rPr>
              <w:t>此工序产生杂质（S</w:t>
            </w:r>
            <w:r>
              <w:rPr>
                <w:rFonts w:hint="default" w:cs="Times New Roman"/>
                <w:sz w:val="24"/>
                <w:szCs w:val="24"/>
                <w:lang w:val="en-US" w:eastAsia="zh-CN"/>
              </w:rPr>
              <w:t>3</w:t>
            </w:r>
            <w:r>
              <w:rPr>
                <w:rFonts w:hint="default" w:ascii="Times New Roman" w:hAnsi="Times New Roman" w:eastAsia="宋体" w:cs="Times New Roman"/>
                <w:sz w:val="24"/>
                <w:szCs w:val="24"/>
              </w:rPr>
              <w:t>）</w:t>
            </w:r>
            <w:r>
              <w:rPr>
                <w:rFonts w:hint="default" w:cs="Times New Roman"/>
                <w:sz w:val="24"/>
                <w:szCs w:val="24"/>
                <w:lang w:eastAsia="zh-CN"/>
              </w:rPr>
              <w:t>、</w:t>
            </w:r>
            <w:r>
              <w:rPr>
                <w:rFonts w:hint="default" w:ascii="Times New Roman" w:hAnsi="Times New Roman" w:eastAsia="宋体" w:cs="Times New Roman"/>
                <w:sz w:val="24"/>
                <w:szCs w:val="24"/>
              </w:rPr>
              <w:t>设备运行噪声（N）。</w:t>
            </w:r>
          </w:p>
          <w:p w14:paraId="14C3FC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cs="Times New Roman"/>
                <w:sz w:val="24"/>
                <w:szCs w:val="24"/>
                <w:lang w:eastAsia="zh-CN"/>
              </w:rPr>
            </w:pPr>
            <w:r>
              <w:rPr>
                <w:rFonts w:hint="default" w:cs="Times New Roman"/>
                <w:b/>
                <w:bCs/>
                <w:color w:val="auto"/>
                <w:sz w:val="24"/>
                <w:szCs w:val="24"/>
                <w:lang w:val="en-US" w:eastAsia="zh-CN"/>
              </w:rPr>
              <w:t>配料、搅拌、混匀：</w:t>
            </w:r>
            <w:r>
              <w:rPr>
                <w:rFonts w:hint="default" w:cs="Times New Roman"/>
                <w:b w:val="0"/>
                <w:bCs w:val="0"/>
                <w:color w:val="auto"/>
                <w:sz w:val="24"/>
                <w:szCs w:val="24"/>
                <w:lang w:val="en-US" w:eastAsia="zh-CN"/>
              </w:rPr>
              <w:t>谷物粉、谷物淀粉、植物油、水等按照一定的比例经人工</w:t>
            </w:r>
            <w:r>
              <w:rPr>
                <w:rFonts w:hint="eastAsia" w:ascii="Times New Roman" w:hAnsi="Times New Roman" w:cs="Times New Roman"/>
                <w:b w:val="0"/>
                <w:bCs w:val="0"/>
                <w:color w:val="auto"/>
                <w:sz w:val="24"/>
                <w:szCs w:val="24"/>
                <w:lang w:val="en-US" w:eastAsia="zh-CN"/>
              </w:rPr>
              <w:t>配制</w:t>
            </w:r>
            <w:r>
              <w:rPr>
                <w:rFonts w:hint="default" w:cs="Times New Roman"/>
                <w:b w:val="0"/>
                <w:bCs w:val="0"/>
                <w:color w:val="auto"/>
                <w:sz w:val="24"/>
                <w:szCs w:val="24"/>
                <w:lang w:val="en-US" w:eastAsia="zh-CN"/>
              </w:rPr>
              <w:t>后投入密闭拌料机中搅拌、混匀。同时将果粉、糖等按照一定比例经人工</w:t>
            </w:r>
            <w:r>
              <w:rPr>
                <w:rFonts w:hint="eastAsia" w:cs="Times New Roman"/>
                <w:b w:val="0"/>
                <w:bCs w:val="0"/>
                <w:color w:val="auto"/>
                <w:sz w:val="24"/>
                <w:szCs w:val="24"/>
                <w:lang w:val="en-US" w:eastAsia="zh-CN"/>
              </w:rPr>
              <w:t>配制</w:t>
            </w:r>
            <w:r>
              <w:rPr>
                <w:rFonts w:hint="default" w:cs="Times New Roman"/>
                <w:b w:val="0"/>
                <w:bCs w:val="0"/>
                <w:color w:val="auto"/>
                <w:sz w:val="24"/>
                <w:szCs w:val="24"/>
                <w:lang w:val="en-US" w:eastAsia="zh-CN"/>
              </w:rPr>
              <w:t>后投入打浆机中搅拌，配制注心馅料。配料、搅拌、混匀在密闭配料间进行。此工序产生</w:t>
            </w:r>
            <w:r>
              <w:rPr>
                <w:rFonts w:hint="eastAsia" w:cs="Times New Roman"/>
                <w:b w:val="0"/>
                <w:bCs w:val="0"/>
                <w:color w:val="auto"/>
                <w:sz w:val="24"/>
                <w:szCs w:val="24"/>
                <w:lang w:val="en-US" w:eastAsia="zh-CN"/>
              </w:rPr>
              <w:t>配料</w:t>
            </w:r>
            <w:r>
              <w:rPr>
                <w:rFonts w:hint="default" w:cs="Times New Roman"/>
                <w:b w:val="0"/>
                <w:bCs w:val="0"/>
                <w:color w:val="auto"/>
                <w:sz w:val="24"/>
                <w:szCs w:val="24"/>
                <w:lang w:val="en-US" w:eastAsia="zh-CN"/>
              </w:rPr>
              <w:t>粉尘（G1）、</w:t>
            </w:r>
            <w:r>
              <w:rPr>
                <w:rFonts w:hint="default" w:ascii="Times New Roman" w:hAnsi="Times New Roman" w:eastAsia="宋体" w:cs="Times New Roman"/>
                <w:sz w:val="24"/>
                <w:szCs w:val="24"/>
              </w:rPr>
              <w:t>设备运行噪声（N）</w:t>
            </w:r>
            <w:r>
              <w:rPr>
                <w:rFonts w:hint="default" w:cs="Times New Roman"/>
                <w:sz w:val="24"/>
                <w:szCs w:val="24"/>
                <w:lang w:eastAsia="zh-CN"/>
              </w:rPr>
              <w:t>。</w:t>
            </w:r>
          </w:p>
          <w:p w14:paraId="2F0F11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cs="Times New Roman"/>
                <w:sz w:val="24"/>
                <w:szCs w:val="24"/>
                <w:lang w:val="en-US" w:eastAsia="zh-CN"/>
              </w:rPr>
            </w:pPr>
            <w:r>
              <w:rPr>
                <w:rFonts w:hint="default" w:cs="Times New Roman"/>
                <w:b/>
                <w:bCs/>
                <w:sz w:val="24"/>
                <w:szCs w:val="24"/>
                <w:lang w:val="en-US" w:eastAsia="zh-CN"/>
              </w:rPr>
              <w:t>过筛：</w:t>
            </w:r>
            <w:r>
              <w:rPr>
                <w:rFonts w:hint="default" w:cs="Times New Roman"/>
                <w:sz w:val="24"/>
                <w:szCs w:val="24"/>
                <w:lang w:val="en-US" w:eastAsia="zh-CN"/>
              </w:rPr>
              <w:t>配制好的物料（湿料）经过筛机处理，确保物料均匀。此工序产生废弃物料（S4）、设备运行噪声（N）。</w:t>
            </w:r>
          </w:p>
          <w:p w14:paraId="7D00A5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color w:val="auto"/>
                <w:sz w:val="24"/>
                <w:szCs w:val="24"/>
                <w:lang w:val="en-US" w:eastAsia="zh-CN"/>
              </w:rPr>
              <w:t>膨化：</w:t>
            </w:r>
            <w:r>
              <w:rPr>
                <w:rFonts w:hint="default" w:cs="Times New Roman"/>
                <w:b w:val="0"/>
                <w:bCs/>
                <w:color w:val="auto"/>
                <w:sz w:val="24"/>
                <w:szCs w:val="24"/>
                <w:lang w:val="en-US" w:eastAsia="zh-CN"/>
              </w:rPr>
              <w:t>均匀</w:t>
            </w:r>
            <w:r>
              <w:rPr>
                <w:rFonts w:hint="default" w:ascii="Times New Roman" w:hAnsi="Times New Roman" w:eastAsia="宋体" w:cs="Times New Roman"/>
                <w:b w:val="0"/>
                <w:bCs/>
                <w:color w:val="auto"/>
                <w:sz w:val="24"/>
                <w:szCs w:val="24"/>
                <w:lang w:val="en-US" w:eastAsia="zh-CN"/>
              </w:rPr>
              <w:t>后的物料通过膨化机膨胀</w:t>
            </w:r>
            <w:r>
              <w:rPr>
                <w:rFonts w:hint="default" w:cs="Times New Roman"/>
                <w:b w:val="0"/>
                <w:bCs/>
                <w:color w:val="auto"/>
                <w:sz w:val="24"/>
                <w:szCs w:val="24"/>
                <w:lang w:val="en-US" w:eastAsia="zh-CN"/>
              </w:rPr>
              <w:t>、定型、</w:t>
            </w:r>
            <w:r>
              <w:rPr>
                <w:rFonts w:hint="default" w:ascii="Times New Roman" w:hAnsi="Times New Roman" w:eastAsia="宋体" w:cs="Times New Roman"/>
                <w:b w:val="0"/>
                <w:bCs/>
                <w:color w:val="auto"/>
                <w:sz w:val="24"/>
                <w:szCs w:val="24"/>
                <w:lang w:val="en-US" w:eastAsia="zh-CN"/>
              </w:rPr>
              <w:t>形成多孔结构，</w:t>
            </w:r>
            <w:r>
              <w:rPr>
                <w:rFonts w:hint="default" w:cs="Times New Roman"/>
                <w:b w:val="0"/>
                <w:bCs/>
                <w:color w:val="auto"/>
                <w:sz w:val="24"/>
                <w:szCs w:val="24"/>
                <w:lang w:val="en-US" w:eastAsia="zh-CN"/>
              </w:rPr>
              <w:t>采用电加热，膨化机温度约120</w:t>
            </w:r>
            <w:r>
              <w:rPr>
                <w:rFonts w:hint="default" w:ascii="Times New Roman" w:hAnsi="Times New Roman"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。此工序产生</w:t>
            </w:r>
            <w:r>
              <w:rPr>
                <w:rFonts w:hint="eastAsia" w:cs="Times New Roman"/>
                <w:b w:val="0"/>
                <w:bCs/>
                <w:color w:val="auto"/>
                <w:sz w:val="24"/>
                <w:szCs w:val="24"/>
                <w:lang w:val="en-US" w:eastAsia="zh-CN"/>
              </w:rPr>
              <w:t>油烟废气（G2）、</w:t>
            </w:r>
            <w:r>
              <w:rPr>
                <w:rFonts w:hint="default" w:ascii="Times New Roman" w:hAnsi="Times New Roman" w:eastAsia="宋体" w:cs="Times New Roman"/>
                <w:b w:val="0"/>
                <w:bCs/>
                <w:color w:val="auto"/>
                <w:sz w:val="24"/>
                <w:szCs w:val="24"/>
                <w:lang w:val="en-US" w:eastAsia="zh-CN"/>
              </w:rPr>
              <w:t>设备运行噪声（N）。</w:t>
            </w:r>
          </w:p>
          <w:p w14:paraId="3404BA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eastAsia="宋体" w:cs="Times New Roman"/>
                <w:sz w:val="24"/>
                <w:szCs w:val="24"/>
              </w:rPr>
            </w:pPr>
            <w:r>
              <w:rPr>
                <w:rFonts w:hint="default" w:cs="Times New Roman"/>
                <w:b/>
                <w:bCs w:val="0"/>
                <w:color w:val="auto"/>
                <w:sz w:val="24"/>
                <w:szCs w:val="24"/>
                <w:lang w:val="en-US" w:eastAsia="zh-CN"/>
              </w:rPr>
              <w:t>注心：</w:t>
            </w:r>
            <w:r>
              <w:rPr>
                <w:rFonts w:hint="default"/>
                <w:bCs/>
                <w:color w:val="auto"/>
                <w:sz w:val="24"/>
              </w:rPr>
              <w:t>膨化机生产出空心管的瞬间</w:t>
            </w:r>
            <w:r>
              <w:rPr>
                <w:rFonts w:hint="default"/>
                <w:bCs/>
                <w:color w:val="auto"/>
                <w:sz w:val="24"/>
                <w:lang w:val="en-US" w:eastAsia="zh-CN"/>
              </w:rPr>
              <w:t>通过注心机将馅料</w:t>
            </w:r>
            <w:r>
              <w:rPr>
                <w:rFonts w:hint="default"/>
                <w:bCs/>
                <w:color w:val="auto"/>
                <w:sz w:val="24"/>
              </w:rPr>
              <w:t>注</w:t>
            </w:r>
            <w:r>
              <w:rPr>
                <w:rFonts w:hint="default"/>
                <w:bCs/>
                <w:color w:val="auto"/>
                <w:sz w:val="24"/>
                <w:lang w:val="en-US" w:eastAsia="zh-CN"/>
              </w:rPr>
              <w:t>入</w:t>
            </w:r>
            <w:r>
              <w:rPr>
                <w:rFonts w:hint="default" w:cs="Times New Roman"/>
                <w:b w:val="0"/>
                <w:bCs/>
                <w:color w:val="auto"/>
                <w:sz w:val="24"/>
                <w:szCs w:val="24"/>
                <w:lang w:val="en-US" w:eastAsia="zh-CN"/>
              </w:rPr>
              <w:t>。</w:t>
            </w:r>
            <w:r>
              <w:rPr>
                <w:rFonts w:hint="default" w:ascii="Times New Roman" w:hAnsi="Times New Roman" w:eastAsia="宋体" w:cs="Times New Roman"/>
                <w:sz w:val="24"/>
                <w:szCs w:val="24"/>
              </w:rPr>
              <w:t>此工序产生设备运行噪声（N）。</w:t>
            </w:r>
          </w:p>
          <w:p w14:paraId="5A57D5F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烘烤：</w:t>
            </w:r>
            <w:r>
              <w:rPr>
                <w:rFonts w:hint="default" w:cs="Times New Roman"/>
                <w:b w:val="0"/>
                <w:bCs w:val="0"/>
                <w:sz w:val="24"/>
                <w:szCs w:val="24"/>
                <w:lang w:val="en-US" w:eastAsia="zh-CN"/>
              </w:rPr>
              <w:t>通过提升机将产品输送至</w:t>
            </w:r>
            <w:r>
              <w:rPr>
                <w:rFonts w:hint="default" w:ascii="Times New Roman" w:hAnsi="Times New Roman" w:eastAsia="宋体" w:cs="Times New Roman"/>
                <w:sz w:val="24"/>
                <w:szCs w:val="24"/>
                <w:lang w:val="en-US" w:eastAsia="zh-CN"/>
              </w:rPr>
              <w:t>烤箱烘烤</w:t>
            </w:r>
            <w:r>
              <w:rPr>
                <w:rFonts w:hint="default" w:cs="Times New Roman"/>
                <w:sz w:val="24"/>
                <w:szCs w:val="24"/>
                <w:lang w:val="en-US" w:eastAsia="zh-CN"/>
              </w:rPr>
              <w:t>，增加口感，减少水分，采用电加热，烤箱温度约为65-70</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此工序</w:t>
            </w:r>
            <w:r>
              <w:rPr>
                <w:rFonts w:hint="default" w:cs="Times New Roman"/>
                <w:sz w:val="24"/>
                <w:szCs w:val="24"/>
                <w:lang w:val="en-US" w:eastAsia="zh-CN"/>
              </w:rPr>
              <w:t>产生</w:t>
            </w:r>
            <w:r>
              <w:rPr>
                <w:rFonts w:hint="eastAsia" w:cs="Times New Roman"/>
                <w:sz w:val="24"/>
                <w:szCs w:val="24"/>
                <w:lang w:val="en-US" w:eastAsia="zh-CN"/>
              </w:rPr>
              <w:t>油烟废气（G3）、</w:t>
            </w:r>
            <w:r>
              <w:rPr>
                <w:rFonts w:hint="default" w:ascii="Times New Roman" w:hAnsi="Times New Roman" w:eastAsia="宋体" w:cs="Times New Roman"/>
                <w:sz w:val="24"/>
                <w:szCs w:val="24"/>
              </w:rPr>
              <w:t>设备运行噪声（N）。</w:t>
            </w:r>
          </w:p>
          <w:p w14:paraId="43A75E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sz w:val="24"/>
                <w:lang w:val="en-US" w:eastAsia="zh-CN"/>
              </w:rPr>
            </w:pPr>
            <w:r>
              <w:rPr>
                <w:rFonts w:hint="default" w:ascii="Times New Roman" w:hAnsi="Times New Roman" w:eastAsia="宋体" w:cs="Times New Roman"/>
                <w:b/>
                <w:bCs/>
                <w:kern w:val="2"/>
                <w:sz w:val="24"/>
                <w:szCs w:val="24"/>
                <w:lang w:val="en-US" w:eastAsia="zh-CN" w:bidi="ar-SA"/>
              </w:rPr>
              <w:t>调味：</w:t>
            </w:r>
            <w:r>
              <w:rPr>
                <w:rFonts w:hint="default" w:cs="Times New Roman"/>
                <w:b w:val="0"/>
                <w:bCs w:val="0"/>
                <w:kern w:val="2"/>
                <w:sz w:val="24"/>
                <w:szCs w:val="24"/>
                <w:lang w:val="en-US" w:eastAsia="zh-CN" w:bidi="ar-SA"/>
              </w:rPr>
              <w:t>在密闭滚筒里通过淋</w:t>
            </w:r>
            <w:r>
              <w:rPr>
                <w:rFonts w:hint="default" w:ascii="Times New Roman" w:hAnsi="Times New Roman" w:eastAsia="宋体" w:cs="Times New Roman"/>
                <w:b w:val="0"/>
                <w:bCs w:val="0"/>
                <w:kern w:val="2"/>
                <w:sz w:val="24"/>
                <w:szCs w:val="24"/>
                <w:lang w:val="en-US" w:eastAsia="zh-CN" w:bidi="ar-SA"/>
              </w:rPr>
              <w:t>洒</w:t>
            </w:r>
            <w:r>
              <w:rPr>
                <w:rFonts w:hint="default" w:cs="Times New Roman"/>
                <w:b w:val="0"/>
                <w:bCs w:val="0"/>
                <w:kern w:val="2"/>
                <w:sz w:val="24"/>
                <w:szCs w:val="24"/>
                <w:lang w:val="en-US" w:eastAsia="zh-CN" w:bidi="ar-SA"/>
              </w:rPr>
              <w:t>植物油、果粉</w:t>
            </w:r>
            <w:r>
              <w:rPr>
                <w:rFonts w:hint="default" w:ascii="Times New Roman" w:hAnsi="Times New Roman" w:eastAsia="宋体" w:cs="Times New Roman"/>
                <w:b w:val="0"/>
                <w:bCs w:val="0"/>
                <w:kern w:val="2"/>
                <w:sz w:val="24"/>
                <w:szCs w:val="24"/>
                <w:lang w:val="en-US" w:eastAsia="zh-CN" w:bidi="ar-SA"/>
              </w:rPr>
              <w:t>等调味料对产品进行调味。</w:t>
            </w:r>
            <w:r>
              <w:rPr>
                <w:rFonts w:hint="default"/>
                <w:sz w:val="24"/>
                <w:lang w:val="en-US" w:eastAsia="zh-CN"/>
              </w:rPr>
              <w:t>此工序产生废油物（S5）、</w:t>
            </w:r>
            <w:r>
              <w:rPr>
                <w:rFonts w:hint="default" w:ascii="Times New Roman" w:hAnsi="Times New Roman" w:eastAsia="宋体" w:cs="Times New Roman"/>
                <w:sz w:val="24"/>
                <w:szCs w:val="24"/>
              </w:rPr>
              <w:t>设备运行噪声（N）</w:t>
            </w:r>
            <w:r>
              <w:rPr>
                <w:rFonts w:hint="default"/>
                <w:sz w:val="24"/>
                <w:lang w:val="en-US" w:eastAsia="zh-CN"/>
              </w:rPr>
              <w:t>。</w:t>
            </w:r>
          </w:p>
          <w:p w14:paraId="515E74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sz w:val="24"/>
                <w:lang w:val="en-US" w:eastAsia="zh-CN"/>
              </w:rPr>
            </w:pPr>
            <w:r>
              <w:rPr>
                <w:rFonts w:hint="default" w:ascii="Times New Roman" w:hAnsi="Times New Roman" w:eastAsia="宋体" w:cs="Times New Roman"/>
                <w:b/>
                <w:bCs/>
                <w:kern w:val="2"/>
                <w:sz w:val="24"/>
                <w:szCs w:val="24"/>
                <w:lang w:val="en-US" w:eastAsia="zh-CN" w:bidi="ar-SA"/>
              </w:rPr>
              <w:t>金属检测：</w:t>
            </w:r>
            <w:r>
              <w:rPr>
                <w:rFonts w:hint="default" w:ascii="Times New Roman" w:hAnsi="Times New Roman" w:eastAsia="宋体" w:cs="Times New Roman"/>
                <w:b w:val="0"/>
                <w:bCs w:val="0"/>
                <w:kern w:val="2"/>
                <w:sz w:val="24"/>
                <w:szCs w:val="24"/>
                <w:lang w:val="en-US" w:eastAsia="zh-CN" w:bidi="ar-SA"/>
              </w:rPr>
              <w:t>按照相关质量标准</w:t>
            </w:r>
            <w:r>
              <w:rPr>
                <w:rFonts w:hint="default" w:cs="Times New Roman"/>
                <w:b w:val="0"/>
                <w:bCs w:val="0"/>
                <w:kern w:val="2"/>
                <w:sz w:val="24"/>
                <w:szCs w:val="24"/>
                <w:lang w:val="en-US" w:eastAsia="zh-CN" w:bidi="ar-SA"/>
              </w:rPr>
              <w:t>利用金属检测机</w:t>
            </w:r>
            <w:r>
              <w:rPr>
                <w:rFonts w:hint="default" w:ascii="Times New Roman" w:hAnsi="Times New Roman" w:eastAsia="宋体" w:cs="Times New Roman"/>
                <w:b w:val="0"/>
                <w:bCs w:val="0"/>
                <w:kern w:val="2"/>
                <w:sz w:val="24"/>
                <w:szCs w:val="24"/>
                <w:lang w:val="en-US" w:eastAsia="zh-CN" w:bidi="ar-SA"/>
              </w:rPr>
              <w:t>对产品进行金属检测</w:t>
            </w:r>
            <w:r>
              <w:rPr>
                <w:rFonts w:hint="default" w:cs="Times New Roman"/>
                <w:b w:val="0"/>
                <w:bCs w:val="0"/>
                <w:kern w:val="2"/>
                <w:sz w:val="24"/>
                <w:szCs w:val="24"/>
                <w:lang w:val="en-US" w:eastAsia="zh-CN" w:bidi="ar-SA"/>
              </w:rPr>
              <w:t>，</w:t>
            </w:r>
            <w:r>
              <w:rPr>
                <w:rFonts w:hint="default"/>
                <w:sz w:val="24"/>
              </w:rPr>
              <w:t>防止金属异物进入产品，主要是检测铁等金属，不涉及放射性检测</w:t>
            </w:r>
            <w:r>
              <w:rPr>
                <w:rFonts w:hint="default" w:ascii="Times New Roman" w:hAnsi="Times New Roman" w:eastAsia="宋体" w:cs="Times New Roman"/>
                <w:b w:val="0"/>
                <w:bCs w:val="0"/>
                <w:kern w:val="2"/>
                <w:sz w:val="24"/>
                <w:szCs w:val="24"/>
                <w:lang w:val="en-US" w:eastAsia="zh-CN" w:bidi="ar-SA"/>
              </w:rPr>
              <w:t>。</w:t>
            </w:r>
            <w:r>
              <w:rPr>
                <w:rFonts w:hint="default" w:cs="Times New Roman"/>
                <w:b w:val="0"/>
                <w:bCs w:val="0"/>
                <w:kern w:val="2"/>
                <w:sz w:val="24"/>
                <w:szCs w:val="24"/>
                <w:lang w:val="en-US" w:eastAsia="zh-CN" w:bidi="ar-SA"/>
              </w:rPr>
              <w:t>此工序产生不合格品（S6）。</w:t>
            </w:r>
          </w:p>
          <w:p w14:paraId="60E159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内包：</w:t>
            </w:r>
            <w:r>
              <w:rPr>
                <w:rFonts w:hint="default" w:cs="Times New Roman"/>
                <w:b w:val="0"/>
                <w:bCs w:val="0"/>
                <w:kern w:val="2"/>
                <w:sz w:val="24"/>
                <w:szCs w:val="24"/>
                <w:lang w:val="en-US" w:eastAsia="zh-CN" w:bidi="ar-SA"/>
              </w:rPr>
              <w:t>经紫外线灭菌</w:t>
            </w:r>
            <w:r>
              <w:rPr>
                <w:rFonts w:hint="default" w:ascii="Times New Roman" w:hAnsi="Times New Roman" w:eastAsia="宋体" w:cs="Times New Roman"/>
                <w:b w:val="0"/>
                <w:bCs w:val="0"/>
                <w:kern w:val="2"/>
                <w:sz w:val="24"/>
                <w:szCs w:val="24"/>
                <w:lang w:val="en-US" w:eastAsia="zh-CN" w:bidi="ar-SA"/>
              </w:rPr>
              <w:t>后</w:t>
            </w:r>
            <w:r>
              <w:rPr>
                <w:rFonts w:hint="default"/>
                <w:sz w:val="24"/>
                <w:szCs w:val="24"/>
                <w:lang w:val="en-US" w:eastAsia="zh-CN"/>
              </w:rPr>
              <w:t>通过包装机</w:t>
            </w:r>
            <w:r>
              <w:rPr>
                <w:rFonts w:hint="default" w:ascii="Times New Roman" w:hAnsi="Times New Roman" w:eastAsia="宋体" w:cs="Times New Roman"/>
                <w:b w:val="0"/>
                <w:bCs w:val="0"/>
                <w:kern w:val="2"/>
                <w:sz w:val="24"/>
                <w:szCs w:val="24"/>
                <w:lang w:val="en-US" w:eastAsia="zh-CN" w:bidi="ar-SA"/>
              </w:rPr>
              <w:t>对产品进行内包装</w:t>
            </w:r>
            <w:r>
              <w:rPr>
                <w:rFonts w:hint="default" w:cs="Times New Roman"/>
                <w:b w:val="0"/>
                <w:bCs w:val="0"/>
                <w:kern w:val="2"/>
                <w:sz w:val="24"/>
                <w:szCs w:val="24"/>
                <w:lang w:val="en-US" w:eastAsia="zh-CN" w:bidi="ar-SA"/>
              </w:rPr>
              <w:t>，利用激光打码机打上生产日期、批号等信息</w:t>
            </w:r>
            <w:r>
              <w:rPr>
                <w:rFonts w:hint="default" w:ascii="Times New Roman" w:hAnsi="Times New Roman" w:eastAsia="宋体" w:cs="Times New Roman"/>
                <w:b w:val="0"/>
                <w:bCs w:val="0"/>
                <w:kern w:val="2"/>
                <w:sz w:val="24"/>
                <w:szCs w:val="24"/>
                <w:lang w:val="en-US" w:eastAsia="zh-CN" w:bidi="ar-SA"/>
              </w:rPr>
              <w:t>。</w:t>
            </w:r>
            <w:r>
              <w:rPr>
                <w:rFonts w:hint="default" w:cs="Times New Roman"/>
                <w:b w:val="0"/>
                <w:bCs w:val="0"/>
                <w:sz w:val="24"/>
                <w:szCs w:val="24"/>
                <w:lang w:val="en-US" w:eastAsia="zh-CN"/>
              </w:rPr>
              <w:t>激光打码通过高能激光束与材料的相互作用实现精准、永久标记，不产生耗材和污染。</w:t>
            </w:r>
            <w:r>
              <w:rPr>
                <w:rFonts w:hint="default" w:ascii="Times New Roman" w:hAnsi="Times New Roman" w:eastAsia="宋体" w:cs="Times New Roman"/>
                <w:sz w:val="24"/>
                <w:szCs w:val="24"/>
              </w:rPr>
              <w:t>此工序产生废包装材料（S</w:t>
            </w:r>
            <w:r>
              <w:rPr>
                <w:rFonts w:hint="default" w:cs="Times New Roman"/>
                <w:sz w:val="24"/>
                <w:szCs w:val="24"/>
                <w:lang w:val="en-US" w:eastAsia="zh-CN"/>
              </w:rPr>
              <w:t>7</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、废紫外灯管（S</w:t>
            </w:r>
            <w:r>
              <w:rPr>
                <w:rFonts w:hint="default" w:cs="Times New Roman"/>
                <w:sz w:val="24"/>
                <w:szCs w:val="24"/>
                <w:lang w:val="en-US" w:eastAsia="zh-CN"/>
              </w:rPr>
              <w:t>8</w:t>
            </w:r>
            <w:r>
              <w:rPr>
                <w:rFonts w:hint="default" w:ascii="Times New Roman" w:hAnsi="Times New Roman" w:eastAsia="宋体" w:cs="Times New Roman"/>
                <w:sz w:val="24"/>
                <w:szCs w:val="24"/>
                <w:lang w:eastAsia="zh-CN"/>
              </w:rPr>
              <w:t>）</w:t>
            </w:r>
            <w:r>
              <w:rPr>
                <w:rFonts w:hint="default" w:cs="Times New Roman"/>
                <w:sz w:val="24"/>
                <w:szCs w:val="24"/>
                <w:lang w:eastAsia="zh-CN"/>
              </w:rPr>
              <w:t>、</w:t>
            </w:r>
            <w:r>
              <w:rPr>
                <w:rFonts w:hint="default" w:ascii="Times New Roman" w:hAnsi="Times New Roman" w:eastAsia="宋体" w:cs="Times New Roman"/>
                <w:sz w:val="24"/>
                <w:szCs w:val="24"/>
              </w:rPr>
              <w:t>设备运行噪声（N）</w:t>
            </w:r>
            <w:r>
              <w:rPr>
                <w:rFonts w:hint="default" w:ascii="Times New Roman" w:hAnsi="Times New Roman" w:eastAsia="宋体" w:cs="Times New Roman"/>
                <w:sz w:val="24"/>
                <w:szCs w:val="24"/>
                <w:lang w:eastAsia="zh-CN"/>
              </w:rPr>
              <w:t>。</w:t>
            </w:r>
          </w:p>
          <w:p w14:paraId="0C7B55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b/>
                <w:bCs/>
                <w:kern w:val="2"/>
                <w:sz w:val="24"/>
                <w:szCs w:val="24"/>
                <w:lang w:val="en-US" w:eastAsia="zh-CN" w:bidi="ar-SA"/>
              </w:rPr>
              <w:t>外包：</w:t>
            </w:r>
            <w:r>
              <w:rPr>
                <w:rFonts w:hint="default" w:ascii="Times New Roman" w:hAnsi="Times New Roman" w:eastAsia="宋体" w:cs="Times New Roman"/>
                <w:b w:val="0"/>
                <w:bCs w:val="0"/>
                <w:kern w:val="0"/>
                <w:sz w:val="24"/>
                <w:szCs w:val="24"/>
                <w:lang w:val="en-US" w:eastAsia="zh-CN" w:bidi="ar-SA"/>
              </w:rPr>
              <w:t>内包好的产品</w:t>
            </w:r>
            <w:r>
              <w:rPr>
                <w:rFonts w:hint="default" w:eastAsia="宋体" w:cs="Times New Roman"/>
                <w:b w:val="0"/>
                <w:bCs w:val="0"/>
                <w:kern w:val="0"/>
                <w:sz w:val="24"/>
                <w:szCs w:val="24"/>
                <w:lang w:val="en-US" w:eastAsia="zh-CN" w:bidi="ar-SA"/>
              </w:rPr>
              <w:t>由人工</w:t>
            </w:r>
            <w:r>
              <w:rPr>
                <w:rFonts w:hint="default" w:ascii="Times New Roman" w:hAnsi="Times New Roman" w:eastAsia="宋体" w:cs="Times New Roman"/>
                <w:kern w:val="0"/>
                <w:sz w:val="24"/>
              </w:rPr>
              <w:t>传递至外包装间进行人工装箱、封口</w:t>
            </w:r>
            <w:r>
              <w:rPr>
                <w:rFonts w:hint="default" w:ascii="Times New Roman" w:hAnsi="Times New Roman" w:eastAsia="宋体" w:cs="Times New Roman"/>
                <w:b w:val="0"/>
                <w:bCs w:val="0"/>
                <w:kern w:val="0"/>
                <w:sz w:val="24"/>
                <w:szCs w:val="24"/>
                <w:lang w:val="en-US" w:eastAsia="zh-CN" w:bidi="ar-SA"/>
              </w:rPr>
              <w:t>。</w:t>
            </w:r>
            <w:r>
              <w:rPr>
                <w:rFonts w:hint="default" w:ascii="Times New Roman" w:hAnsi="Times New Roman" w:eastAsia="宋体" w:cs="Times New Roman"/>
                <w:b w:val="0"/>
                <w:bCs w:val="0"/>
                <w:kern w:val="0"/>
                <w:sz w:val="24"/>
                <w:szCs w:val="24"/>
              </w:rPr>
              <w:t>此</w:t>
            </w:r>
            <w:r>
              <w:rPr>
                <w:rFonts w:hint="default" w:ascii="Times New Roman" w:hAnsi="Times New Roman" w:eastAsia="宋体" w:cs="Times New Roman"/>
                <w:kern w:val="0"/>
                <w:sz w:val="24"/>
                <w:szCs w:val="24"/>
              </w:rPr>
              <w:t>工序产生废包装材料（S</w:t>
            </w:r>
            <w:r>
              <w:rPr>
                <w:rFonts w:hint="default" w:eastAsia="宋体" w:cs="Times New Roman"/>
                <w:kern w:val="0"/>
                <w:sz w:val="24"/>
                <w:szCs w:val="24"/>
                <w:lang w:val="en-US" w:eastAsia="zh-CN"/>
              </w:rPr>
              <w:t>9</w:t>
            </w:r>
            <w:r>
              <w:rPr>
                <w:rFonts w:hint="default" w:ascii="Times New Roman" w:hAnsi="Times New Roman" w:eastAsia="宋体" w:cs="Times New Roman"/>
                <w:kern w:val="0"/>
                <w:sz w:val="24"/>
                <w:szCs w:val="24"/>
              </w:rPr>
              <w:t>）。</w:t>
            </w:r>
          </w:p>
          <w:p w14:paraId="514C19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cs="Times New Roman"/>
                <w:kern w:val="0"/>
                <w:sz w:val="24"/>
                <w:szCs w:val="24"/>
                <w:lang w:val="en-US" w:eastAsia="zh-CN"/>
              </w:rPr>
            </w:pPr>
            <w:r>
              <w:rPr>
                <w:rFonts w:hint="default" w:ascii="Times New Roman" w:hAnsi="Times New Roman" w:eastAsia="宋体" w:cs="Times New Roman"/>
                <w:b/>
                <w:bCs/>
                <w:kern w:val="2"/>
                <w:sz w:val="24"/>
                <w:szCs w:val="24"/>
                <w:lang w:val="en-US" w:eastAsia="zh-CN" w:bidi="ar-SA"/>
              </w:rPr>
              <w:t>质检：</w:t>
            </w:r>
            <w:r>
              <w:rPr>
                <w:rFonts w:hint="default" w:cs="Times New Roman"/>
                <w:b w:val="0"/>
                <w:bCs w:val="0"/>
                <w:kern w:val="2"/>
                <w:sz w:val="24"/>
                <w:szCs w:val="24"/>
                <w:lang w:val="en-US" w:eastAsia="zh-CN" w:bidi="ar-SA"/>
              </w:rPr>
              <w:t>委托相关监测公司对产品</w:t>
            </w:r>
            <w:r>
              <w:rPr>
                <w:rFonts w:hint="default" w:ascii="Times New Roman" w:hAnsi="Times New Roman" w:cs="Times New Roman"/>
                <w:kern w:val="0"/>
                <w:sz w:val="24"/>
                <w:szCs w:val="24"/>
                <w:lang w:val="en-US" w:eastAsia="zh-CN"/>
              </w:rPr>
              <w:t>进行质量检测，不合格品报废。此工序会产生不合格品（S</w:t>
            </w:r>
            <w:r>
              <w:rPr>
                <w:rFonts w:hint="default" w:cs="Times New Roman"/>
                <w:kern w:val="0"/>
                <w:sz w:val="24"/>
                <w:szCs w:val="24"/>
                <w:lang w:val="en-US" w:eastAsia="zh-CN"/>
              </w:rPr>
              <w:t>10</w:t>
            </w:r>
            <w:r>
              <w:rPr>
                <w:rFonts w:hint="default" w:ascii="Times New Roman" w:hAnsi="Times New Roman" w:cs="Times New Roman"/>
                <w:kern w:val="0"/>
                <w:sz w:val="24"/>
                <w:szCs w:val="24"/>
                <w:lang w:val="en-US" w:eastAsia="zh-CN"/>
              </w:rPr>
              <w:t>）。</w:t>
            </w:r>
          </w:p>
          <w:p w14:paraId="03727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kern w:val="0"/>
                <w:sz w:val="24"/>
                <w:szCs w:val="24"/>
                <w:lang w:val="en-US" w:eastAsia="zh-CN"/>
              </w:rPr>
            </w:pPr>
            <w:r>
              <w:rPr>
                <w:rFonts w:hint="default" w:ascii="Times New Roman" w:hAnsi="Times New Roman" w:cs="Times New Roman"/>
                <w:b/>
                <w:bCs/>
                <w:kern w:val="0"/>
                <w:sz w:val="24"/>
                <w:szCs w:val="24"/>
                <w:lang w:val="en-US" w:eastAsia="zh-CN"/>
              </w:rPr>
              <w:t>入库：</w:t>
            </w:r>
            <w:r>
              <w:rPr>
                <w:rFonts w:hint="default" w:ascii="Times New Roman" w:hAnsi="Times New Roman" w:cs="Times New Roman"/>
                <w:kern w:val="0"/>
                <w:sz w:val="24"/>
                <w:szCs w:val="24"/>
                <w:lang w:val="en-US" w:eastAsia="zh-CN"/>
              </w:rPr>
              <w:t>包装好的产品入库待售。</w:t>
            </w:r>
          </w:p>
          <w:p w14:paraId="42596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kern w:val="0"/>
                <w:sz w:val="24"/>
              </w:rPr>
            </w:pPr>
            <w:r>
              <w:rPr>
                <w:rFonts w:hint="default"/>
                <w:b/>
                <w:bCs/>
                <w:kern w:val="0"/>
                <w:sz w:val="24"/>
              </w:rPr>
              <w:t>（</w:t>
            </w:r>
            <w:r>
              <w:rPr>
                <w:rFonts w:hint="eastAsia"/>
                <w:b/>
                <w:bCs/>
                <w:kern w:val="0"/>
                <w:sz w:val="24"/>
                <w:lang w:eastAsia="zh-CN"/>
              </w:rPr>
              <w:t>2</w:t>
            </w:r>
            <w:r>
              <w:rPr>
                <w:rFonts w:hint="default"/>
                <w:b/>
                <w:bCs/>
                <w:kern w:val="0"/>
                <w:sz w:val="24"/>
              </w:rPr>
              <w:t>）</w:t>
            </w:r>
            <w:r>
              <w:rPr>
                <w:rFonts w:hint="eastAsia"/>
                <w:b/>
                <w:bCs/>
                <w:kern w:val="0"/>
                <w:sz w:val="24"/>
                <w:lang w:val="en-US" w:eastAsia="zh-CN"/>
              </w:rPr>
              <w:t>泡芙</w:t>
            </w:r>
            <w:r>
              <w:rPr>
                <w:rFonts w:hint="default"/>
                <w:b/>
                <w:bCs/>
                <w:kern w:val="0"/>
                <w:sz w:val="24"/>
              </w:rPr>
              <w:t>生产线工艺流程和产排污环节</w:t>
            </w:r>
          </w:p>
          <w:p w14:paraId="79D94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kern w:val="0"/>
                <w:sz w:val="24"/>
              </w:rPr>
            </w:pPr>
            <w:r>
              <w:rPr>
                <w:rFonts w:hint="default"/>
                <w:kern w:val="0"/>
                <w:sz w:val="24"/>
              </w:rPr>
              <w:t>根据建设单位提供的资料，</w:t>
            </w:r>
            <w:r>
              <w:rPr>
                <w:rFonts w:hint="eastAsia"/>
                <w:kern w:val="0"/>
                <w:sz w:val="24"/>
                <w:lang w:val="en-US" w:eastAsia="zh-CN"/>
              </w:rPr>
              <w:t>泡芙</w:t>
            </w:r>
            <w:r>
              <w:rPr>
                <w:rFonts w:hint="default"/>
                <w:kern w:val="0"/>
                <w:sz w:val="24"/>
              </w:rPr>
              <w:t>生产工艺流程和产排污环节见图2-</w:t>
            </w:r>
            <w:r>
              <w:rPr>
                <w:rFonts w:hint="eastAsia"/>
                <w:kern w:val="0"/>
                <w:sz w:val="24"/>
                <w:lang w:val="en-US" w:eastAsia="zh-CN"/>
              </w:rPr>
              <w:t>4</w:t>
            </w:r>
            <w:r>
              <w:rPr>
                <w:rFonts w:hint="default"/>
                <w:kern w:val="0"/>
                <w:sz w:val="24"/>
              </w:rPr>
              <w:t>。</w:t>
            </w:r>
          </w:p>
          <w:p w14:paraId="0F831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rPr>
            </w:pPr>
            <w:r>
              <w:rPr>
                <w:rFonts w:hint="default"/>
              </w:rPr>
              <w:drawing>
                <wp:inline distT="0" distB="0" distL="114300" distR="114300">
                  <wp:extent cx="4766945" cy="4364355"/>
                  <wp:effectExtent l="0" t="0" r="14605"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rcRect b="1069"/>
                          <a:stretch>
                            <a:fillRect/>
                          </a:stretch>
                        </pic:blipFill>
                        <pic:spPr>
                          <a:xfrm>
                            <a:off x="0" y="0"/>
                            <a:ext cx="4766945" cy="4364355"/>
                          </a:xfrm>
                          <a:prstGeom prst="rect">
                            <a:avLst/>
                          </a:prstGeom>
                          <a:noFill/>
                          <a:ln>
                            <a:noFill/>
                          </a:ln>
                        </pic:spPr>
                      </pic:pic>
                    </a:graphicData>
                  </a:graphic>
                </wp:inline>
              </w:drawing>
            </w:r>
          </w:p>
          <w:p w14:paraId="6C88B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sz w:val="24"/>
              </w:rPr>
            </w:pPr>
            <w:r>
              <w:rPr>
                <w:rFonts w:hint="eastAsia"/>
                <w:b/>
                <w:bCs/>
                <w:sz w:val="24"/>
              </w:rPr>
              <w:t>图2-</w:t>
            </w:r>
            <w:r>
              <w:rPr>
                <w:rFonts w:hint="eastAsia"/>
                <w:b/>
                <w:bCs/>
                <w:sz w:val="24"/>
                <w:lang w:val="en-US" w:eastAsia="zh-CN"/>
              </w:rPr>
              <w:t>4</w:t>
            </w:r>
            <w:r>
              <w:rPr>
                <w:rFonts w:hint="eastAsia"/>
                <w:b/>
                <w:bCs/>
                <w:sz w:val="24"/>
              </w:rPr>
              <w:t xml:space="preserve">  </w:t>
            </w:r>
            <w:r>
              <w:rPr>
                <w:rFonts w:hint="eastAsia"/>
                <w:b/>
                <w:bCs/>
                <w:sz w:val="24"/>
                <w:lang w:val="en-US" w:eastAsia="zh-CN"/>
              </w:rPr>
              <w:t>泡芙生产</w:t>
            </w:r>
            <w:r>
              <w:rPr>
                <w:rFonts w:hint="eastAsia"/>
                <w:b/>
                <w:bCs/>
                <w:sz w:val="24"/>
              </w:rPr>
              <w:t>工艺流程及产污环节图</w:t>
            </w:r>
          </w:p>
          <w:p w14:paraId="42A56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sz w:val="24"/>
              </w:rPr>
            </w:pPr>
            <w:r>
              <w:rPr>
                <w:rFonts w:hint="default"/>
                <w:sz w:val="24"/>
                <w:lang w:val="en-US" w:eastAsia="zh-CN"/>
              </w:rPr>
              <w:t>泡芙</w:t>
            </w:r>
            <w:r>
              <w:rPr>
                <w:rFonts w:hint="default"/>
                <w:sz w:val="24"/>
              </w:rPr>
              <w:t>生产工艺流程说明如下：</w:t>
            </w:r>
          </w:p>
          <w:p w14:paraId="3E9E8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sz w:val="24"/>
              </w:rPr>
            </w:pPr>
            <w:r>
              <w:rPr>
                <w:rFonts w:hint="default"/>
                <w:b/>
                <w:bCs/>
                <w:sz w:val="24"/>
              </w:rPr>
              <w:t>原辅料验收：</w:t>
            </w:r>
            <w:r>
              <w:rPr>
                <w:rFonts w:hint="default"/>
                <w:sz w:val="24"/>
              </w:rPr>
              <w:t>将外购的原辅料按照相关质量标准要求进行检测，主要为外观检查、水分检测，合格原辅料留下，不合格品通知供应商退货。</w:t>
            </w:r>
          </w:p>
          <w:p w14:paraId="05C5A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sz w:val="24"/>
              </w:rPr>
            </w:pPr>
            <w:r>
              <w:rPr>
                <w:rFonts w:hint="default"/>
                <w:b/>
                <w:bCs/>
                <w:sz w:val="24"/>
              </w:rPr>
              <w:t>领料脱包、杀菌：</w:t>
            </w:r>
            <w:r>
              <w:rPr>
                <w:rFonts w:hint="default"/>
                <w:sz w:val="24"/>
              </w:rPr>
              <w:t>将</w:t>
            </w:r>
            <w:r>
              <w:rPr>
                <w:rFonts w:hint="default"/>
                <w:sz w:val="24"/>
                <w:lang w:val="en-US" w:eastAsia="zh-CN"/>
              </w:rPr>
              <w:t>原料库</w:t>
            </w:r>
            <w:r>
              <w:rPr>
                <w:rFonts w:hint="default"/>
                <w:sz w:val="24"/>
              </w:rPr>
              <w:t>的原辅料领来，脱外包装，进行紫外线杀菌。此工序产生废包装材料（S1）</w:t>
            </w:r>
            <w:r>
              <w:rPr>
                <w:rFonts w:hint="default"/>
                <w:sz w:val="24"/>
                <w:lang w:eastAsia="zh-CN"/>
              </w:rPr>
              <w:t>、废紫外灯管（S</w:t>
            </w:r>
            <w:r>
              <w:rPr>
                <w:rFonts w:hint="default"/>
                <w:sz w:val="24"/>
                <w:lang w:val="en-US" w:eastAsia="zh-CN"/>
              </w:rPr>
              <w:t>2</w:t>
            </w:r>
            <w:r>
              <w:rPr>
                <w:rFonts w:hint="default"/>
                <w:sz w:val="24"/>
                <w:lang w:eastAsia="zh-CN"/>
              </w:rPr>
              <w:t>）</w:t>
            </w:r>
            <w:r>
              <w:rPr>
                <w:rFonts w:hint="default"/>
                <w:sz w:val="24"/>
              </w:rPr>
              <w:t>。</w:t>
            </w:r>
          </w:p>
          <w:p w14:paraId="01933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cs="Times New Roman"/>
                <w:b/>
                <w:bCs/>
                <w:sz w:val="24"/>
                <w:szCs w:val="24"/>
                <w:lang w:val="en-US" w:eastAsia="zh-CN"/>
              </w:rPr>
              <w:t>预处理</w:t>
            </w:r>
            <w:r>
              <w:rPr>
                <w:rFonts w:hint="default"/>
                <w:b/>
                <w:bCs/>
                <w:sz w:val="24"/>
              </w:rPr>
              <w:t>：</w:t>
            </w:r>
            <w:r>
              <w:rPr>
                <w:rFonts w:hint="default" w:cs="Times New Roman"/>
                <w:b w:val="0"/>
                <w:bCs w:val="0"/>
                <w:color w:val="auto"/>
                <w:sz w:val="24"/>
                <w:szCs w:val="24"/>
                <w:lang w:val="en-US" w:eastAsia="zh-CN"/>
              </w:rPr>
              <w:t>糖在使用前需进行人工过筛处理，去除杂质；</w:t>
            </w:r>
            <w:r>
              <w:rPr>
                <w:rFonts w:hint="default" w:ascii="Times New Roman" w:hAnsi="Times New Roman" w:cs="Times New Roman"/>
                <w:sz w:val="24"/>
                <w:szCs w:val="24"/>
                <w:lang w:val="en-US" w:eastAsia="zh-CN"/>
              </w:rPr>
              <w:t>在化油锅内将植物油加热到40-50℃</w:t>
            </w:r>
            <w:r>
              <w:rPr>
                <w:rFonts w:hint="default" w:cs="Times New Roman"/>
                <w:sz w:val="24"/>
                <w:szCs w:val="24"/>
                <w:lang w:val="en-US" w:eastAsia="zh-CN"/>
              </w:rPr>
              <w:t>，采用电加热，</w:t>
            </w:r>
            <w:r>
              <w:rPr>
                <w:rFonts w:hint="default" w:ascii="Times New Roman" w:hAnsi="Times New Roman" w:cs="Times New Roman"/>
                <w:sz w:val="24"/>
                <w:szCs w:val="24"/>
                <w:lang w:val="en-US" w:eastAsia="zh-CN"/>
              </w:rPr>
              <w:t>由于植物油烟点为200-250℃，油脂不会分解，故不产生油烟</w:t>
            </w:r>
            <w:r>
              <w:rPr>
                <w:rFonts w:hint="default" w:cs="Times New Roman"/>
                <w:sz w:val="24"/>
                <w:szCs w:val="24"/>
                <w:lang w:val="en-US" w:eastAsia="zh-CN"/>
              </w:rPr>
              <w:t>；鱼、虾清洗后通过烤箱烘干，在磨粉间经粉碎机粉碎成粉末状待用。</w:t>
            </w:r>
            <w:r>
              <w:rPr>
                <w:rFonts w:hint="default" w:ascii="Times New Roman" w:hAnsi="Times New Roman" w:eastAsia="宋体" w:cs="Times New Roman"/>
                <w:sz w:val="24"/>
                <w:szCs w:val="24"/>
              </w:rPr>
              <w:t>此工序产生</w:t>
            </w:r>
            <w:r>
              <w:rPr>
                <w:rFonts w:hint="default"/>
                <w:sz w:val="24"/>
                <w:lang w:val="en-US" w:eastAsia="zh-CN"/>
              </w:rPr>
              <w:t>恶臭气体（G1）</w:t>
            </w:r>
            <w:r>
              <w:rPr>
                <w:rFonts w:hint="default" w:cs="Times New Roman"/>
                <w:sz w:val="24"/>
                <w:szCs w:val="24"/>
                <w:lang w:eastAsia="zh-CN"/>
              </w:rPr>
              <w:t>、</w:t>
            </w:r>
            <w:r>
              <w:rPr>
                <w:rFonts w:hint="default" w:cs="Times New Roman"/>
                <w:sz w:val="24"/>
                <w:szCs w:val="24"/>
                <w:lang w:val="en-US" w:eastAsia="zh-CN"/>
              </w:rPr>
              <w:t>粉碎粉尘（G2）、</w:t>
            </w:r>
            <w:r>
              <w:rPr>
                <w:rFonts w:hint="default"/>
                <w:sz w:val="24"/>
              </w:rPr>
              <w:t>原料清洗废水（W1）</w:t>
            </w:r>
            <w:r>
              <w:rPr>
                <w:rFonts w:hint="default"/>
                <w:sz w:val="24"/>
                <w:lang w:eastAsia="zh-CN"/>
              </w:rPr>
              <w:t>、</w:t>
            </w:r>
            <w:r>
              <w:rPr>
                <w:rFonts w:hint="default" w:ascii="Times New Roman" w:hAnsi="Times New Roman" w:eastAsia="宋体" w:cs="Times New Roman"/>
                <w:sz w:val="24"/>
                <w:szCs w:val="24"/>
              </w:rPr>
              <w:t>杂质（S</w:t>
            </w:r>
            <w:r>
              <w:rPr>
                <w:rFonts w:hint="default" w:cs="Times New Roman"/>
                <w:sz w:val="24"/>
                <w:szCs w:val="24"/>
                <w:lang w:val="en-US" w:eastAsia="zh-CN"/>
              </w:rPr>
              <w:t>3</w:t>
            </w:r>
            <w:r>
              <w:rPr>
                <w:rFonts w:hint="default" w:ascii="Times New Roman" w:hAnsi="Times New Roman" w:eastAsia="宋体" w:cs="Times New Roman"/>
                <w:sz w:val="24"/>
                <w:szCs w:val="24"/>
              </w:rPr>
              <w:t>）</w:t>
            </w:r>
            <w:r>
              <w:rPr>
                <w:rFonts w:hint="eastAsia" w:cs="Times New Roman"/>
                <w:sz w:val="24"/>
                <w:szCs w:val="24"/>
                <w:lang w:eastAsia="zh-CN"/>
              </w:rPr>
              <w:t>、</w:t>
            </w:r>
            <w:r>
              <w:rPr>
                <w:rFonts w:hint="default" w:ascii="Times New Roman" w:hAnsi="Times New Roman" w:eastAsia="宋体" w:cs="Times New Roman"/>
                <w:sz w:val="24"/>
                <w:szCs w:val="24"/>
              </w:rPr>
              <w:t>设备运行噪声（N）。</w:t>
            </w:r>
          </w:p>
          <w:p w14:paraId="1ED3B6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cs="Times New Roman"/>
                <w:sz w:val="24"/>
                <w:szCs w:val="24"/>
                <w:lang w:eastAsia="zh-CN"/>
              </w:rPr>
            </w:pPr>
            <w:r>
              <w:rPr>
                <w:rFonts w:hint="default" w:cs="Times New Roman"/>
                <w:b/>
                <w:bCs/>
                <w:color w:val="auto"/>
                <w:sz w:val="24"/>
                <w:szCs w:val="24"/>
                <w:lang w:val="en-US" w:eastAsia="zh-CN"/>
              </w:rPr>
              <w:t>配料、搅拌、混匀：</w:t>
            </w:r>
            <w:r>
              <w:rPr>
                <w:rFonts w:hint="default" w:cs="Times New Roman"/>
                <w:b w:val="0"/>
                <w:bCs w:val="0"/>
                <w:color w:val="auto"/>
                <w:sz w:val="24"/>
                <w:szCs w:val="24"/>
                <w:lang w:val="en-US" w:eastAsia="zh-CN"/>
              </w:rPr>
              <w:t>谷物粉、谷物淀粉、粉碎后的鱼虾、植物油、水等按照一定的比例经人工</w:t>
            </w:r>
            <w:r>
              <w:rPr>
                <w:rFonts w:hint="eastAsia" w:ascii="Times New Roman" w:hAnsi="Times New Roman" w:cs="Times New Roman"/>
                <w:b w:val="0"/>
                <w:bCs w:val="0"/>
                <w:color w:val="auto"/>
                <w:sz w:val="24"/>
                <w:szCs w:val="24"/>
                <w:lang w:val="en-US" w:eastAsia="zh-CN"/>
              </w:rPr>
              <w:t>配制</w:t>
            </w:r>
            <w:r>
              <w:rPr>
                <w:rFonts w:hint="default" w:ascii="Times New Roman" w:hAnsi="Times New Roman" w:cs="Times New Roman"/>
                <w:b w:val="0"/>
                <w:bCs w:val="0"/>
                <w:color w:val="auto"/>
                <w:sz w:val="24"/>
                <w:szCs w:val="24"/>
                <w:lang w:val="en-US" w:eastAsia="zh-CN"/>
              </w:rPr>
              <w:t>后投入密闭拌料机中搅拌、混匀。配料、搅拌、混匀在密闭配料间进行。此工序产生</w:t>
            </w:r>
            <w:r>
              <w:rPr>
                <w:rFonts w:hint="eastAsia" w:ascii="Times New Roman" w:hAnsi="Times New Roman" w:cs="Times New Roman"/>
                <w:b w:val="0"/>
                <w:bCs w:val="0"/>
                <w:color w:val="auto"/>
                <w:sz w:val="24"/>
                <w:szCs w:val="24"/>
                <w:lang w:val="en-US" w:eastAsia="zh-CN"/>
              </w:rPr>
              <w:t>配料</w:t>
            </w:r>
            <w:r>
              <w:rPr>
                <w:rFonts w:hint="default" w:ascii="Times New Roman" w:hAnsi="Times New Roman" w:cs="Times New Roman"/>
                <w:b w:val="0"/>
                <w:bCs w:val="0"/>
                <w:color w:val="auto"/>
                <w:sz w:val="24"/>
                <w:szCs w:val="24"/>
                <w:lang w:val="en-US" w:eastAsia="zh-CN"/>
              </w:rPr>
              <w:t>粉尘（G3）、</w:t>
            </w:r>
            <w:r>
              <w:rPr>
                <w:rFonts w:hint="default" w:ascii="Times New Roman" w:hAnsi="Times New Roman" w:eastAsia="宋体" w:cs="Times New Roman"/>
                <w:sz w:val="24"/>
                <w:szCs w:val="24"/>
              </w:rPr>
              <w:t>设备运行噪声（N）</w:t>
            </w:r>
            <w:r>
              <w:rPr>
                <w:rFonts w:hint="default" w:ascii="Times New Roman" w:hAnsi="Times New Roman" w:cs="Times New Roman"/>
                <w:sz w:val="24"/>
                <w:szCs w:val="24"/>
                <w:lang w:eastAsia="zh-CN"/>
              </w:rPr>
              <w:t>。</w:t>
            </w:r>
          </w:p>
          <w:p w14:paraId="63AC65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过筛：</w:t>
            </w:r>
            <w:r>
              <w:rPr>
                <w:rFonts w:hint="eastAsia" w:ascii="Times New Roman" w:hAnsi="Times New Roman" w:cs="Times New Roman"/>
                <w:sz w:val="24"/>
                <w:szCs w:val="24"/>
                <w:lang w:val="en-US" w:eastAsia="zh-CN"/>
              </w:rPr>
              <w:t>搅拌</w:t>
            </w:r>
            <w:r>
              <w:rPr>
                <w:rFonts w:hint="default" w:ascii="Times New Roman" w:hAnsi="Times New Roman" w:cs="Times New Roman"/>
                <w:sz w:val="24"/>
                <w:szCs w:val="24"/>
                <w:lang w:val="en-US" w:eastAsia="zh-CN"/>
              </w:rPr>
              <w:t>好的物料（湿料）经过筛机处理，确保物料均匀。此工序产生</w:t>
            </w:r>
            <w:r>
              <w:rPr>
                <w:rFonts w:hint="eastAsia" w:cs="Times New Roman"/>
                <w:sz w:val="24"/>
                <w:szCs w:val="24"/>
                <w:lang w:val="en-US" w:eastAsia="zh-CN"/>
              </w:rPr>
              <w:t>过筛</w:t>
            </w:r>
            <w:r>
              <w:rPr>
                <w:rFonts w:hint="default" w:ascii="Times New Roman" w:hAnsi="Times New Roman" w:cs="Times New Roman"/>
                <w:sz w:val="24"/>
                <w:szCs w:val="24"/>
                <w:lang w:val="en-US" w:eastAsia="zh-CN"/>
              </w:rPr>
              <w:t>物料（S4）、设备运行噪声（N）。</w:t>
            </w:r>
          </w:p>
          <w:p w14:paraId="46AEB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sz w:val="24"/>
              </w:rPr>
            </w:pPr>
            <w:r>
              <w:rPr>
                <w:rFonts w:hint="default" w:ascii="Times New Roman" w:hAnsi="Times New Roman" w:cs="Times New Roman"/>
                <w:b/>
                <w:bCs/>
                <w:sz w:val="24"/>
              </w:rPr>
              <w:t>膨化：</w:t>
            </w:r>
            <w:r>
              <w:rPr>
                <w:rFonts w:hint="default" w:ascii="Times New Roman" w:hAnsi="Times New Roman" w:cs="Times New Roman"/>
                <w:sz w:val="24"/>
              </w:rPr>
              <w:t>均匀后的物料通过膨化机膨胀、定型、形成多孔结构，采用电加热，膨化机温度约120℃。此工序产生</w:t>
            </w:r>
            <w:r>
              <w:rPr>
                <w:rFonts w:hint="eastAsia" w:cs="Times New Roman"/>
                <w:sz w:val="24"/>
                <w:lang w:val="en-US" w:eastAsia="zh-CN"/>
              </w:rPr>
              <w:t>油烟废气（G4）、</w:t>
            </w:r>
            <w:r>
              <w:rPr>
                <w:rFonts w:hint="default" w:ascii="Times New Roman" w:hAnsi="Times New Roman" w:cs="Times New Roman"/>
                <w:sz w:val="24"/>
              </w:rPr>
              <w:t>设备运行噪声（N）。</w:t>
            </w:r>
          </w:p>
          <w:p w14:paraId="00B42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sz w:val="24"/>
              </w:rPr>
            </w:pPr>
            <w:r>
              <w:rPr>
                <w:rFonts w:hint="default" w:ascii="Times New Roman" w:hAnsi="Times New Roman" w:cs="Times New Roman"/>
                <w:b/>
                <w:bCs/>
                <w:sz w:val="24"/>
              </w:rPr>
              <w:t>烘烤：</w:t>
            </w:r>
            <w:r>
              <w:rPr>
                <w:rFonts w:hint="default" w:ascii="Times New Roman" w:hAnsi="Times New Roman" w:cs="Times New Roman"/>
                <w:sz w:val="24"/>
              </w:rPr>
              <w:t>通过提升机将产品输送至烤箱烘烤，增加口感，减少水分，采用电加热，烤箱温度约为65-70℃。此工序产生</w:t>
            </w:r>
            <w:r>
              <w:rPr>
                <w:rFonts w:hint="eastAsia" w:cs="Times New Roman"/>
                <w:sz w:val="24"/>
                <w:lang w:val="en-US" w:eastAsia="zh-CN"/>
              </w:rPr>
              <w:t>油烟废气（G5）、</w:t>
            </w:r>
            <w:r>
              <w:rPr>
                <w:rFonts w:hint="default" w:ascii="Times New Roman" w:hAnsi="Times New Roman" w:cs="Times New Roman"/>
                <w:sz w:val="24"/>
              </w:rPr>
              <w:t>设备运行噪声（N）。</w:t>
            </w:r>
          </w:p>
          <w:p w14:paraId="6B283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sz w:val="24"/>
              </w:rPr>
            </w:pPr>
            <w:r>
              <w:rPr>
                <w:rFonts w:hint="default" w:ascii="Times New Roman" w:hAnsi="Times New Roman" w:cs="Times New Roman"/>
                <w:b/>
                <w:bCs/>
                <w:sz w:val="24"/>
              </w:rPr>
              <w:t>调味：</w:t>
            </w:r>
            <w:r>
              <w:rPr>
                <w:rFonts w:hint="default" w:ascii="Times New Roman" w:hAnsi="Times New Roman" w:cs="Times New Roman"/>
                <w:b w:val="0"/>
                <w:bCs w:val="0"/>
                <w:sz w:val="24"/>
                <w:lang w:val="en-US" w:eastAsia="zh-CN"/>
              </w:rPr>
              <w:t>在</w:t>
            </w:r>
            <w:r>
              <w:rPr>
                <w:rFonts w:hint="default" w:ascii="Times New Roman" w:hAnsi="Times New Roman" w:cs="Times New Roman"/>
                <w:sz w:val="24"/>
                <w:lang w:val="en-US" w:eastAsia="zh-CN"/>
              </w:rPr>
              <w:t>八角筒里通过人工</w:t>
            </w:r>
            <w:r>
              <w:rPr>
                <w:rFonts w:hint="default" w:ascii="Times New Roman" w:hAnsi="Times New Roman" w:cs="Times New Roman"/>
                <w:sz w:val="24"/>
              </w:rPr>
              <w:t>喷洒</w:t>
            </w:r>
            <w:r>
              <w:rPr>
                <w:rFonts w:hint="default" w:ascii="Times New Roman" w:hAnsi="Times New Roman" w:cs="Times New Roman"/>
                <w:sz w:val="24"/>
                <w:lang w:val="en-US" w:eastAsia="zh-CN"/>
              </w:rPr>
              <w:t>植物油</w:t>
            </w:r>
            <w:r>
              <w:rPr>
                <w:rFonts w:hint="default" w:ascii="Times New Roman" w:hAnsi="Times New Roman" w:cs="Times New Roman"/>
                <w:sz w:val="24"/>
              </w:rPr>
              <w:t>等调味料对产品进行调味。此过程会产生</w:t>
            </w:r>
            <w:r>
              <w:rPr>
                <w:rFonts w:hint="default" w:ascii="Times New Roman" w:hAnsi="Times New Roman" w:cs="Times New Roman"/>
                <w:sz w:val="24"/>
                <w:lang w:val="en-US" w:eastAsia="zh-CN"/>
              </w:rPr>
              <w:t>油雾废气（G</w:t>
            </w:r>
            <w:r>
              <w:rPr>
                <w:rFonts w:hint="eastAsia" w:cs="Times New Roman"/>
                <w:sz w:val="24"/>
                <w:lang w:val="en-US" w:eastAsia="zh-CN"/>
              </w:rPr>
              <w:t>6</w:t>
            </w:r>
            <w:r>
              <w:rPr>
                <w:rFonts w:hint="default" w:ascii="Times New Roman" w:hAnsi="Times New Roman" w:cs="Times New Roman"/>
                <w:sz w:val="24"/>
                <w:lang w:val="en-US" w:eastAsia="zh-CN"/>
              </w:rPr>
              <w:t>）、废油物（S5）、</w:t>
            </w:r>
            <w:r>
              <w:rPr>
                <w:rFonts w:hint="default" w:ascii="Times New Roman" w:hAnsi="Times New Roman" w:cs="Times New Roman"/>
                <w:sz w:val="24"/>
              </w:rPr>
              <w:t>设备运行噪声（N）</w:t>
            </w:r>
            <w:r>
              <w:rPr>
                <w:rFonts w:hint="default" w:ascii="Times New Roman" w:hAnsi="Times New Roman" w:cs="Times New Roman"/>
                <w:sz w:val="24"/>
                <w:lang w:val="en-US" w:eastAsia="zh-CN"/>
              </w:rPr>
              <w:t>。</w:t>
            </w:r>
          </w:p>
          <w:p w14:paraId="691392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outlineLvl w:val="9"/>
              <w:rPr>
                <w:rFonts w:hint="default" w:ascii="Times New Roman" w:hAnsi="Times New Roman" w:cs="Times New Roman"/>
                <w:sz w:val="24"/>
              </w:rPr>
            </w:pPr>
            <w:r>
              <w:rPr>
                <w:rFonts w:hint="default" w:ascii="Times New Roman" w:hAnsi="Times New Roman" w:cs="Times New Roman"/>
                <w:b/>
                <w:bCs/>
                <w:sz w:val="24"/>
              </w:rPr>
              <w:t>金属检测：</w:t>
            </w:r>
            <w:r>
              <w:rPr>
                <w:rFonts w:hint="default" w:ascii="Times New Roman" w:hAnsi="Times New Roman" w:eastAsia="宋体" w:cs="Times New Roman"/>
                <w:b w:val="0"/>
                <w:bCs w:val="0"/>
                <w:kern w:val="2"/>
                <w:sz w:val="24"/>
                <w:szCs w:val="24"/>
                <w:lang w:val="en-US" w:eastAsia="zh-CN" w:bidi="ar-SA"/>
              </w:rPr>
              <w:t>按照相关质量标准</w:t>
            </w:r>
            <w:r>
              <w:rPr>
                <w:rFonts w:hint="default" w:ascii="Times New Roman" w:hAnsi="Times New Roman" w:cs="Times New Roman"/>
                <w:b w:val="0"/>
                <w:bCs w:val="0"/>
                <w:kern w:val="2"/>
                <w:sz w:val="24"/>
                <w:szCs w:val="24"/>
                <w:lang w:val="en-US" w:eastAsia="zh-CN" w:bidi="ar-SA"/>
              </w:rPr>
              <w:t>利用金属检测机</w:t>
            </w:r>
            <w:r>
              <w:rPr>
                <w:rFonts w:hint="default" w:ascii="Times New Roman" w:hAnsi="Times New Roman" w:eastAsia="宋体" w:cs="Times New Roman"/>
                <w:b w:val="0"/>
                <w:bCs w:val="0"/>
                <w:kern w:val="2"/>
                <w:sz w:val="24"/>
                <w:szCs w:val="24"/>
                <w:lang w:val="en-US" w:eastAsia="zh-CN" w:bidi="ar-SA"/>
              </w:rPr>
              <w:t>对产品进行金属检测</w:t>
            </w:r>
            <w:r>
              <w:rPr>
                <w:rFonts w:hint="default" w:ascii="Times New Roman" w:hAnsi="Times New Roman" w:cs="Times New Roman"/>
                <w:b w:val="0"/>
                <w:bCs w:val="0"/>
                <w:kern w:val="2"/>
                <w:sz w:val="24"/>
                <w:szCs w:val="24"/>
                <w:lang w:val="en-US" w:eastAsia="zh-CN" w:bidi="ar-SA"/>
              </w:rPr>
              <w:t>，</w:t>
            </w:r>
            <w:r>
              <w:rPr>
                <w:rFonts w:hint="default" w:ascii="Times New Roman" w:hAnsi="Times New Roman" w:cs="Times New Roman"/>
                <w:sz w:val="24"/>
              </w:rPr>
              <w:t>防止金属异物进入产品，主要是检测铁等金属，不涉及放射性检测</w:t>
            </w:r>
            <w:r>
              <w:rPr>
                <w:rFonts w:hint="default" w:ascii="Times New Roman" w:hAnsi="Times New Roman" w:cs="Times New Roman"/>
                <w:sz w:val="24"/>
                <w:lang w:eastAsia="zh-CN"/>
              </w:rPr>
              <w:t>，</w:t>
            </w:r>
            <w:r>
              <w:rPr>
                <w:rFonts w:hint="default" w:ascii="Times New Roman" w:hAnsi="Times New Roman" w:cs="Times New Roman"/>
                <w:b w:val="0"/>
                <w:bCs w:val="0"/>
                <w:kern w:val="2"/>
                <w:sz w:val="24"/>
                <w:szCs w:val="24"/>
                <w:lang w:val="en-US" w:eastAsia="zh-CN" w:bidi="ar-SA"/>
              </w:rPr>
              <w:t>此工序产生不合格品（S6）。</w:t>
            </w:r>
          </w:p>
          <w:p w14:paraId="4C9AE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sz w:val="24"/>
              </w:rPr>
            </w:pPr>
            <w:r>
              <w:rPr>
                <w:rFonts w:hint="default" w:ascii="Times New Roman" w:hAnsi="Times New Roman" w:cs="Times New Roman"/>
                <w:b/>
                <w:bCs/>
                <w:sz w:val="24"/>
              </w:rPr>
              <w:t>内包：</w:t>
            </w:r>
            <w:r>
              <w:rPr>
                <w:rFonts w:hint="default" w:ascii="Times New Roman" w:hAnsi="Times New Roman" w:cs="Times New Roman"/>
                <w:sz w:val="24"/>
                <w:lang w:val="en-US" w:eastAsia="zh-CN"/>
              </w:rPr>
              <w:t>经</w:t>
            </w:r>
            <w:r>
              <w:rPr>
                <w:rFonts w:hint="default" w:ascii="Times New Roman" w:hAnsi="Times New Roman" w:cs="Times New Roman"/>
                <w:sz w:val="24"/>
              </w:rPr>
              <w:t>紫外线灭菌后</w:t>
            </w:r>
            <w:r>
              <w:rPr>
                <w:rFonts w:hint="default" w:ascii="Times New Roman" w:hAnsi="Times New Roman" w:cs="Times New Roman"/>
                <w:b w:val="0"/>
                <w:bCs w:val="0"/>
                <w:kern w:val="2"/>
                <w:sz w:val="24"/>
                <w:szCs w:val="24"/>
                <w:lang w:val="en-US" w:eastAsia="zh-CN" w:bidi="ar-SA"/>
              </w:rPr>
              <w:t>通过包装机</w:t>
            </w:r>
            <w:r>
              <w:rPr>
                <w:rFonts w:hint="default" w:ascii="Times New Roman" w:hAnsi="Times New Roman" w:cs="Times New Roman"/>
                <w:sz w:val="24"/>
              </w:rPr>
              <w:t>对产品进行内包装</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利用</w:t>
            </w:r>
            <w:r>
              <w:rPr>
                <w:rFonts w:hint="default" w:ascii="Times New Roman" w:hAnsi="Times New Roman" w:cs="Times New Roman"/>
                <w:sz w:val="24"/>
                <w:lang w:eastAsia="zh-CN"/>
              </w:rPr>
              <w:t>激光打码机打上生产日期、批号等信息</w:t>
            </w:r>
            <w:r>
              <w:rPr>
                <w:rFonts w:hint="default" w:ascii="Times New Roman" w:hAnsi="Times New Roman" w:cs="Times New Roman"/>
                <w:sz w:val="24"/>
              </w:rPr>
              <w:t>。</w:t>
            </w:r>
            <w:r>
              <w:rPr>
                <w:rFonts w:hint="default" w:ascii="Times New Roman" w:hAnsi="Times New Roman" w:cs="Times New Roman"/>
                <w:b w:val="0"/>
                <w:bCs w:val="0"/>
                <w:sz w:val="24"/>
                <w:szCs w:val="24"/>
                <w:lang w:val="en-US" w:eastAsia="zh-CN"/>
              </w:rPr>
              <w:t>激光打码通过高能激光束与材料的相互作用实现精准、永久标记，不产生耗材和污染。</w:t>
            </w:r>
            <w:r>
              <w:rPr>
                <w:rFonts w:hint="default" w:ascii="Times New Roman" w:hAnsi="Times New Roman" w:cs="Times New Roman"/>
                <w:sz w:val="24"/>
              </w:rPr>
              <w:t>此工序产生废包装材料（S</w:t>
            </w:r>
            <w:r>
              <w:rPr>
                <w:rFonts w:hint="default" w:ascii="Times New Roman" w:hAnsi="Times New Roman" w:cs="Times New Roman"/>
                <w:sz w:val="24"/>
                <w:lang w:val="en-US" w:eastAsia="zh-CN"/>
              </w:rPr>
              <w:t>7</w:t>
            </w:r>
            <w:r>
              <w:rPr>
                <w:rFonts w:hint="default" w:ascii="Times New Roman" w:hAnsi="Times New Roman" w:cs="Times New Roman"/>
                <w:sz w:val="24"/>
              </w:rPr>
              <w:t>）、废紫外灯管（S</w:t>
            </w:r>
            <w:r>
              <w:rPr>
                <w:rFonts w:hint="default" w:ascii="Times New Roman" w:hAnsi="Times New Roman" w:cs="Times New Roman"/>
                <w:sz w:val="24"/>
                <w:lang w:val="en-US" w:eastAsia="zh-CN"/>
              </w:rPr>
              <w:t>8</w:t>
            </w:r>
            <w:r>
              <w:rPr>
                <w:rFonts w:hint="default" w:ascii="Times New Roman" w:hAnsi="Times New Roman" w:cs="Times New Roman"/>
                <w:sz w:val="24"/>
              </w:rPr>
              <w:t>）、设备运行噪声（N）。</w:t>
            </w:r>
          </w:p>
          <w:p w14:paraId="4199F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sz w:val="24"/>
              </w:rPr>
            </w:pPr>
            <w:r>
              <w:rPr>
                <w:rFonts w:hint="default" w:ascii="Times New Roman" w:hAnsi="Times New Roman" w:cs="Times New Roman"/>
                <w:b/>
                <w:bCs/>
                <w:sz w:val="24"/>
              </w:rPr>
              <w:t>外包：</w:t>
            </w:r>
            <w:r>
              <w:rPr>
                <w:rFonts w:hint="default" w:ascii="Times New Roman" w:hAnsi="Times New Roman" w:cs="Times New Roman"/>
                <w:sz w:val="24"/>
              </w:rPr>
              <w:t>内包好的产品由人工传递至外包装间进行人工装箱、封口。此工序产生废包装材料（S9）。</w:t>
            </w:r>
          </w:p>
          <w:p w14:paraId="1430B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sz w:val="24"/>
              </w:rPr>
            </w:pPr>
            <w:r>
              <w:rPr>
                <w:rFonts w:hint="default" w:ascii="Times New Roman" w:hAnsi="Times New Roman" w:cs="Times New Roman"/>
                <w:b/>
                <w:bCs/>
                <w:sz w:val="24"/>
              </w:rPr>
              <w:t>质检：</w:t>
            </w:r>
            <w:r>
              <w:rPr>
                <w:rFonts w:hint="default" w:ascii="Times New Roman" w:hAnsi="Times New Roman" w:cs="Times New Roman"/>
                <w:sz w:val="24"/>
              </w:rPr>
              <w:t>委托相关监测公司对产品进行质量检测，不合格品报废。此工序会产生不合格品（S10）。</w:t>
            </w:r>
          </w:p>
          <w:p w14:paraId="00748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sz w:val="24"/>
                <w:lang w:val="en-US" w:eastAsia="zh-CN"/>
              </w:rPr>
            </w:pPr>
            <w:r>
              <w:rPr>
                <w:rFonts w:hint="default" w:ascii="Times New Roman" w:hAnsi="Times New Roman" w:cs="Times New Roman"/>
                <w:b/>
                <w:bCs/>
                <w:sz w:val="24"/>
              </w:rPr>
              <w:t>入库：</w:t>
            </w:r>
            <w:r>
              <w:rPr>
                <w:rFonts w:hint="default" w:ascii="Times New Roman" w:hAnsi="Times New Roman" w:cs="Times New Roman"/>
                <w:sz w:val="24"/>
              </w:rPr>
              <w:t>包装好的产品入库待售。</w:t>
            </w:r>
          </w:p>
          <w:p w14:paraId="458D25D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宋体"/>
                <w:b/>
                <w:bCs/>
                <w:color w:val="auto"/>
                <w:kern w:val="2"/>
                <w:sz w:val="24"/>
                <w:szCs w:val="24"/>
                <w:lang w:val="en-US" w:eastAsia="zh-CN" w:bidi="ar-SA"/>
              </w:rPr>
            </w:pPr>
            <w:r>
              <w:rPr>
                <w:rFonts w:hint="eastAsia" w:ascii="Times New Roman" w:hAnsi="Times New Roman" w:eastAsia="宋体" w:cs="宋体"/>
                <w:b/>
                <w:bCs/>
                <w:color w:val="auto"/>
                <w:kern w:val="2"/>
                <w:sz w:val="24"/>
                <w:szCs w:val="24"/>
                <w:lang w:val="en-US" w:eastAsia="zh-CN" w:bidi="ar-SA"/>
              </w:rPr>
              <w:t>（</w:t>
            </w:r>
            <w:r>
              <w:rPr>
                <w:rFonts w:hint="eastAsia" w:cs="宋体"/>
                <w:b/>
                <w:bCs/>
                <w:color w:val="auto"/>
                <w:kern w:val="2"/>
                <w:sz w:val="24"/>
                <w:szCs w:val="24"/>
                <w:lang w:val="en-US" w:eastAsia="zh-CN" w:bidi="ar-SA"/>
              </w:rPr>
              <w:t>3</w:t>
            </w:r>
            <w:r>
              <w:rPr>
                <w:rFonts w:hint="eastAsia" w:ascii="Times New Roman" w:hAnsi="Times New Roman" w:eastAsia="宋体" w:cs="宋体"/>
                <w:b/>
                <w:bCs/>
                <w:color w:val="auto"/>
                <w:kern w:val="2"/>
                <w:sz w:val="24"/>
                <w:szCs w:val="24"/>
                <w:lang w:val="en-US" w:eastAsia="zh-CN" w:bidi="ar-SA"/>
              </w:rPr>
              <w:t>）</w:t>
            </w:r>
            <w:r>
              <w:rPr>
                <w:rFonts w:hint="eastAsia" w:cs="宋体"/>
                <w:b/>
                <w:bCs/>
                <w:color w:val="auto"/>
                <w:kern w:val="2"/>
                <w:sz w:val="24"/>
                <w:szCs w:val="24"/>
                <w:lang w:val="en-US" w:eastAsia="zh-CN" w:bidi="ar-SA"/>
              </w:rPr>
              <w:t>薄饼</w:t>
            </w:r>
            <w:r>
              <w:rPr>
                <w:rFonts w:hint="eastAsia" w:ascii="Times New Roman" w:hAnsi="Times New Roman" w:eastAsia="宋体" w:cs="宋体"/>
                <w:b/>
                <w:bCs/>
                <w:color w:val="auto"/>
                <w:kern w:val="2"/>
                <w:sz w:val="24"/>
                <w:szCs w:val="24"/>
                <w:lang w:val="en-US" w:eastAsia="zh-CN" w:bidi="ar-SA"/>
              </w:rPr>
              <w:t>食品生产线工艺流程和产排污环节</w:t>
            </w:r>
          </w:p>
          <w:p w14:paraId="3FBDDC3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根据建设单位提供的资料，本项目</w:t>
            </w:r>
            <w:r>
              <w:rPr>
                <w:rFonts w:hint="eastAsia" w:cs="Times New Roman"/>
                <w:b w:val="0"/>
                <w:bCs w:val="0"/>
                <w:kern w:val="2"/>
                <w:sz w:val="24"/>
                <w:szCs w:val="24"/>
                <w:lang w:val="en-US" w:eastAsia="zh-CN" w:bidi="ar-SA"/>
              </w:rPr>
              <w:t>烘烤</w:t>
            </w:r>
            <w:r>
              <w:rPr>
                <w:rFonts w:hint="eastAsia" w:ascii="Times New Roman" w:hAnsi="Times New Roman" w:eastAsia="宋体" w:cs="Times New Roman"/>
                <w:b w:val="0"/>
                <w:bCs w:val="0"/>
                <w:kern w:val="2"/>
                <w:sz w:val="24"/>
                <w:szCs w:val="24"/>
                <w:lang w:val="en-US" w:eastAsia="zh-CN" w:bidi="ar-SA"/>
              </w:rPr>
              <w:t>食品主要为薄饼，</w:t>
            </w:r>
            <w:r>
              <w:rPr>
                <w:rFonts w:hint="eastAsia" w:cs="Times New Roman"/>
                <w:b w:val="0"/>
                <w:bCs w:val="0"/>
                <w:kern w:val="2"/>
                <w:sz w:val="24"/>
                <w:szCs w:val="24"/>
                <w:lang w:val="en-US" w:eastAsia="zh-CN" w:bidi="ar-SA"/>
              </w:rPr>
              <w:t xml:space="preserve">薄饼          </w:t>
            </w:r>
            <w:r>
              <w:rPr>
                <w:rFonts w:hint="eastAsia" w:ascii="Times New Roman" w:hAnsi="Times New Roman" w:eastAsia="宋体" w:cs="Times New Roman"/>
                <w:b w:val="0"/>
                <w:bCs w:val="0"/>
                <w:kern w:val="2"/>
                <w:sz w:val="24"/>
                <w:szCs w:val="24"/>
                <w:lang w:val="en-US" w:eastAsia="zh-CN" w:bidi="ar-SA"/>
              </w:rPr>
              <w:t>生产工艺流程和产排污环节见图2-</w:t>
            </w:r>
            <w:r>
              <w:rPr>
                <w:rFonts w:hint="eastAsia" w:cs="Times New Roman"/>
                <w:b w:val="0"/>
                <w:bCs w:val="0"/>
                <w:kern w:val="2"/>
                <w:sz w:val="24"/>
                <w:szCs w:val="24"/>
                <w:lang w:val="en-US" w:eastAsia="zh-CN" w:bidi="ar-SA"/>
              </w:rPr>
              <w:t>5</w:t>
            </w:r>
            <w:r>
              <w:rPr>
                <w:rFonts w:hint="eastAsia" w:ascii="Times New Roman" w:hAnsi="Times New Roman" w:eastAsia="宋体" w:cs="Times New Roman"/>
                <w:b w:val="0"/>
                <w:bCs w:val="0"/>
                <w:kern w:val="2"/>
                <w:sz w:val="24"/>
                <w:szCs w:val="24"/>
                <w:lang w:val="en-US" w:eastAsia="zh-CN" w:bidi="ar-SA"/>
              </w:rPr>
              <w:t>。</w:t>
            </w:r>
          </w:p>
          <w:p w14:paraId="418CB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kern w:val="0"/>
                <w:sz w:val="24"/>
                <w:szCs w:val="24"/>
                <w:lang w:val="en-US" w:eastAsia="zh-CN"/>
              </w:rPr>
            </w:pPr>
            <w:r>
              <w:rPr>
                <w:rFonts w:hint="default"/>
              </w:rPr>
              <w:drawing>
                <wp:inline distT="0" distB="0" distL="114300" distR="114300">
                  <wp:extent cx="4744085" cy="3444875"/>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5"/>
                          <a:srcRect b="3521"/>
                          <a:stretch>
                            <a:fillRect/>
                          </a:stretch>
                        </pic:blipFill>
                        <pic:spPr>
                          <a:xfrm>
                            <a:off x="0" y="0"/>
                            <a:ext cx="4744085" cy="3444875"/>
                          </a:xfrm>
                          <a:prstGeom prst="rect">
                            <a:avLst/>
                          </a:prstGeom>
                          <a:noFill/>
                          <a:ln>
                            <a:noFill/>
                          </a:ln>
                        </pic:spPr>
                      </pic:pic>
                    </a:graphicData>
                  </a:graphic>
                </wp:inline>
              </w:drawing>
            </w:r>
          </w:p>
          <w:p w14:paraId="1C5AD7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cs="Times New Roman"/>
                <w:b/>
                <w:bCs/>
                <w:sz w:val="24"/>
                <w:szCs w:val="24"/>
              </w:rPr>
              <w:t>图</w:t>
            </w:r>
            <w:r>
              <w:rPr>
                <w:rFonts w:hint="default" w:ascii="Times New Roman" w:hAnsi="Times New Roman" w:cs="Times New Roman"/>
                <w:b/>
                <w:bCs/>
                <w:sz w:val="24"/>
                <w:szCs w:val="24"/>
              </w:rPr>
              <w:t>2-</w:t>
            </w:r>
            <w:r>
              <w:rPr>
                <w:rFonts w:hint="eastAsia" w:cs="Times New Roman"/>
                <w:b/>
                <w:bCs/>
                <w:sz w:val="24"/>
                <w:szCs w:val="24"/>
                <w:lang w:val="en-US" w:eastAsia="zh-CN"/>
              </w:rPr>
              <w:t>5</w:t>
            </w:r>
            <w:r>
              <w:rPr>
                <w:rFonts w:hint="default" w:ascii="Times New Roman" w:hAnsi="Times New Roman" w:cs="Times New Roman"/>
                <w:b/>
                <w:bCs/>
                <w:sz w:val="24"/>
                <w:szCs w:val="24"/>
              </w:rPr>
              <w:t xml:space="preserve">  </w:t>
            </w:r>
            <w:r>
              <w:rPr>
                <w:rFonts w:hint="eastAsia" w:cs="Times New Roman"/>
                <w:b/>
                <w:bCs/>
                <w:sz w:val="24"/>
                <w:szCs w:val="24"/>
                <w:lang w:val="en-US" w:eastAsia="zh-CN"/>
              </w:rPr>
              <w:t>薄饼</w:t>
            </w:r>
            <w:r>
              <w:rPr>
                <w:rFonts w:hint="eastAsia" w:ascii="Times New Roman" w:hAnsi="Times New Roman" w:cs="Times New Roman"/>
                <w:b/>
                <w:bCs/>
                <w:sz w:val="24"/>
                <w:szCs w:val="24"/>
              </w:rPr>
              <w:t>工艺流程及产污环节</w:t>
            </w:r>
            <w:r>
              <w:rPr>
                <w:rFonts w:hint="eastAsia" w:ascii="Times New Roman" w:hAnsi="Times New Roman" w:cs="Times New Roman"/>
                <w:b/>
                <w:bCs/>
                <w:sz w:val="24"/>
                <w:szCs w:val="24"/>
                <w:lang w:val="en-US" w:eastAsia="zh-CN"/>
              </w:rPr>
              <w:t>图</w:t>
            </w:r>
          </w:p>
          <w:p w14:paraId="79A124D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eastAsia="宋体" w:cs="Times New Roman"/>
                <w:b w:val="0"/>
                <w:bCs w:val="0"/>
                <w:kern w:val="2"/>
                <w:sz w:val="24"/>
                <w:szCs w:val="24"/>
                <w:lang w:val="en-US" w:eastAsia="zh-CN" w:bidi="ar-SA"/>
              </w:rPr>
            </w:pPr>
            <w:r>
              <w:rPr>
                <w:rFonts w:hint="eastAsia" w:cs="Times New Roman"/>
                <w:b w:val="0"/>
                <w:bCs w:val="0"/>
                <w:kern w:val="2"/>
                <w:sz w:val="24"/>
                <w:szCs w:val="24"/>
                <w:lang w:val="en-US" w:eastAsia="zh-CN" w:bidi="ar-SA"/>
              </w:rPr>
              <w:t>薄饼</w:t>
            </w:r>
            <w:r>
              <w:rPr>
                <w:rFonts w:hint="default" w:ascii="Times New Roman" w:hAnsi="Times New Roman" w:eastAsia="宋体" w:cs="Times New Roman"/>
                <w:b w:val="0"/>
                <w:bCs w:val="0"/>
                <w:kern w:val="2"/>
                <w:sz w:val="24"/>
                <w:szCs w:val="24"/>
                <w:lang w:val="en-US" w:eastAsia="zh-CN" w:bidi="ar-SA"/>
              </w:rPr>
              <w:t>生产工艺流程说明如下：</w:t>
            </w:r>
          </w:p>
          <w:p w14:paraId="10D9B8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原辅料验收</w:t>
            </w:r>
            <w:r>
              <w:rPr>
                <w:rFonts w:hint="default" w:ascii="Times New Roman" w:hAnsi="Times New Roman" w:eastAsia="宋体" w:cs="Times New Roman"/>
                <w:b/>
                <w:bCs/>
                <w:sz w:val="24"/>
                <w:szCs w:val="24"/>
              </w:rPr>
              <w:t>：</w:t>
            </w:r>
            <w:r>
              <w:rPr>
                <w:rFonts w:hint="default" w:ascii="Times New Roman" w:hAnsi="Times New Roman" w:eastAsia="宋体" w:cs="Times New Roman"/>
                <w:b w:val="0"/>
                <w:bCs w:val="0"/>
                <w:i w:val="0"/>
                <w:iCs w:val="0"/>
                <w:sz w:val="24"/>
                <w:szCs w:val="24"/>
                <w:lang w:val="en-US" w:eastAsia="zh-CN"/>
              </w:rPr>
              <w:t>将</w:t>
            </w:r>
            <w:r>
              <w:rPr>
                <w:rFonts w:hint="default" w:ascii="Times New Roman" w:hAnsi="Times New Roman" w:eastAsia="宋体" w:cs="Times New Roman"/>
                <w:sz w:val="24"/>
                <w:szCs w:val="24"/>
              </w:rPr>
              <w:t>外购的原</w:t>
            </w:r>
            <w:r>
              <w:rPr>
                <w:rFonts w:hint="eastAsia" w:ascii="Times New Roman" w:hAnsi="Times New Roman" w:eastAsia="宋体" w:cs="Times New Roman"/>
                <w:sz w:val="24"/>
                <w:szCs w:val="24"/>
                <w:lang w:val="en-US" w:eastAsia="zh-CN"/>
              </w:rPr>
              <w:t>辅</w:t>
            </w:r>
            <w:r>
              <w:rPr>
                <w:rFonts w:hint="default" w:ascii="Times New Roman" w:hAnsi="Times New Roman" w:eastAsia="宋体" w:cs="Times New Roman"/>
                <w:sz w:val="24"/>
                <w:szCs w:val="24"/>
              </w:rPr>
              <w:t>料</w:t>
            </w:r>
            <w:r>
              <w:rPr>
                <w:rFonts w:hint="eastAsia" w:ascii="Times New Roman" w:hAnsi="Times New Roman" w:eastAsia="宋体" w:cs="Times New Roman"/>
                <w:sz w:val="24"/>
                <w:szCs w:val="24"/>
                <w:lang w:val="en-US" w:eastAsia="zh-CN"/>
              </w:rPr>
              <w:t>按照</w:t>
            </w:r>
            <w:r>
              <w:rPr>
                <w:rFonts w:hint="eastAsia" w:ascii="Times New Roman" w:hAnsi="Times New Roman" w:cs="Times New Roman"/>
                <w:kern w:val="0"/>
                <w:sz w:val="24"/>
                <w:szCs w:val="24"/>
                <w:lang w:val="en-US" w:eastAsia="zh-CN"/>
              </w:rPr>
              <w:t>相关质量标准要求</w:t>
            </w:r>
            <w:r>
              <w:rPr>
                <w:rFonts w:hint="eastAsia" w:ascii="Times New Roman" w:hAnsi="Times New Roman" w:eastAsia="宋体" w:cs="Times New Roman"/>
                <w:sz w:val="24"/>
                <w:szCs w:val="24"/>
                <w:lang w:val="en-US" w:eastAsia="zh-CN"/>
              </w:rPr>
              <w:t>进行检测</w:t>
            </w:r>
            <w:r>
              <w:rPr>
                <w:rFonts w:hint="default" w:ascii="Times New Roman" w:hAnsi="Times New Roman" w:eastAsia="宋体" w:cs="Times New Roman"/>
                <w:sz w:val="24"/>
                <w:szCs w:val="24"/>
              </w:rPr>
              <w:t>，</w:t>
            </w:r>
            <w:r>
              <w:rPr>
                <w:rFonts w:hint="eastAsia"/>
                <w:sz w:val="24"/>
              </w:rPr>
              <w:t>主要为外观检查、水分检测，</w:t>
            </w:r>
            <w:r>
              <w:rPr>
                <w:rFonts w:hint="eastAsia" w:ascii="Times New Roman" w:hAnsi="Times New Roman" w:eastAsia="宋体" w:cs="Times New Roman"/>
                <w:sz w:val="24"/>
                <w:szCs w:val="24"/>
                <w:lang w:val="en-US" w:eastAsia="zh-CN"/>
              </w:rPr>
              <w:t>合格原辅料留下，不合格品通知供应商退货。</w:t>
            </w:r>
          </w:p>
          <w:p w14:paraId="7633D4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sz w:val="24"/>
                <w:szCs w:val="24"/>
                <w:lang w:val="en-US" w:eastAsia="zh-CN"/>
              </w:rPr>
              <w:t>领料脱包、杀菌</w:t>
            </w:r>
            <w:r>
              <w:rPr>
                <w:rFonts w:hint="default" w:ascii="Times New Roman" w:hAnsi="Times New Roman" w:eastAsia="宋体" w:cs="Times New Roman"/>
                <w:b/>
                <w:bCs/>
                <w:sz w:val="24"/>
                <w:szCs w:val="24"/>
              </w:rPr>
              <w:t>：</w:t>
            </w:r>
            <w:r>
              <w:rPr>
                <w:rFonts w:hint="eastAsia" w:ascii="Times New Roman" w:hAnsi="Times New Roman" w:eastAsia="宋体" w:cs="Times New Roman"/>
                <w:color w:val="000000"/>
                <w:sz w:val="24"/>
                <w:szCs w:val="24"/>
                <w:lang w:val="en-US" w:eastAsia="zh-CN"/>
              </w:rPr>
              <w:t>将</w:t>
            </w:r>
            <w:r>
              <w:rPr>
                <w:rFonts w:hint="eastAsia" w:cs="Times New Roman"/>
                <w:color w:val="000000"/>
                <w:sz w:val="24"/>
                <w:szCs w:val="24"/>
                <w:lang w:val="en-US" w:eastAsia="zh-CN"/>
              </w:rPr>
              <w:t>原料库</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原辅料领来，脱外包装，</w:t>
            </w:r>
            <w:r>
              <w:rPr>
                <w:rFonts w:hint="eastAsia"/>
                <w:sz w:val="24"/>
              </w:rPr>
              <w:t>进行紫外线杀菌</w:t>
            </w:r>
            <w:r>
              <w:rPr>
                <w:rFonts w:hint="default" w:ascii="Times New Roman" w:hAnsi="Times New Roman" w:eastAsia="宋体" w:cs="Times New Roman"/>
                <w:color w:val="auto"/>
                <w:sz w:val="24"/>
                <w:szCs w:val="24"/>
              </w:rPr>
              <w:t>。</w:t>
            </w:r>
            <w:r>
              <w:rPr>
                <w:rFonts w:hint="default" w:ascii="Times New Roman" w:hAnsi="Times New Roman" w:eastAsia="宋体" w:cs="Times New Roman"/>
                <w:sz w:val="24"/>
                <w:szCs w:val="24"/>
              </w:rPr>
              <w:t>此工序产生废包装材料（S</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r>
              <w:rPr>
                <w:rFonts w:hint="eastAsia" w:cs="Times New Roman"/>
                <w:sz w:val="24"/>
                <w:szCs w:val="24"/>
                <w:lang w:eastAsia="zh-CN"/>
              </w:rPr>
              <w:t>、废紫外灯管（S</w:t>
            </w:r>
            <w:r>
              <w:rPr>
                <w:rFonts w:hint="eastAsia" w:cs="Times New Roman"/>
                <w:sz w:val="24"/>
                <w:szCs w:val="24"/>
                <w:lang w:val="en-US" w:eastAsia="zh-CN"/>
              </w:rPr>
              <w:t>2</w:t>
            </w:r>
            <w:r>
              <w:rPr>
                <w:rFonts w:hint="eastAsia" w:cs="Times New Roman"/>
                <w:sz w:val="24"/>
                <w:szCs w:val="24"/>
                <w:lang w:eastAsia="zh-CN"/>
              </w:rPr>
              <w:t>）</w:t>
            </w:r>
            <w:r>
              <w:rPr>
                <w:rFonts w:hint="eastAsia" w:ascii="Times New Roman" w:hAnsi="Times New Roman" w:eastAsia="宋体" w:cs="Times New Roman"/>
                <w:sz w:val="24"/>
                <w:szCs w:val="24"/>
                <w:lang w:eastAsia="zh-CN"/>
              </w:rPr>
              <w:t>。</w:t>
            </w:r>
          </w:p>
          <w:p w14:paraId="319E49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eastAsia="宋体" w:cs="Times New Roman"/>
                <w:sz w:val="24"/>
                <w:szCs w:val="24"/>
              </w:rPr>
            </w:pPr>
            <w:r>
              <w:rPr>
                <w:rFonts w:hint="eastAsia" w:cs="Times New Roman"/>
                <w:b/>
                <w:bCs/>
                <w:color w:val="auto"/>
                <w:sz w:val="24"/>
                <w:szCs w:val="24"/>
                <w:lang w:val="en-US" w:eastAsia="zh-CN"/>
              </w:rPr>
              <w:t>预处理</w:t>
            </w:r>
            <w:r>
              <w:rPr>
                <w:rFonts w:hint="default" w:ascii="Times New Roman" w:hAnsi="Times New Roman" w:eastAsia="宋体" w:cs="Times New Roman"/>
                <w:b/>
                <w:bCs/>
                <w:color w:val="auto"/>
                <w:sz w:val="24"/>
                <w:szCs w:val="24"/>
                <w:lang w:val="en-US" w:eastAsia="zh-CN"/>
              </w:rPr>
              <w:t>：</w:t>
            </w:r>
            <w:r>
              <w:rPr>
                <w:rFonts w:hint="default" w:ascii="Times New Roman" w:hAnsi="Times New Roman" w:cs="Times New Roman"/>
                <w:color w:val="auto"/>
                <w:sz w:val="24"/>
              </w:rPr>
              <w:t>糖在使用前需进行人工过筛处理，去除杂质；在化油锅内将植物油加热到40-50℃，采用电加热，由于植物油烟点为200-250℃，油脂不会分解，故不产生油烟。此工序产生杂质（S3）、设备运行噪声（N）。</w:t>
            </w:r>
          </w:p>
          <w:p w14:paraId="633755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eastAsia="宋体" w:cs="Times New Roman"/>
                <w:sz w:val="24"/>
                <w:szCs w:val="24"/>
              </w:rPr>
            </w:pPr>
            <w:r>
              <w:rPr>
                <w:rFonts w:hint="eastAsia" w:cs="Times New Roman"/>
                <w:b/>
                <w:color w:val="auto"/>
                <w:sz w:val="24"/>
                <w:szCs w:val="24"/>
                <w:lang w:val="en-US" w:eastAsia="zh-CN"/>
              </w:rPr>
              <w:t>配料、</w:t>
            </w:r>
            <w:r>
              <w:rPr>
                <w:rFonts w:hint="eastAsia" w:ascii="Times New Roman" w:hAnsi="Times New Roman" w:eastAsia="宋体" w:cs="Times New Roman"/>
                <w:b/>
                <w:color w:val="auto"/>
                <w:sz w:val="24"/>
                <w:szCs w:val="24"/>
                <w:lang w:val="en-US" w:eastAsia="zh-CN"/>
              </w:rPr>
              <w:t>打浆</w:t>
            </w:r>
            <w:r>
              <w:rPr>
                <w:rFonts w:hint="default" w:ascii="Times New Roman" w:hAnsi="Times New Roman" w:eastAsia="宋体" w:cs="Times New Roman"/>
                <w:b/>
                <w:color w:val="auto"/>
                <w:sz w:val="24"/>
                <w:szCs w:val="24"/>
                <w:lang w:val="en-US" w:eastAsia="zh-CN"/>
              </w:rPr>
              <w:t>：</w:t>
            </w:r>
            <w:r>
              <w:rPr>
                <w:rFonts w:hint="eastAsia"/>
                <w:sz w:val="24"/>
              </w:rPr>
              <w:t>谷物粉、谷物淀粉、植物油、水等按照一定的比例经人工</w:t>
            </w:r>
            <w:r>
              <w:rPr>
                <w:rFonts w:hint="eastAsia"/>
                <w:sz w:val="24"/>
                <w:lang w:val="en-US" w:eastAsia="zh-CN"/>
              </w:rPr>
              <w:t>配制</w:t>
            </w:r>
            <w:r>
              <w:rPr>
                <w:rFonts w:hint="eastAsia"/>
                <w:sz w:val="24"/>
              </w:rPr>
              <w:t>后投入</w:t>
            </w:r>
            <w:r>
              <w:rPr>
                <w:rFonts w:hint="eastAsia"/>
                <w:sz w:val="24"/>
                <w:lang w:val="en-US" w:eastAsia="zh-CN"/>
              </w:rPr>
              <w:t>打浆机</w:t>
            </w:r>
            <w:r>
              <w:rPr>
                <w:rFonts w:hint="eastAsia"/>
                <w:sz w:val="24"/>
              </w:rPr>
              <w:t>中搅拌、混匀</w:t>
            </w:r>
            <w:r>
              <w:rPr>
                <w:rFonts w:hint="default" w:ascii="Times New Roman" w:hAnsi="Times New Roman" w:eastAsia="宋体" w:cs="Times New Roman"/>
                <w:b w:val="0"/>
                <w:bCs/>
                <w:color w:val="auto"/>
                <w:sz w:val="24"/>
                <w:szCs w:val="24"/>
                <w:lang w:val="en-US" w:eastAsia="zh-CN"/>
              </w:rPr>
              <w:t>。</w:t>
            </w:r>
            <w:r>
              <w:rPr>
                <w:rFonts w:hint="default"/>
                <w:bCs/>
                <w:color w:val="auto"/>
                <w:sz w:val="24"/>
              </w:rPr>
              <w:t>配料在密闭配料间进行。此工序产生</w:t>
            </w:r>
            <w:r>
              <w:rPr>
                <w:rFonts w:hint="eastAsia"/>
                <w:bCs/>
                <w:color w:val="auto"/>
                <w:sz w:val="24"/>
                <w:lang w:val="en-US" w:eastAsia="zh-CN"/>
              </w:rPr>
              <w:t>配料</w:t>
            </w:r>
            <w:r>
              <w:rPr>
                <w:rFonts w:hint="default"/>
                <w:bCs/>
                <w:color w:val="auto"/>
                <w:sz w:val="24"/>
              </w:rPr>
              <w:t>粉尘（G</w:t>
            </w:r>
            <w:r>
              <w:rPr>
                <w:rFonts w:hint="eastAsia"/>
                <w:bCs/>
                <w:color w:val="auto"/>
                <w:sz w:val="24"/>
                <w:lang w:val="en-US" w:eastAsia="zh-CN"/>
              </w:rPr>
              <w:t>1</w:t>
            </w:r>
            <w:r>
              <w:rPr>
                <w:rFonts w:hint="default"/>
                <w:bCs/>
                <w:color w:val="auto"/>
                <w:sz w:val="24"/>
              </w:rPr>
              <w:t>）、设备运行噪声（N）。</w:t>
            </w:r>
          </w:p>
          <w:p w14:paraId="4010A62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烘烤：</w:t>
            </w:r>
            <w:r>
              <w:rPr>
                <w:rFonts w:hint="eastAsia" w:cs="Times New Roman"/>
                <w:b w:val="0"/>
                <w:bCs w:val="0"/>
                <w:sz w:val="24"/>
                <w:szCs w:val="24"/>
                <w:lang w:val="en-US" w:eastAsia="zh-CN"/>
              </w:rPr>
              <w:t>通过提升机将打浆好的物料输送至</w:t>
            </w:r>
            <w:r>
              <w:rPr>
                <w:rFonts w:hint="default" w:ascii="Times New Roman" w:hAnsi="Times New Roman" w:eastAsia="宋体" w:cs="Times New Roman"/>
                <w:sz w:val="24"/>
                <w:szCs w:val="24"/>
                <w:lang w:val="en-US" w:eastAsia="zh-CN"/>
              </w:rPr>
              <w:t>虾片机蒸干去除水分，定型</w:t>
            </w:r>
            <w:r>
              <w:rPr>
                <w:rFonts w:hint="default" w:ascii="Times New Roman" w:hAnsi="Times New Roman" w:cs="Times New Roman"/>
                <w:sz w:val="24"/>
                <w:szCs w:val="24"/>
                <w:lang w:val="en-US" w:eastAsia="zh-CN"/>
              </w:rPr>
              <w:t>，采用电加热，虾片机温度约100℃。</w:t>
            </w:r>
            <w:r>
              <w:rPr>
                <w:rFonts w:hint="default" w:ascii="Times New Roman" w:hAnsi="Times New Roman" w:eastAsia="宋体" w:cs="Times New Roman"/>
                <w:sz w:val="24"/>
                <w:szCs w:val="24"/>
              </w:rPr>
              <w:t>此工序</w:t>
            </w:r>
            <w:r>
              <w:rPr>
                <w:rFonts w:hint="eastAsia" w:cs="Times New Roman"/>
                <w:sz w:val="24"/>
                <w:szCs w:val="24"/>
                <w:lang w:val="en-US" w:eastAsia="zh-CN"/>
              </w:rPr>
              <w:t>产生油烟废气（G2）、</w:t>
            </w:r>
            <w:r>
              <w:rPr>
                <w:rFonts w:hint="default" w:ascii="Times New Roman" w:hAnsi="Times New Roman" w:eastAsia="宋体" w:cs="Times New Roman"/>
                <w:sz w:val="24"/>
                <w:szCs w:val="24"/>
              </w:rPr>
              <w:t>设备运行噪声（N）。</w:t>
            </w:r>
          </w:p>
          <w:p w14:paraId="5EEB4C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金属检测：</w:t>
            </w:r>
            <w:r>
              <w:rPr>
                <w:rFonts w:hint="eastAsia"/>
                <w:sz w:val="24"/>
              </w:rPr>
              <w:t>按照相关质量标准利用金属检测机对产品进行金属检测，防止金属异物进入产品，主要是检测铁等金属，不涉及放射性检测。此工序产生</w:t>
            </w:r>
            <w:r>
              <w:rPr>
                <w:rFonts w:hint="eastAsia"/>
                <w:sz w:val="24"/>
                <w:lang w:val="en-US" w:eastAsia="zh-CN"/>
              </w:rPr>
              <w:t>不合格品</w:t>
            </w:r>
            <w:r>
              <w:rPr>
                <w:rFonts w:hint="eastAsia"/>
                <w:sz w:val="24"/>
              </w:rPr>
              <w:t>（S</w:t>
            </w:r>
            <w:r>
              <w:rPr>
                <w:rFonts w:hint="eastAsia"/>
                <w:sz w:val="24"/>
                <w:lang w:val="en-US" w:eastAsia="zh-CN"/>
              </w:rPr>
              <w:t>4</w:t>
            </w:r>
            <w:r>
              <w:rPr>
                <w:rFonts w:hint="eastAsia"/>
                <w:sz w:val="24"/>
              </w:rPr>
              <w:t>）。</w:t>
            </w:r>
          </w:p>
          <w:p w14:paraId="776109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内包：</w:t>
            </w:r>
            <w:r>
              <w:rPr>
                <w:rFonts w:hint="eastAsia"/>
                <w:sz w:val="24"/>
                <w:lang w:val="en-US" w:eastAsia="zh-CN"/>
              </w:rPr>
              <w:t>经</w:t>
            </w:r>
            <w:r>
              <w:rPr>
                <w:rFonts w:hint="eastAsia"/>
                <w:sz w:val="24"/>
              </w:rPr>
              <w:t>紫外线灭菌后</w:t>
            </w:r>
            <w:r>
              <w:rPr>
                <w:rFonts w:hint="eastAsia" w:cs="Times New Roman"/>
                <w:b w:val="0"/>
                <w:bCs w:val="0"/>
                <w:kern w:val="2"/>
                <w:sz w:val="24"/>
                <w:szCs w:val="24"/>
                <w:lang w:val="en-US" w:eastAsia="zh-CN" w:bidi="ar-SA"/>
              </w:rPr>
              <w:t>通过包装机</w:t>
            </w:r>
            <w:r>
              <w:rPr>
                <w:rFonts w:hint="eastAsia"/>
                <w:sz w:val="24"/>
              </w:rPr>
              <w:t>对产品进行内包装</w:t>
            </w:r>
            <w:r>
              <w:rPr>
                <w:rFonts w:hint="eastAsia"/>
                <w:sz w:val="24"/>
                <w:lang w:val="en-US" w:eastAsia="zh-CN"/>
              </w:rPr>
              <w:t>，利用激光打码机打上生产日期、批号等信息</w:t>
            </w:r>
            <w:r>
              <w:rPr>
                <w:rFonts w:hint="eastAsia" w:ascii="Times New Roman" w:hAnsi="Times New Roman" w:eastAsia="宋体" w:cs="Times New Roman"/>
                <w:b w:val="0"/>
                <w:bCs w:val="0"/>
                <w:kern w:val="2"/>
                <w:sz w:val="24"/>
                <w:szCs w:val="24"/>
                <w:lang w:val="en-US" w:eastAsia="zh-CN" w:bidi="ar-SA"/>
              </w:rPr>
              <w:t>。</w:t>
            </w:r>
            <w:r>
              <w:rPr>
                <w:rFonts w:hint="default" w:ascii="Times New Roman" w:hAnsi="Times New Roman" w:cs="Times New Roman"/>
                <w:b w:val="0"/>
                <w:bCs w:val="0"/>
                <w:sz w:val="24"/>
                <w:szCs w:val="24"/>
                <w:lang w:val="en-US" w:eastAsia="zh-CN"/>
              </w:rPr>
              <w:t>激光打码通过高能激光束与材料的相互作用实现精准、永久标记，不产生耗材和污染。</w:t>
            </w:r>
            <w:r>
              <w:rPr>
                <w:rFonts w:hint="default" w:ascii="Times New Roman" w:hAnsi="Times New Roman" w:eastAsia="宋体" w:cs="Times New Roman"/>
                <w:sz w:val="24"/>
                <w:szCs w:val="24"/>
              </w:rPr>
              <w:t>此工序产生废包装材料（S</w:t>
            </w:r>
            <w:r>
              <w:rPr>
                <w:rFonts w:hint="eastAsia" w:cs="Times New Roman"/>
                <w:sz w:val="24"/>
                <w:szCs w:val="24"/>
                <w:lang w:val="en-US" w:eastAsia="zh-CN"/>
              </w:rPr>
              <w:t>5</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、废紫外灯管（S</w:t>
            </w:r>
            <w:r>
              <w:rPr>
                <w:rFonts w:hint="eastAsia" w:cs="Times New Roman"/>
                <w:sz w:val="24"/>
                <w:szCs w:val="24"/>
                <w:lang w:val="en-US" w:eastAsia="zh-CN"/>
              </w:rPr>
              <w:t>6</w:t>
            </w:r>
            <w:r>
              <w:rPr>
                <w:rFonts w:hint="eastAsia" w:ascii="Times New Roman" w:hAnsi="Times New Roman" w:eastAsia="宋体" w:cs="Times New Roman"/>
                <w:sz w:val="24"/>
                <w:szCs w:val="24"/>
                <w:lang w:eastAsia="zh-CN"/>
              </w:rPr>
              <w:t>）</w:t>
            </w:r>
            <w:r>
              <w:rPr>
                <w:rFonts w:hint="eastAsia" w:cs="Times New Roman"/>
                <w:sz w:val="24"/>
                <w:szCs w:val="24"/>
                <w:lang w:eastAsia="zh-CN"/>
              </w:rPr>
              <w:t>、</w:t>
            </w:r>
            <w:r>
              <w:rPr>
                <w:rFonts w:hint="default" w:ascii="Times New Roman" w:hAnsi="Times New Roman" w:eastAsia="宋体" w:cs="Times New Roman"/>
                <w:sz w:val="24"/>
                <w:szCs w:val="24"/>
              </w:rPr>
              <w:t>设备运行噪声（N）</w:t>
            </w:r>
            <w:r>
              <w:rPr>
                <w:rFonts w:hint="eastAsia" w:ascii="Times New Roman" w:hAnsi="Times New Roman" w:eastAsia="宋体" w:cs="Times New Roman"/>
                <w:sz w:val="24"/>
                <w:szCs w:val="24"/>
                <w:lang w:eastAsia="zh-CN"/>
              </w:rPr>
              <w:t>。</w:t>
            </w:r>
          </w:p>
          <w:p w14:paraId="113BED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b/>
                <w:bCs/>
                <w:kern w:val="2"/>
                <w:sz w:val="24"/>
                <w:szCs w:val="24"/>
                <w:lang w:val="en-US" w:eastAsia="zh-CN" w:bidi="ar-SA"/>
              </w:rPr>
              <w:t>外包：</w:t>
            </w:r>
            <w:r>
              <w:rPr>
                <w:rFonts w:hint="eastAsia"/>
                <w:sz w:val="24"/>
              </w:rPr>
              <w:t>内包好的产品由人工传递至外包装间进行人工装箱、封口。此工序产生废包装材料（S</w:t>
            </w:r>
            <w:r>
              <w:rPr>
                <w:rFonts w:hint="eastAsia"/>
                <w:sz w:val="24"/>
                <w:lang w:val="en-US" w:eastAsia="zh-CN"/>
              </w:rPr>
              <w:t>7</w:t>
            </w:r>
            <w:r>
              <w:rPr>
                <w:rFonts w:hint="eastAsia"/>
                <w:sz w:val="24"/>
              </w:rPr>
              <w:t>）。</w:t>
            </w:r>
          </w:p>
          <w:p w14:paraId="2449C2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eastAsia" w:ascii="Times New Roman" w:hAnsi="Times New Roman" w:cs="Times New Roman"/>
                <w:kern w:val="0"/>
                <w:sz w:val="24"/>
                <w:szCs w:val="24"/>
                <w:lang w:val="en-US" w:eastAsia="zh-CN"/>
              </w:rPr>
            </w:pPr>
            <w:r>
              <w:rPr>
                <w:rFonts w:hint="eastAsia" w:ascii="Times New Roman" w:hAnsi="Times New Roman" w:eastAsia="宋体" w:cs="Times New Roman"/>
                <w:b/>
                <w:bCs/>
                <w:kern w:val="2"/>
                <w:sz w:val="24"/>
                <w:szCs w:val="24"/>
                <w:lang w:val="en-US" w:eastAsia="zh-CN" w:bidi="ar-SA"/>
              </w:rPr>
              <w:t>质检：</w:t>
            </w:r>
            <w:r>
              <w:rPr>
                <w:rFonts w:hint="default" w:ascii="Times New Roman" w:hAnsi="Times New Roman" w:cs="Times New Roman"/>
                <w:sz w:val="24"/>
              </w:rPr>
              <w:t>委托相关监测公司对产品进行质量检测，不合格品报废。此工序会产生不合格品（S</w:t>
            </w:r>
            <w:r>
              <w:rPr>
                <w:rFonts w:hint="eastAsia" w:cs="Times New Roman"/>
                <w:sz w:val="24"/>
                <w:lang w:val="en-US" w:eastAsia="zh-CN"/>
              </w:rPr>
              <w:t>8</w:t>
            </w:r>
            <w:r>
              <w:rPr>
                <w:rFonts w:hint="default" w:ascii="Times New Roman" w:hAnsi="Times New Roman" w:cs="Times New Roman"/>
                <w:sz w:val="24"/>
              </w:rPr>
              <w:t>）。</w:t>
            </w:r>
          </w:p>
          <w:p w14:paraId="6E886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b/>
                <w:bCs/>
                <w:kern w:val="0"/>
                <w:sz w:val="24"/>
                <w:szCs w:val="24"/>
                <w:lang w:val="en-US" w:eastAsia="zh-CN"/>
              </w:rPr>
              <w:t>入库：</w:t>
            </w:r>
            <w:r>
              <w:rPr>
                <w:rFonts w:hint="eastAsia" w:ascii="Times New Roman" w:hAnsi="Times New Roman" w:cs="Times New Roman"/>
                <w:kern w:val="0"/>
                <w:sz w:val="24"/>
                <w:szCs w:val="24"/>
                <w:lang w:val="en-US" w:eastAsia="zh-CN"/>
              </w:rPr>
              <w:t>包装好的产品入库待售。</w:t>
            </w:r>
          </w:p>
          <w:p w14:paraId="391639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综上，主要产污环节如下：</w:t>
            </w:r>
          </w:p>
          <w:p w14:paraId="287F723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rPr>
            </w:pPr>
            <w:r>
              <w:rPr>
                <w:rFonts w:hint="eastAsia" w:ascii="Times New Roman" w:hAnsi="Times New Roman" w:cs="Times New Roman"/>
                <w:b/>
                <w:bCs/>
                <w:color w:val="000000"/>
              </w:rPr>
              <w:t>表2-</w:t>
            </w:r>
            <w:r>
              <w:rPr>
                <w:rFonts w:hint="eastAsia" w:ascii="Times New Roman" w:hAnsi="Times New Roman" w:cs="Times New Roman"/>
                <w:b/>
                <w:bCs/>
                <w:color w:val="000000"/>
                <w:lang w:val="en-US" w:eastAsia="zh-CN"/>
              </w:rPr>
              <w:t>5</w:t>
            </w:r>
            <w:r>
              <w:rPr>
                <w:rFonts w:hint="eastAsia" w:ascii="Times New Roman" w:hAnsi="Times New Roman" w:cs="Times New Roman"/>
                <w:b/>
                <w:bCs/>
                <w:color w:val="000000"/>
              </w:rPr>
              <w:t xml:space="preserve">  工艺、厂区产污环节及处理措施</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75"/>
              <w:gridCol w:w="641"/>
              <w:gridCol w:w="1491"/>
              <w:gridCol w:w="1093"/>
              <w:gridCol w:w="4329"/>
            </w:tblGrid>
            <w:tr w14:paraId="286289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tcBorders>
                    <w:tl2br w:val="nil"/>
                    <w:tr2bl w:val="nil"/>
                  </w:tcBorders>
                  <w:noWrap w:val="0"/>
                  <w:vAlign w:val="center"/>
                </w:tcPr>
                <w:p w14:paraId="6505B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1311" w:type="pct"/>
                  <w:gridSpan w:val="2"/>
                  <w:tcBorders>
                    <w:tl2br w:val="nil"/>
                    <w:tr2bl w:val="nil"/>
                  </w:tcBorders>
                  <w:noWrap w:val="0"/>
                  <w:vAlign w:val="center"/>
                </w:tcPr>
                <w:p w14:paraId="45034D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w:t>
                  </w:r>
                </w:p>
              </w:tc>
              <w:tc>
                <w:tcPr>
                  <w:tcW w:w="672" w:type="pct"/>
                  <w:tcBorders>
                    <w:tl2br w:val="nil"/>
                    <w:tr2bl w:val="nil"/>
                  </w:tcBorders>
                  <w:noWrap w:val="0"/>
                  <w:vAlign w:val="center"/>
                </w:tcPr>
                <w:p w14:paraId="2B4685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2662" w:type="pct"/>
                  <w:tcBorders>
                    <w:tl2br w:val="nil"/>
                    <w:tr2bl w:val="nil"/>
                  </w:tcBorders>
                  <w:noWrap w:val="0"/>
                  <w:vAlign w:val="center"/>
                </w:tcPr>
                <w:p w14:paraId="5EC1C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处理措施</w:t>
                  </w:r>
                </w:p>
              </w:tc>
            </w:tr>
            <w:tr w14:paraId="48BCB1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54" w:type="pct"/>
                  <w:vMerge w:val="restart"/>
                  <w:tcBorders>
                    <w:tl2br w:val="nil"/>
                    <w:tr2bl w:val="nil"/>
                  </w:tcBorders>
                  <w:noWrap w:val="0"/>
                  <w:vAlign w:val="center"/>
                </w:tcPr>
                <w:p w14:paraId="16C97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394" w:type="pct"/>
                  <w:tcBorders>
                    <w:tl2br w:val="nil"/>
                    <w:tr2bl w:val="nil"/>
                  </w:tcBorders>
                  <w:noWrap w:val="0"/>
                  <w:vAlign w:val="center"/>
                </w:tcPr>
                <w:p w14:paraId="28708B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办公生活</w:t>
                  </w:r>
                </w:p>
              </w:tc>
              <w:tc>
                <w:tcPr>
                  <w:tcW w:w="917" w:type="pct"/>
                  <w:tcBorders>
                    <w:tl2br w:val="nil"/>
                    <w:tr2bl w:val="nil"/>
                  </w:tcBorders>
                  <w:noWrap w:val="0"/>
                  <w:vAlign w:val="center"/>
                </w:tcPr>
                <w:p w14:paraId="1E406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672" w:type="pct"/>
                  <w:tcBorders>
                    <w:tl2br w:val="nil"/>
                    <w:tr2bl w:val="nil"/>
                  </w:tcBorders>
                  <w:noWrap w:val="0"/>
                  <w:vAlign w:val="center"/>
                </w:tcPr>
                <w:p w14:paraId="22BFD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、SS、氨氮</w:t>
                  </w:r>
                </w:p>
              </w:tc>
              <w:tc>
                <w:tcPr>
                  <w:tcW w:w="2662" w:type="pct"/>
                  <w:tcBorders>
                    <w:tl2br w:val="nil"/>
                    <w:tr2bl w:val="nil"/>
                  </w:tcBorders>
                  <w:noWrap w:val="0"/>
                  <w:vAlign w:val="center"/>
                </w:tcPr>
                <w:p w14:paraId="445E48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生活污水经化粪池</w:t>
                  </w:r>
                  <w:r>
                    <w:rPr>
                      <w:rFonts w:hint="default" w:ascii="Times New Roman" w:hAnsi="Times New Roman" w:eastAsia="宋体" w:cs="Times New Roman"/>
                      <w:b w:val="0"/>
                      <w:bCs/>
                      <w:color w:val="auto"/>
                      <w:sz w:val="21"/>
                      <w:szCs w:val="21"/>
                      <w:lang w:val="en-US" w:eastAsia="zh-CN"/>
                    </w:rPr>
                    <w:t>（依托现有）</w:t>
                  </w:r>
                  <w:r>
                    <w:rPr>
                      <w:rFonts w:hint="default" w:ascii="Times New Roman" w:hAnsi="Times New Roman" w:eastAsia="宋体" w:cs="Times New Roman"/>
                      <w:color w:val="auto"/>
                      <w:sz w:val="21"/>
                      <w:szCs w:val="21"/>
                      <w:lang w:val="en-US" w:eastAsia="zh-CN"/>
                    </w:rPr>
                    <w:t>预处理后接管进入</w:t>
                  </w:r>
                  <w:r>
                    <w:rPr>
                      <w:rFonts w:hint="default"/>
                      <w:color w:val="auto"/>
                      <w:szCs w:val="21"/>
                    </w:rPr>
                    <w:t>安徽淮相科技发展有限公司第二污水处理厂</w:t>
                  </w:r>
                  <w:r>
                    <w:rPr>
                      <w:rFonts w:hint="default" w:ascii="Times New Roman" w:hAnsi="Times New Roman" w:eastAsia="宋体" w:cs="Times New Roman"/>
                      <w:color w:val="auto"/>
                      <w:sz w:val="21"/>
                      <w:szCs w:val="21"/>
                      <w:lang w:val="en-US" w:eastAsia="zh-CN"/>
                    </w:rPr>
                    <w:t>，处理达标后排入老濉河</w:t>
                  </w:r>
                </w:p>
              </w:tc>
            </w:tr>
            <w:tr w14:paraId="5053C2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73099B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394" w:type="pct"/>
                  <w:vMerge w:val="restart"/>
                  <w:tcBorders>
                    <w:tl2br w:val="nil"/>
                    <w:tr2bl w:val="nil"/>
                  </w:tcBorders>
                  <w:noWrap w:val="0"/>
                  <w:vAlign w:val="center"/>
                </w:tcPr>
                <w:p w14:paraId="7AF19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产品生产</w:t>
                  </w:r>
                </w:p>
              </w:tc>
              <w:tc>
                <w:tcPr>
                  <w:tcW w:w="917" w:type="pct"/>
                  <w:tcBorders>
                    <w:tl2br w:val="nil"/>
                    <w:tr2bl w:val="nil"/>
                  </w:tcBorders>
                  <w:noWrap w:val="0"/>
                  <w:vAlign w:val="center"/>
                </w:tcPr>
                <w:p w14:paraId="79C50B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设备清洗废水</w:t>
                  </w:r>
                </w:p>
              </w:tc>
              <w:tc>
                <w:tcPr>
                  <w:tcW w:w="672" w:type="pct"/>
                  <w:vMerge w:val="restart"/>
                  <w:tcBorders>
                    <w:tl2br w:val="nil"/>
                    <w:tr2bl w:val="nil"/>
                  </w:tcBorders>
                  <w:noWrap w:val="0"/>
                  <w:vAlign w:val="center"/>
                </w:tcPr>
                <w:p w14:paraId="61DEF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COD、BOD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、SS、氨氮</w:t>
                  </w:r>
                  <w:r>
                    <w:rPr>
                      <w:rFonts w:hint="eastAsia" w:cs="Times New Roman"/>
                      <w:sz w:val="21"/>
                      <w:szCs w:val="21"/>
                      <w:lang w:eastAsia="zh-CN"/>
                    </w:rPr>
                    <w:t>、</w:t>
                  </w:r>
                  <w:r>
                    <w:rPr>
                      <w:rFonts w:hint="eastAsia" w:cs="Times New Roman"/>
                      <w:sz w:val="21"/>
                      <w:szCs w:val="21"/>
                      <w:lang w:val="en-US" w:eastAsia="zh-CN"/>
                    </w:rPr>
                    <w:t>总磷、动植物油</w:t>
                  </w:r>
                </w:p>
              </w:tc>
              <w:tc>
                <w:tcPr>
                  <w:tcW w:w="2662" w:type="pct"/>
                  <w:vMerge w:val="restart"/>
                  <w:tcBorders>
                    <w:tl2br w:val="nil"/>
                    <w:tr2bl w:val="nil"/>
                  </w:tcBorders>
                  <w:noWrap w:val="0"/>
                  <w:vAlign w:val="center"/>
                </w:tcPr>
                <w:p w14:paraId="2C425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设备清洗废水、原料清洗废水</w:t>
                  </w:r>
                  <w:r>
                    <w:rPr>
                      <w:rFonts w:hint="eastAsia" w:cs="Times New Roman"/>
                      <w:sz w:val="21"/>
                      <w:szCs w:val="21"/>
                      <w:lang w:val="en-US" w:eastAsia="zh-CN"/>
                    </w:rPr>
                    <w:t>、地面清洗废水</w:t>
                  </w:r>
                  <w:r>
                    <w:rPr>
                      <w:rFonts w:hint="eastAsia" w:ascii="Times New Roman" w:hAnsi="Times New Roman" w:eastAsia="宋体" w:cs="Times New Roman"/>
                      <w:sz w:val="21"/>
                      <w:szCs w:val="21"/>
                      <w:lang w:val="en-US" w:eastAsia="zh-CN"/>
                    </w:rPr>
                    <w:t>经沉淀池预处理后接管进入</w:t>
                  </w:r>
                  <w:r>
                    <w:rPr>
                      <w:rFonts w:hint="eastAsia"/>
                      <w:szCs w:val="21"/>
                    </w:rPr>
                    <w:t>安徽淮相科技发展有限公司第二污水处理厂</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color w:val="auto"/>
                      <w:sz w:val="21"/>
                      <w:szCs w:val="21"/>
                      <w:lang w:val="en-US" w:eastAsia="zh-CN"/>
                    </w:rPr>
                    <w:t>处理达标后排入老濉河</w:t>
                  </w:r>
                </w:p>
              </w:tc>
            </w:tr>
            <w:tr w14:paraId="127F32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725F6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394" w:type="pct"/>
                  <w:vMerge w:val="continue"/>
                  <w:tcBorders>
                    <w:tl2br w:val="nil"/>
                    <w:tr2bl w:val="nil"/>
                  </w:tcBorders>
                  <w:noWrap w:val="0"/>
                  <w:vAlign w:val="center"/>
                </w:tcPr>
                <w:p w14:paraId="7BAC7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c>
                <w:tcPr>
                  <w:tcW w:w="917" w:type="pct"/>
                  <w:tcBorders>
                    <w:tl2br w:val="nil"/>
                    <w:tr2bl w:val="nil"/>
                  </w:tcBorders>
                  <w:noWrap w:val="0"/>
                  <w:vAlign w:val="center"/>
                </w:tcPr>
                <w:p w14:paraId="478403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原料清洗废水</w:t>
                  </w:r>
                </w:p>
              </w:tc>
              <w:tc>
                <w:tcPr>
                  <w:tcW w:w="672" w:type="pct"/>
                  <w:vMerge w:val="continue"/>
                  <w:tcBorders>
                    <w:tl2br w:val="nil"/>
                    <w:tr2bl w:val="nil"/>
                  </w:tcBorders>
                  <w:noWrap w:val="0"/>
                  <w:vAlign w:val="center"/>
                </w:tcPr>
                <w:p w14:paraId="7CB3E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2662" w:type="pct"/>
                  <w:vMerge w:val="continue"/>
                  <w:tcBorders>
                    <w:tl2br w:val="nil"/>
                    <w:tr2bl w:val="nil"/>
                  </w:tcBorders>
                  <w:noWrap w:val="0"/>
                  <w:vAlign w:val="center"/>
                </w:tcPr>
                <w:p w14:paraId="32B474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r>
            <w:tr w14:paraId="000C00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354" w:type="pct"/>
                  <w:vMerge w:val="continue"/>
                  <w:tcBorders>
                    <w:tl2br w:val="nil"/>
                    <w:tr2bl w:val="nil"/>
                  </w:tcBorders>
                  <w:noWrap w:val="0"/>
                  <w:vAlign w:val="center"/>
                </w:tcPr>
                <w:p w14:paraId="377FB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394" w:type="pct"/>
                  <w:vMerge w:val="continue"/>
                  <w:tcBorders>
                    <w:tl2br w:val="nil"/>
                    <w:tr2bl w:val="nil"/>
                  </w:tcBorders>
                  <w:noWrap w:val="0"/>
                  <w:vAlign w:val="center"/>
                </w:tcPr>
                <w:p w14:paraId="3BB47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c>
                <w:tcPr>
                  <w:tcW w:w="917" w:type="pct"/>
                  <w:tcBorders>
                    <w:tl2br w:val="nil"/>
                    <w:tr2bl w:val="nil"/>
                  </w:tcBorders>
                  <w:noWrap w:val="0"/>
                  <w:vAlign w:val="center"/>
                </w:tcPr>
                <w:p w14:paraId="6150A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地面清洗废水</w:t>
                  </w:r>
                </w:p>
              </w:tc>
              <w:tc>
                <w:tcPr>
                  <w:tcW w:w="672" w:type="pct"/>
                  <w:vMerge w:val="continue"/>
                  <w:tcBorders>
                    <w:tl2br w:val="nil"/>
                    <w:tr2bl w:val="nil"/>
                  </w:tcBorders>
                  <w:noWrap w:val="0"/>
                  <w:vAlign w:val="center"/>
                </w:tcPr>
                <w:p w14:paraId="20CBD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2662" w:type="pct"/>
                  <w:vMerge w:val="continue"/>
                  <w:tcBorders>
                    <w:tl2br w:val="nil"/>
                    <w:tr2bl w:val="nil"/>
                  </w:tcBorders>
                  <w:noWrap w:val="0"/>
                  <w:vAlign w:val="center"/>
                </w:tcPr>
                <w:p w14:paraId="0F3BC8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r>
            <w:tr w14:paraId="5F4CCE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restart"/>
                  <w:tcBorders>
                    <w:tl2br w:val="nil"/>
                    <w:tr2bl w:val="nil"/>
                  </w:tcBorders>
                  <w:noWrap w:val="0"/>
                  <w:vAlign w:val="center"/>
                </w:tcPr>
                <w:p w14:paraId="1294E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废</w:t>
                  </w:r>
                  <w:r>
                    <w:rPr>
                      <w:rFonts w:hint="eastAsia"/>
                      <w:lang w:val="en-US" w:eastAsia="zh-CN"/>
                    </w:rPr>
                    <w:t>气</w:t>
                  </w:r>
                </w:p>
              </w:tc>
              <w:tc>
                <w:tcPr>
                  <w:tcW w:w="394" w:type="pct"/>
                  <w:vMerge w:val="restart"/>
                  <w:tcBorders>
                    <w:tl2br w:val="nil"/>
                    <w:tr2bl w:val="nil"/>
                  </w:tcBorders>
                  <w:noWrap w:val="0"/>
                  <w:vAlign w:val="center"/>
                </w:tcPr>
                <w:p w14:paraId="6AAC0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产品生产</w:t>
                  </w:r>
                </w:p>
              </w:tc>
              <w:tc>
                <w:tcPr>
                  <w:tcW w:w="917" w:type="pct"/>
                  <w:tcBorders>
                    <w:tl2br w:val="nil"/>
                    <w:tr2bl w:val="nil"/>
                  </w:tcBorders>
                  <w:noWrap w:val="0"/>
                  <w:vAlign w:val="center"/>
                </w:tcPr>
                <w:p w14:paraId="71D9B6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eastAsia" w:cs="Times New Roman"/>
                      <w:sz w:val="21"/>
                      <w:szCs w:val="21"/>
                      <w:lang w:val="en-US" w:eastAsia="zh-CN"/>
                    </w:rPr>
                    <w:t>粉碎废气</w:t>
                  </w:r>
                </w:p>
              </w:tc>
              <w:tc>
                <w:tcPr>
                  <w:tcW w:w="672" w:type="pct"/>
                  <w:tcBorders>
                    <w:tl2br w:val="nil"/>
                    <w:tr2bl w:val="nil"/>
                  </w:tcBorders>
                  <w:noWrap w:val="0"/>
                  <w:vAlign w:val="center"/>
                </w:tcPr>
                <w:p w14:paraId="6425EBFC">
                  <w:pPr>
                    <w:keepNext w:val="0"/>
                    <w:keepLines w:val="0"/>
                    <w:pageBreakBefore w:val="0"/>
                    <w:widowControl w:val="0"/>
                    <w:suppressLineNumbers w:val="0"/>
                    <w:tabs>
                      <w:tab w:val="center" w:pos="0"/>
                      <w:tab w:val="left" w:pos="362"/>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颗粒物</w:t>
                  </w:r>
                </w:p>
              </w:tc>
              <w:tc>
                <w:tcPr>
                  <w:tcW w:w="2662" w:type="pct"/>
                  <w:tcBorders>
                    <w:tl2br w:val="nil"/>
                    <w:tr2bl w:val="nil"/>
                  </w:tcBorders>
                  <w:noWrap w:val="0"/>
                  <w:vAlign w:val="center"/>
                </w:tcPr>
                <w:p w14:paraId="0D0A6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rPr>
                  </w:pPr>
                  <w:r>
                    <w:rPr>
                      <w:rFonts w:hint="eastAsia" w:cs="Times New Roman"/>
                      <w:sz w:val="21"/>
                      <w:szCs w:val="21"/>
                      <w:lang w:val="en-US" w:eastAsia="zh-CN"/>
                    </w:rPr>
                    <w:t>粉尘通过</w:t>
                  </w:r>
                  <w:r>
                    <w:rPr>
                      <w:rFonts w:hint="eastAsia"/>
                      <w:szCs w:val="21"/>
                      <w:lang w:val="en-US" w:eastAsia="zh-CN"/>
                    </w:rPr>
                    <w:t>粉碎</w:t>
                  </w:r>
                  <w:r>
                    <w:rPr>
                      <w:rFonts w:hint="eastAsia"/>
                      <w:szCs w:val="21"/>
                    </w:rPr>
                    <w:t>机</w:t>
                  </w:r>
                  <w:r>
                    <w:rPr>
                      <w:rFonts w:hint="eastAsia"/>
                      <w:szCs w:val="21"/>
                      <w:lang w:val="en-US" w:eastAsia="zh-CN"/>
                    </w:rPr>
                    <w:t>自带</w:t>
                  </w:r>
                  <w:r>
                    <w:rPr>
                      <w:rFonts w:hint="eastAsia"/>
                      <w:szCs w:val="21"/>
                    </w:rPr>
                    <w:t>的</w:t>
                  </w:r>
                  <w:r>
                    <w:rPr>
                      <w:rFonts w:hint="eastAsia"/>
                      <w:szCs w:val="21"/>
                      <w:lang w:val="en-US" w:eastAsia="zh-CN"/>
                    </w:rPr>
                    <w:t>布袋</w:t>
                  </w:r>
                  <w:r>
                    <w:rPr>
                      <w:rFonts w:hint="eastAsia"/>
                      <w:szCs w:val="21"/>
                    </w:rPr>
                    <w:t>除尘器</w:t>
                  </w:r>
                  <w:r>
                    <w:rPr>
                      <w:rFonts w:hint="eastAsia"/>
                      <w:szCs w:val="21"/>
                      <w:lang w:val="en-US" w:eastAsia="zh-CN"/>
                    </w:rPr>
                    <w:t>处理后</w:t>
                  </w:r>
                  <w:r>
                    <w:rPr>
                      <w:rFonts w:hint="eastAsia"/>
                      <w:szCs w:val="21"/>
                    </w:rPr>
                    <w:t>，少部分逸散于</w:t>
                  </w:r>
                  <w:r>
                    <w:rPr>
                      <w:rFonts w:hint="eastAsia"/>
                      <w:szCs w:val="21"/>
                      <w:lang w:val="en-US" w:eastAsia="zh-CN"/>
                    </w:rPr>
                    <w:t>磨粉间</w:t>
                  </w:r>
                  <w:r>
                    <w:rPr>
                      <w:rFonts w:hint="eastAsia"/>
                      <w:szCs w:val="21"/>
                    </w:rPr>
                    <w:t>无组织排放</w:t>
                  </w:r>
                </w:p>
              </w:tc>
            </w:tr>
            <w:tr w14:paraId="06D7EA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5F505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c>
                <w:tcPr>
                  <w:tcW w:w="394" w:type="pct"/>
                  <w:vMerge w:val="continue"/>
                  <w:tcBorders>
                    <w:tl2br w:val="nil"/>
                    <w:tr2bl w:val="nil"/>
                  </w:tcBorders>
                  <w:noWrap w:val="0"/>
                  <w:vAlign w:val="center"/>
                </w:tcPr>
                <w:p w14:paraId="28096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c>
                <w:tcPr>
                  <w:tcW w:w="917" w:type="pct"/>
                  <w:tcBorders>
                    <w:tl2br w:val="nil"/>
                    <w:tr2bl w:val="nil"/>
                  </w:tcBorders>
                  <w:noWrap w:val="0"/>
                  <w:vAlign w:val="center"/>
                </w:tcPr>
                <w:p w14:paraId="3D245E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配料废气</w:t>
                  </w:r>
                </w:p>
              </w:tc>
              <w:tc>
                <w:tcPr>
                  <w:tcW w:w="672" w:type="pct"/>
                  <w:tcBorders>
                    <w:tl2br w:val="nil"/>
                    <w:tr2bl w:val="nil"/>
                  </w:tcBorders>
                  <w:noWrap w:val="0"/>
                  <w:vAlign w:val="center"/>
                </w:tcPr>
                <w:p w14:paraId="528DA1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颗粒物</w:t>
                  </w:r>
                </w:p>
              </w:tc>
              <w:tc>
                <w:tcPr>
                  <w:tcW w:w="2662" w:type="pct"/>
                  <w:tcBorders>
                    <w:tl2br w:val="nil"/>
                    <w:tr2bl w:val="nil"/>
                  </w:tcBorders>
                  <w:noWrap w:val="0"/>
                  <w:vAlign w:val="center"/>
                </w:tcPr>
                <w:p w14:paraId="70251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采取配料间封闭，定期清扫地面</w:t>
                  </w:r>
                </w:p>
              </w:tc>
            </w:tr>
            <w:tr w14:paraId="5374DE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764A2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c>
                <w:tcPr>
                  <w:tcW w:w="394" w:type="pct"/>
                  <w:vMerge w:val="continue"/>
                  <w:tcBorders>
                    <w:tl2br w:val="nil"/>
                    <w:tr2bl w:val="nil"/>
                  </w:tcBorders>
                  <w:noWrap w:val="0"/>
                  <w:vAlign w:val="center"/>
                </w:tcPr>
                <w:p w14:paraId="32428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c>
                <w:tcPr>
                  <w:tcW w:w="917" w:type="pct"/>
                  <w:tcBorders>
                    <w:tl2br w:val="nil"/>
                    <w:tr2bl w:val="nil"/>
                  </w:tcBorders>
                  <w:noWrap w:val="0"/>
                  <w:vAlign w:val="center"/>
                </w:tcPr>
                <w:p w14:paraId="77882C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油烟废气</w:t>
                  </w:r>
                </w:p>
              </w:tc>
              <w:tc>
                <w:tcPr>
                  <w:tcW w:w="672" w:type="pct"/>
                  <w:tcBorders>
                    <w:tl2br w:val="nil"/>
                    <w:tr2bl w:val="nil"/>
                  </w:tcBorders>
                  <w:noWrap w:val="0"/>
                  <w:vAlign w:val="center"/>
                </w:tcPr>
                <w:p w14:paraId="650EA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颗粒物</w:t>
                  </w:r>
                </w:p>
              </w:tc>
              <w:tc>
                <w:tcPr>
                  <w:tcW w:w="2662" w:type="pct"/>
                  <w:tcBorders>
                    <w:tl2br w:val="nil"/>
                    <w:tr2bl w:val="nil"/>
                  </w:tcBorders>
                  <w:noWrap w:val="0"/>
                  <w:vAlign w:val="center"/>
                </w:tcPr>
                <w:p w14:paraId="4B77CE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产生量极，封闭车间内无组织排放</w:t>
                  </w:r>
                </w:p>
              </w:tc>
            </w:tr>
            <w:tr w14:paraId="63B2F0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79304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c>
                <w:tcPr>
                  <w:tcW w:w="394" w:type="pct"/>
                  <w:vMerge w:val="continue"/>
                  <w:tcBorders>
                    <w:tl2br w:val="nil"/>
                    <w:tr2bl w:val="nil"/>
                  </w:tcBorders>
                  <w:noWrap w:val="0"/>
                  <w:vAlign w:val="center"/>
                </w:tcPr>
                <w:p w14:paraId="07D97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c>
                <w:tcPr>
                  <w:tcW w:w="917" w:type="pct"/>
                  <w:tcBorders>
                    <w:tl2br w:val="nil"/>
                    <w:tr2bl w:val="nil"/>
                  </w:tcBorders>
                  <w:noWrap w:val="0"/>
                  <w:vAlign w:val="center"/>
                </w:tcPr>
                <w:p w14:paraId="5912D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油雾废气</w:t>
                  </w:r>
                </w:p>
              </w:tc>
              <w:tc>
                <w:tcPr>
                  <w:tcW w:w="672" w:type="pct"/>
                  <w:tcBorders>
                    <w:tl2br w:val="nil"/>
                    <w:tr2bl w:val="nil"/>
                  </w:tcBorders>
                  <w:noWrap w:val="0"/>
                  <w:vAlign w:val="center"/>
                </w:tcPr>
                <w:p w14:paraId="107088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颗粒物</w:t>
                  </w:r>
                </w:p>
              </w:tc>
              <w:tc>
                <w:tcPr>
                  <w:tcW w:w="2662" w:type="pct"/>
                  <w:tcBorders>
                    <w:tl2br w:val="nil"/>
                    <w:tr2bl w:val="nil"/>
                  </w:tcBorders>
                  <w:noWrap w:val="0"/>
                  <w:vAlign w:val="center"/>
                </w:tcPr>
                <w:p w14:paraId="50CD0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调味间封闭，定期清理地面</w:t>
                  </w:r>
                </w:p>
              </w:tc>
            </w:tr>
            <w:tr w14:paraId="79723A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06143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c>
                <w:tcPr>
                  <w:tcW w:w="394" w:type="pct"/>
                  <w:vMerge w:val="continue"/>
                  <w:tcBorders>
                    <w:tl2br w:val="nil"/>
                    <w:tr2bl w:val="nil"/>
                  </w:tcBorders>
                  <w:noWrap w:val="0"/>
                  <w:vAlign w:val="center"/>
                </w:tcPr>
                <w:p w14:paraId="5F3BB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p>
              </w:tc>
              <w:tc>
                <w:tcPr>
                  <w:tcW w:w="917" w:type="pct"/>
                  <w:tcBorders>
                    <w:tl2br w:val="nil"/>
                    <w:tr2bl w:val="nil"/>
                  </w:tcBorders>
                  <w:noWrap w:val="0"/>
                  <w:vAlign w:val="center"/>
                </w:tcPr>
                <w:p w14:paraId="0FBAA3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原料清洗</w:t>
                  </w:r>
                </w:p>
              </w:tc>
              <w:tc>
                <w:tcPr>
                  <w:tcW w:w="672" w:type="pct"/>
                  <w:tcBorders>
                    <w:tl2br w:val="nil"/>
                    <w:tr2bl w:val="nil"/>
                  </w:tcBorders>
                  <w:noWrap w:val="0"/>
                  <w:vAlign w:val="center"/>
                </w:tcPr>
                <w:p w14:paraId="278CC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臭气浓度</w:t>
                  </w:r>
                </w:p>
              </w:tc>
              <w:tc>
                <w:tcPr>
                  <w:tcW w:w="2662" w:type="pct"/>
                  <w:tcBorders>
                    <w:tl2br w:val="nil"/>
                    <w:tr2bl w:val="nil"/>
                  </w:tcBorders>
                  <w:noWrap w:val="0"/>
                  <w:vAlign w:val="center"/>
                </w:tcPr>
                <w:p w14:paraId="2855B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定期在车间周围喷洒微生物除臭剂，加强车间通风</w:t>
                  </w:r>
                </w:p>
              </w:tc>
            </w:tr>
            <w:tr w14:paraId="05789D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54" w:type="pct"/>
                  <w:tcBorders>
                    <w:tl2br w:val="nil"/>
                    <w:tr2bl w:val="nil"/>
                  </w:tcBorders>
                  <w:noWrap w:val="0"/>
                  <w:vAlign w:val="center"/>
                </w:tcPr>
                <w:p w14:paraId="79A036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394" w:type="pct"/>
                  <w:tcBorders>
                    <w:tl2br w:val="nil"/>
                    <w:tr2bl w:val="nil"/>
                  </w:tcBorders>
                  <w:noWrap w:val="0"/>
                  <w:vAlign w:val="center"/>
                </w:tcPr>
                <w:p w14:paraId="6E660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生产车间</w:t>
                  </w:r>
                </w:p>
              </w:tc>
              <w:tc>
                <w:tcPr>
                  <w:tcW w:w="917" w:type="pct"/>
                  <w:tcBorders>
                    <w:tl2br w:val="nil"/>
                    <w:tr2bl w:val="nil"/>
                  </w:tcBorders>
                  <w:noWrap w:val="0"/>
                  <w:vAlign w:val="center"/>
                </w:tcPr>
                <w:p w14:paraId="1024F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设备噪声等</w:t>
                  </w:r>
                </w:p>
              </w:tc>
              <w:tc>
                <w:tcPr>
                  <w:tcW w:w="672" w:type="pct"/>
                  <w:tcBorders>
                    <w:tl2br w:val="nil"/>
                    <w:tr2bl w:val="nil"/>
                  </w:tcBorders>
                  <w:noWrap w:val="0"/>
                  <w:vAlign w:val="center"/>
                </w:tcPr>
                <w:p w14:paraId="31AA9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2662" w:type="pct"/>
                  <w:tcBorders>
                    <w:tl2br w:val="nil"/>
                    <w:tr2bl w:val="nil"/>
                  </w:tcBorders>
                  <w:noWrap w:val="0"/>
                  <w:vAlign w:val="center"/>
                </w:tcPr>
                <w:p w14:paraId="40ACFA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优选低噪设备，合理布局、基础减振，隔声、消声、距离衰减</w:t>
                  </w:r>
                </w:p>
              </w:tc>
            </w:tr>
            <w:tr w14:paraId="44D8B3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restart"/>
                  <w:tcBorders>
                    <w:tl2br w:val="nil"/>
                    <w:tr2bl w:val="nil"/>
                  </w:tcBorders>
                  <w:noWrap w:val="0"/>
                  <w:vAlign w:val="center"/>
                </w:tcPr>
                <w:p w14:paraId="41356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固废</w:t>
                  </w:r>
                </w:p>
              </w:tc>
              <w:tc>
                <w:tcPr>
                  <w:tcW w:w="394" w:type="pct"/>
                  <w:vMerge w:val="restart"/>
                  <w:tcBorders>
                    <w:tl2br w:val="nil"/>
                    <w:tr2bl w:val="nil"/>
                  </w:tcBorders>
                  <w:noWrap w:val="0"/>
                  <w:vAlign w:val="center"/>
                </w:tcPr>
                <w:p w14:paraId="51B3B4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产品生产</w:t>
                  </w:r>
                </w:p>
              </w:tc>
              <w:tc>
                <w:tcPr>
                  <w:tcW w:w="1589" w:type="pct"/>
                  <w:gridSpan w:val="2"/>
                  <w:tcBorders>
                    <w:tl2br w:val="nil"/>
                    <w:tr2bl w:val="nil"/>
                  </w:tcBorders>
                  <w:noWrap w:val="0"/>
                  <w:vAlign w:val="center"/>
                </w:tcPr>
                <w:p w14:paraId="00E79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废包装材料</w:t>
                  </w:r>
                </w:p>
              </w:tc>
              <w:tc>
                <w:tcPr>
                  <w:tcW w:w="2662" w:type="pct"/>
                  <w:tcBorders>
                    <w:tl2br w:val="nil"/>
                    <w:tr2bl w:val="nil"/>
                  </w:tcBorders>
                  <w:noWrap w:val="0"/>
                  <w:vAlign w:val="center"/>
                </w:tcPr>
                <w:p w14:paraId="75096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暂存于一般固废库，定期外售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给物资回收公司</w:t>
                  </w:r>
                </w:p>
              </w:tc>
            </w:tr>
            <w:tr w14:paraId="1A1021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36D14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vMerge w:val="continue"/>
                  <w:tcBorders>
                    <w:tl2br w:val="nil"/>
                    <w:tr2bl w:val="nil"/>
                  </w:tcBorders>
                  <w:noWrap w:val="0"/>
                  <w:vAlign w:val="center"/>
                </w:tcPr>
                <w:p w14:paraId="43DB85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589" w:type="pct"/>
                  <w:gridSpan w:val="2"/>
                  <w:tcBorders>
                    <w:tl2br w:val="nil"/>
                    <w:tr2bl w:val="nil"/>
                  </w:tcBorders>
                  <w:noWrap w:val="0"/>
                  <w:vAlign w:val="center"/>
                </w:tcPr>
                <w:p w14:paraId="5EDB4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杂质</w:t>
                  </w:r>
                </w:p>
              </w:tc>
              <w:tc>
                <w:tcPr>
                  <w:tcW w:w="2662" w:type="pct"/>
                  <w:tcBorders>
                    <w:tl2br w:val="nil"/>
                    <w:tr2bl w:val="nil"/>
                  </w:tcBorders>
                  <w:noWrap w:val="0"/>
                  <w:vAlign w:val="center"/>
                </w:tcPr>
                <w:p w14:paraId="04553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暂存于一般固废库，定期外售</w:t>
                  </w:r>
                  <w:r>
                    <w:rPr>
                      <w:rFonts w:hint="eastAsia" w:cs="Times New Roman"/>
                      <w:color w:val="000000" w:themeColor="text1"/>
                      <w:sz w:val="21"/>
                      <w:szCs w:val="21"/>
                      <w:lang w:val="en-US" w:eastAsia="zh-CN"/>
                      <w14:textFill>
                        <w14:solidFill>
                          <w14:schemeClr w14:val="tx1"/>
                        </w14:solidFill>
                      </w14:textFill>
                    </w:rPr>
                    <w:t>给饲料生产公司</w:t>
                  </w:r>
                </w:p>
              </w:tc>
            </w:tr>
            <w:tr w14:paraId="5E1B84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77184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vMerge w:val="continue"/>
                  <w:tcBorders>
                    <w:tl2br w:val="nil"/>
                    <w:tr2bl w:val="nil"/>
                  </w:tcBorders>
                  <w:noWrap w:val="0"/>
                  <w:vAlign w:val="center"/>
                </w:tcPr>
                <w:p w14:paraId="3D094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589" w:type="pct"/>
                  <w:gridSpan w:val="2"/>
                  <w:tcBorders>
                    <w:tl2br w:val="nil"/>
                    <w:tr2bl w:val="nil"/>
                  </w:tcBorders>
                  <w:noWrap w:val="0"/>
                  <w:vAlign w:val="center"/>
                </w:tcPr>
                <w:p w14:paraId="336E7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过筛物料</w:t>
                  </w:r>
                </w:p>
              </w:tc>
              <w:tc>
                <w:tcPr>
                  <w:tcW w:w="2662" w:type="pct"/>
                  <w:tcBorders>
                    <w:tl2br w:val="nil"/>
                    <w:tr2bl w:val="nil"/>
                  </w:tcBorders>
                  <w:noWrap w:val="0"/>
                  <w:vAlign w:val="center"/>
                </w:tcPr>
                <w:p w14:paraId="7F3781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cs="宋体"/>
                      <w:szCs w:val="21"/>
                      <w:lang w:bidi="ar"/>
                    </w:rPr>
                    <w:t>统一收集后回用于生产线</w:t>
                  </w:r>
                </w:p>
              </w:tc>
            </w:tr>
            <w:tr w14:paraId="0094F1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7" w:hRule="atLeast"/>
              </w:trPr>
              <w:tc>
                <w:tcPr>
                  <w:tcW w:w="354" w:type="pct"/>
                  <w:vMerge w:val="continue"/>
                  <w:tcBorders>
                    <w:tl2br w:val="nil"/>
                    <w:tr2bl w:val="nil"/>
                  </w:tcBorders>
                  <w:noWrap w:val="0"/>
                  <w:vAlign w:val="center"/>
                </w:tcPr>
                <w:p w14:paraId="7FC551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vMerge w:val="continue"/>
                  <w:tcBorders>
                    <w:tl2br w:val="nil"/>
                    <w:tr2bl w:val="nil"/>
                  </w:tcBorders>
                  <w:noWrap w:val="0"/>
                  <w:vAlign w:val="center"/>
                </w:tcPr>
                <w:p w14:paraId="7FDFA8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589" w:type="pct"/>
                  <w:gridSpan w:val="2"/>
                  <w:tcBorders>
                    <w:tl2br w:val="nil"/>
                    <w:tr2bl w:val="nil"/>
                  </w:tcBorders>
                  <w:noWrap w:val="0"/>
                  <w:vAlign w:val="center"/>
                </w:tcPr>
                <w:p w14:paraId="6DEFA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废油物</w:t>
                  </w:r>
                </w:p>
              </w:tc>
              <w:tc>
                <w:tcPr>
                  <w:tcW w:w="2662" w:type="pct"/>
                  <w:tcBorders>
                    <w:tl2br w:val="nil"/>
                    <w:tr2bl w:val="nil"/>
                  </w:tcBorders>
                  <w:noWrap w:val="0"/>
                  <w:vAlign w:val="center"/>
                </w:tcPr>
                <w:p w14:paraId="4A664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暂存于一般固废库，</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委托环卫部门定期清运</w:t>
                  </w:r>
                </w:p>
              </w:tc>
            </w:tr>
            <w:tr w14:paraId="6BA27C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00606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vMerge w:val="continue"/>
                  <w:tcBorders>
                    <w:tl2br w:val="nil"/>
                    <w:tr2bl w:val="nil"/>
                  </w:tcBorders>
                  <w:noWrap w:val="0"/>
                  <w:vAlign w:val="center"/>
                </w:tcPr>
                <w:p w14:paraId="1B440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589" w:type="pct"/>
                  <w:gridSpan w:val="2"/>
                  <w:tcBorders>
                    <w:tl2br w:val="nil"/>
                    <w:tr2bl w:val="nil"/>
                  </w:tcBorders>
                  <w:noWrap w:val="0"/>
                  <w:vAlign w:val="center"/>
                </w:tcPr>
                <w:p w14:paraId="628247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不合格品</w:t>
                  </w:r>
                </w:p>
              </w:tc>
              <w:tc>
                <w:tcPr>
                  <w:tcW w:w="2662" w:type="pct"/>
                  <w:tcBorders>
                    <w:tl2br w:val="nil"/>
                    <w:tr2bl w:val="nil"/>
                  </w:tcBorders>
                  <w:noWrap w:val="0"/>
                  <w:vAlign w:val="center"/>
                </w:tcPr>
                <w:p w14:paraId="3556AC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暂存于一般</w:t>
                  </w:r>
                  <w:r>
                    <w:rPr>
                      <w:rFonts w:hint="eastAsia" w:cs="Times New Roman"/>
                      <w:color w:val="000000" w:themeColor="text1"/>
                      <w:sz w:val="21"/>
                      <w:szCs w:val="21"/>
                      <w:lang w:val="en-US" w:eastAsia="zh-CN"/>
                      <w14:textFill>
                        <w14:solidFill>
                          <w14:schemeClr w14:val="tx1"/>
                        </w14:solidFill>
                      </w14:textFill>
                    </w:rPr>
                    <w:t>固废库</w:t>
                  </w:r>
                  <w:r>
                    <w:rPr>
                      <w:rFonts w:hint="default" w:ascii="Times New Roman" w:hAnsi="Times New Roman" w:eastAsia="宋体" w:cs="Times New Roman"/>
                      <w:color w:val="000000" w:themeColor="text1"/>
                      <w:sz w:val="21"/>
                      <w:szCs w:val="21"/>
                      <w14:textFill>
                        <w14:solidFill>
                          <w14:schemeClr w14:val="tx1"/>
                        </w14:solidFill>
                      </w14:textFill>
                    </w:rPr>
                    <w:t>，定期外售</w:t>
                  </w:r>
                  <w:r>
                    <w:rPr>
                      <w:rFonts w:hint="default"/>
                      <w:color w:val="000000" w:themeColor="text1"/>
                      <w14:textFill>
                        <w14:solidFill>
                          <w14:schemeClr w14:val="tx1"/>
                        </w14:solidFill>
                      </w14:textFill>
                    </w:rPr>
                    <w:t>给饲料生产公司</w:t>
                  </w:r>
                </w:p>
              </w:tc>
            </w:tr>
            <w:tr w14:paraId="2745D9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0CE47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vMerge w:val="continue"/>
                  <w:tcBorders>
                    <w:tl2br w:val="nil"/>
                    <w:tr2bl w:val="nil"/>
                  </w:tcBorders>
                  <w:noWrap w:val="0"/>
                  <w:vAlign w:val="center"/>
                </w:tcPr>
                <w:p w14:paraId="2F771E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589" w:type="pct"/>
                  <w:gridSpan w:val="2"/>
                  <w:tcBorders>
                    <w:tl2br w:val="nil"/>
                    <w:tr2bl w:val="nil"/>
                  </w:tcBorders>
                  <w:noWrap w:val="0"/>
                  <w:vAlign w:val="center"/>
                </w:tcPr>
                <w:p w14:paraId="118E5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废紫外灯管</w:t>
                  </w:r>
                </w:p>
              </w:tc>
              <w:tc>
                <w:tcPr>
                  <w:tcW w:w="2662" w:type="pct"/>
                  <w:tcBorders>
                    <w:tl2br w:val="nil"/>
                    <w:tr2bl w:val="nil"/>
                  </w:tcBorders>
                  <w:noWrap w:val="0"/>
                  <w:vAlign w:val="center"/>
                </w:tcPr>
                <w:p w14:paraId="257FB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暂存于危废库，委托有资质单位处置</w:t>
                  </w:r>
                </w:p>
              </w:tc>
            </w:tr>
            <w:tr w14:paraId="21B924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5F9E3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vMerge w:val="restart"/>
                  <w:tcBorders>
                    <w:tl2br w:val="nil"/>
                    <w:tr2bl w:val="nil"/>
                  </w:tcBorders>
                  <w:noWrap w:val="0"/>
                  <w:vAlign w:val="center"/>
                </w:tcPr>
                <w:p w14:paraId="1E8F8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废气治理</w:t>
                  </w:r>
                </w:p>
              </w:tc>
              <w:tc>
                <w:tcPr>
                  <w:tcW w:w="1589" w:type="pct"/>
                  <w:gridSpan w:val="2"/>
                  <w:tcBorders>
                    <w:tl2br w:val="nil"/>
                    <w:tr2bl w:val="nil"/>
                  </w:tcBorders>
                  <w:noWrap w:val="0"/>
                  <w:vAlign w:val="center"/>
                </w:tcPr>
                <w:p w14:paraId="18B18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除尘器收集粉尘</w:t>
                  </w:r>
                </w:p>
              </w:tc>
              <w:tc>
                <w:tcPr>
                  <w:tcW w:w="2662" w:type="pct"/>
                  <w:tcBorders>
                    <w:tl2br w:val="nil"/>
                    <w:tr2bl w:val="nil"/>
                  </w:tcBorders>
                  <w:noWrap w:val="0"/>
                  <w:vAlign w:val="center"/>
                </w:tcPr>
                <w:p w14:paraId="113B2B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暂存于一般固废库，定期外售给饲料生产公司</w:t>
                  </w:r>
                </w:p>
              </w:tc>
            </w:tr>
            <w:tr w14:paraId="5E0F95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25906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vMerge w:val="continue"/>
                  <w:tcBorders>
                    <w:tl2br w:val="nil"/>
                    <w:tr2bl w:val="nil"/>
                  </w:tcBorders>
                  <w:noWrap w:val="0"/>
                  <w:vAlign w:val="center"/>
                </w:tcPr>
                <w:p w14:paraId="148CA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589" w:type="pct"/>
                  <w:gridSpan w:val="2"/>
                  <w:tcBorders>
                    <w:tl2br w:val="nil"/>
                    <w:tr2bl w:val="nil"/>
                  </w:tcBorders>
                  <w:noWrap w:val="0"/>
                  <w:vAlign w:val="center"/>
                </w:tcPr>
                <w:p w14:paraId="30375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废布袋</w:t>
                  </w:r>
                </w:p>
              </w:tc>
              <w:tc>
                <w:tcPr>
                  <w:tcW w:w="2662" w:type="pct"/>
                  <w:tcBorders>
                    <w:tl2br w:val="nil"/>
                    <w:tr2bl w:val="nil"/>
                  </w:tcBorders>
                  <w:noWrap w:val="0"/>
                  <w:vAlign w:val="center"/>
                </w:tcPr>
                <w:p w14:paraId="72DA0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由厂家回收再利用</w:t>
                  </w:r>
                </w:p>
              </w:tc>
            </w:tr>
            <w:tr w14:paraId="7E9DBD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76890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vMerge w:val="continue"/>
                  <w:tcBorders>
                    <w:tl2br w:val="nil"/>
                    <w:tr2bl w:val="nil"/>
                  </w:tcBorders>
                  <w:noWrap w:val="0"/>
                  <w:vAlign w:val="center"/>
                </w:tcPr>
                <w:p w14:paraId="7C0D1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589" w:type="pct"/>
                  <w:gridSpan w:val="2"/>
                  <w:tcBorders>
                    <w:tl2br w:val="nil"/>
                    <w:tr2bl w:val="nil"/>
                  </w:tcBorders>
                  <w:noWrap w:val="0"/>
                  <w:vAlign w:val="center"/>
                </w:tcPr>
                <w:p w14:paraId="28741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地面清扫粉尘</w:t>
                  </w:r>
                </w:p>
              </w:tc>
              <w:tc>
                <w:tcPr>
                  <w:tcW w:w="2662" w:type="pct"/>
                  <w:tcBorders>
                    <w:tl2br w:val="nil"/>
                    <w:tr2bl w:val="nil"/>
                  </w:tcBorders>
                  <w:noWrap w:val="0"/>
                  <w:vAlign w:val="center"/>
                </w:tcPr>
                <w:p w14:paraId="01AE10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暂存于一般固废库，定期外售给饲料生产公司</w:t>
                  </w:r>
                </w:p>
              </w:tc>
            </w:tr>
            <w:tr w14:paraId="5293FCF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402CC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tcBorders>
                    <w:tl2br w:val="nil"/>
                    <w:tr2bl w:val="nil"/>
                  </w:tcBorders>
                  <w:noWrap w:val="0"/>
                  <w:vAlign w:val="center"/>
                </w:tcPr>
                <w:p w14:paraId="7D8D36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废水治理</w:t>
                  </w:r>
                </w:p>
              </w:tc>
              <w:tc>
                <w:tcPr>
                  <w:tcW w:w="1589" w:type="pct"/>
                  <w:gridSpan w:val="2"/>
                  <w:tcBorders>
                    <w:tl2br w:val="nil"/>
                    <w:tr2bl w:val="nil"/>
                  </w:tcBorders>
                  <w:noWrap w:val="0"/>
                  <w:vAlign w:val="center"/>
                </w:tcPr>
                <w:p w14:paraId="2CF3EA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污泥</w:t>
                  </w:r>
                </w:p>
              </w:tc>
              <w:tc>
                <w:tcPr>
                  <w:tcW w:w="2662" w:type="pct"/>
                  <w:tcBorders>
                    <w:tl2br w:val="nil"/>
                    <w:tr2bl w:val="nil"/>
                  </w:tcBorders>
                  <w:noWrap w:val="0"/>
                  <w:vAlign w:val="center"/>
                </w:tcPr>
                <w:p w14:paraId="5B7E7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委托环卫部门定期清运</w:t>
                  </w:r>
                </w:p>
              </w:tc>
            </w:tr>
            <w:tr w14:paraId="29A510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3EF360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tcBorders>
                    <w:tl2br w:val="nil"/>
                    <w:tr2bl w:val="nil"/>
                  </w:tcBorders>
                  <w:noWrap w:val="0"/>
                  <w:vAlign w:val="center"/>
                </w:tcPr>
                <w:p w14:paraId="63F7D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设备维修</w:t>
                  </w:r>
                </w:p>
              </w:tc>
              <w:tc>
                <w:tcPr>
                  <w:tcW w:w="1589" w:type="pct"/>
                  <w:gridSpan w:val="2"/>
                  <w:tcBorders>
                    <w:tl2br w:val="nil"/>
                    <w:tr2bl w:val="nil"/>
                  </w:tcBorders>
                  <w:noWrap w:val="0"/>
                  <w:vAlign w:val="center"/>
                </w:tcPr>
                <w:p w14:paraId="0AE11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废机油、废机油桶</w:t>
                  </w:r>
                </w:p>
              </w:tc>
              <w:tc>
                <w:tcPr>
                  <w:tcW w:w="2662" w:type="pct"/>
                  <w:tcBorders>
                    <w:tl2br w:val="nil"/>
                    <w:tr2bl w:val="nil"/>
                  </w:tcBorders>
                  <w:noWrap w:val="0"/>
                  <w:vAlign w:val="center"/>
                </w:tcPr>
                <w:p w14:paraId="35FB9B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由设备维修公司带走</w:t>
                  </w:r>
                </w:p>
              </w:tc>
            </w:tr>
            <w:tr w14:paraId="4B472B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3A0048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tcBorders>
                    <w:tl2br w:val="nil"/>
                    <w:tr2bl w:val="nil"/>
                  </w:tcBorders>
                  <w:noWrap w:val="0"/>
                  <w:vAlign w:val="center"/>
                </w:tcPr>
                <w:p w14:paraId="30D33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办公生活</w:t>
                  </w:r>
                </w:p>
              </w:tc>
              <w:tc>
                <w:tcPr>
                  <w:tcW w:w="1589" w:type="pct"/>
                  <w:gridSpan w:val="2"/>
                  <w:tcBorders>
                    <w:tl2br w:val="nil"/>
                    <w:tr2bl w:val="nil"/>
                  </w:tcBorders>
                  <w:noWrap w:val="0"/>
                  <w:vAlign w:val="center"/>
                </w:tcPr>
                <w:p w14:paraId="70AEA7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2662" w:type="pct"/>
                  <w:tcBorders>
                    <w:tl2br w:val="nil"/>
                    <w:tr2bl w:val="nil"/>
                  </w:tcBorders>
                  <w:noWrap w:val="0"/>
                  <w:vAlign w:val="center"/>
                </w:tcPr>
                <w:p w14:paraId="78683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由垃圾桶收集，交由环卫部门处置</w:t>
                  </w:r>
                </w:p>
              </w:tc>
            </w:tr>
            <w:tr w14:paraId="7418A9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54" w:type="pct"/>
                  <w:vMerge w:val="continue"/>
                  <w:tcBorders>
                    <w:tl2br w:val="nil"/>
                    <w:tr2bl w:val="nil"/>
                  </w:tcBorders>
                  <w:noWrap w:val="0"/>
                  <w:vAlign w:val="center"/>
                </w:tcPr>
                <w:p w14:paraId="75C3F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cs="Times New Roman"/>
                      <w:sz w:val="21"/>
                      <w:szCs w:val="21"/>
                      <w:lang w:val="en-US" w:eastAsia="zh-CN"/>
                    </w:rPr>
                  </w:pPr>
                </w:p>
              </w:tc>
              <w:tc>
                <w:tcPr>
                  <w:tcW w:w="394" w:type="pct"/>
                  <w:tcBorders>
                    <w:tl2br w:val="nil"/>
                    <w:tr2bl w:val="nil"/>
                  </w:tcBorders>
                  <w:noWrap w:val="0"/>
                  <w:vAlign w:val="center"/>
                </w:tcPr>
                <w:p w14:paraId="57309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设备清洗</w:t>
                  </w:r>
                </w:p>
              </w:tc>
              <w:tc>
                <w:tcPr>
                  <w:tcW w:w="917" w:type="pct"/>
                  <w:tcBorders>
                    <w:tl2br w:val="nil"/>
                    <w:tr2bl w:val="nil"/>
                  </w:tcBorders>
                  <w:noWrap w:val="0"/>
                  <w:vAlign w:val="center"/>
                </w:tcPr>
                <w:p w14:paraId="5F4A9E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废毛巾</w:t>
                  </w:r>
                </w:p>
              </w:tc>
              <w:tc>
                <w:tcPr>
                  <w:tcW w:w="672" w:type="pct"/>
                  <w:tcBorders>
                    <w:tl2br w:val="nil"/>
                    <w:tr2bl w:val="nil"/>
                  </w:tcBorders>
                  <w:noWrap w:val="0"/>
                  <w:vAlign w:val="center"/>
                </w:tcPr>
                <w:p w14:paraId="6D363F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生活垃圾</w:t>
                  </w:r>
                </w:p>
              </w:tc>
              <w:tc>
                <w:tcPr>
                  <w:tcW w:w="2662" w:type="pct"/>
                  <w:tcBorders>
                    <w:tl2br w:val="nil"/>
                    <w:tr2bl w:val="nil"/>
                  </w:tcBorders>
                  <w:noWrap w:val="0"/>
                  <w:vAlign w:val="center"/>
                </w:tcPr>
                <w:p w14:paraId="5A354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由垃圾桶收集，交由环卫部门处置</w:t>
                  </w:r>
                </w:p>
              </w:tc>
            </w:tr>
          </w:tbl>
          <w:p w14:paraId="48C93FFE">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p>
        </w:tc>
      </w:tr>
      <w:tr w14:paraId="634FB1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390" w:type="pct"/>
            <w:noWrap w:val="0"/>
            <w:vAlign w:val="center"/>
          </w:tcPr>
          <w:p w14:paraId="01937824">
            <w:pPr>
              <w:pStyle w:val="25"/>
              <w:keepNext w:val="0"/>
              <w:keepLines w:val="0"/>
              <w:suppressLineNumbers w:val="0"/>
              <w:adjustRightInd w:val="0"/>
              <w:snapToGrid w:val="0"/>
              <w:spacing w:before="0" w:beforeAutospacing="0" w:after="0" w:afterAutospacing="0"/>
              <w:ind w:left="0" w:right="0"/>
              <w:jc w:val="center"/>
              <w:rPr>
                <w:rFonts w:hint="default" w:cs="宋体"/>
                <w:szCs w:val="24"/>
              </w:rPr>
            </w:pPr>
            <w:r>
              <w:rPr>
                <w:rFonts w:hint="eastAsia" w:cs="宋体"/>
                <w:bCs/>
                <w:kern w:val="2"/>
                <w:szCs w:val="24"/>
              </w:rPr>
              <w:t>与项目有关的原有环境污染问题</w:t>
            </w:r>
          </w:p>
        </w:tc>
        <w:tc>
          <w:tcPr>
            <w:tcW w:w="4609" w:type="pct"/>
            <w:noWrap w:val="0"/>
            <w:vAlign w:val="top"/>
          </w:tcPr>
          <w:p w14:paraId="79D74D08">
            <w:pPr>
              <w:keepNext w:val="0"/>
              <w:keepLines w:val="0"/>
              <w:pageBreakBefore w:val="0"/>
              <w:widowControl w:val="0"/>
              <w:suppressLineNumbers w:val="0"/>
              <w:tabs>
                <w:tab w:val="left" w:pos="462"/>
              </w:tabs>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cs="Times New Roman"/>
                <w:b w:val="0"/>
                <w:bCs w:val="0"/>
                <w:color w:val="000000"/>
                <w:sz w:val="24"/>
                <w:szCs w:val="24"/>
                <w:lang w:val="en-US" w:eastAsia="zh-CN"/>
              </w:rPr>
            </w:pPr>
          </w:p>
          <w:p w14:paraId="220B8B4A">
            <w:pPr>
              <w:keepNext w:val="0"/>
              <w:keepLines w:val="0"/>
              <w:pageBreakBefore w:val="0"/>
              <w:widowControl w:val="0"/>
              <w:suppressLineNumbers w:val="0"/>
              <w:tabs>
                <w:tab w:val="left" w:pos="462"/>
              </w:tabs>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b/>
                <w:bCs/>
                <w:sz w:val="24"/>
                <w:szCs w:val="24"/>
              </w:rPr>
            </w:pPr>
            <w:r>
              <w:rPr>
                <w:rFonts w:hint="eastAsia" w:ascii="Times New Roman" w:hAnsi="Times New Roman" w:cs="Times New Roman"/>
                <w:b/>
                <w:bCs/>
                <w:color w:val="000000"/>
                <w:sz w:val="24"/>
                <w:szCs w:val="24"/>
              </w:rPr>
              <w:t>1、</w:t>
            </w:r>
            <w:r>
              <w:rPr>
                <w:rFonts w:hint="eastAsia" w:ascii="Times New Roman" w:hAnsi="Times New Roman" w:cs="Times New Roman"/>
                <w:b/>
                <w:bCs/>
                <w:color w:val="auto"/>
                <w:sz w:val="24"/>
                <w:szCs w:val="24"/>
              </w:rPr>
              <w:t>现有项目环保手续履行情况</w:t>
            </w:r>
          </w:p>
          <w:p w14:paraId="05A1C2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安徽马培德食品科技有限公司于2020年7月委托</w:t>
            </w:r>
            <w:r>
              <w:rPr>
                <w:rFonts w:hint="eastAsia" w:ascii="Times New Roman" w:hAnsi="Times New Roman" w:cs="Times New Roman"/>
                <w:color w:val="000000" w:themeColor="text1"/>
                <w:sz w:val="24"/>
                <w:lang w:val="en-US" w:eastAsia="zh-CN"/>
                <w14:textFill>
                  <w14:solidFill>
                    <w14:schemeClr w14:val="tx1"/>
                  </w14:solidFill>
                </w14:textFill>
              </w:rPr>
              <w:t>安徽睿晟环境科技有限公司</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编制了环境影响报告表，后于2020年9月28日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取得淮北市相山区生态环境分局审批意见</w:t>
            </w:r>
            <w:r>
              <w:rPr>
                <w:rFonts w:hint="eastAsia" w:cs="Times New Roman"/>
                <w:color w:val="000000" w:themeColor="text1"/>
                <w:sz w:val="24"/>
                <w:szCs w:val="24"/>
                <w:highlight w:val="none"/>
                <w:lang w:val="en-US" w:eastAsia="zh-CN"/>
                <w14:textFill>
                  <w14:solidFill>
                    <w14:schemeClr w14:val="tx1"/>
                  </w14:solidFill>
                </w14:textFill>
              </w:rPr>
              <w:t>（相环行【2020】24号）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020 年11月，公司完成排污许可证登记工作，登记编号</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：91340603MA2ULPRA4D001X，</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并于2021年3月完成</w:t>
            </w:r>
            <w:r>
              <w:rPr>
                <w:rFonts w:hint="default" w:ascii="Times New Roman" w:hAnsi="Times New Roman" w:cs="Times New Roman"/>
                <w:color w:val="000000" w:themeColor="text1"/>
                <w:sz w:val="24"/>
                <w:szCs w:val="24"/>
                <w:lang w:val="en-US" w:eastAsia="zh-CN"/>
                <w14:textFill>
                  <w14:solidFill>
                    <w14:schemeClr w14:val="tx1"/>
                  </w14:solidFill>
                </w14:textFill>
              </w:rPr>
              <w:t>整体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自主验收。</w:t>
            </w:r>
            <w:r>
              <w:rPr>
                <w:rFonts w:hint="eastAsia"/>
                <w:bCs/>
                <w:color w:val="000000" w:themeColor="text1"/>
                <w:sz w:val="24"/>
                <w:szCs w:val="24"/>
                <w14:textFill>
                  <w14:solidFill>
                    <w14:schemeClr w14:val="tx1"/>
                  </w14:solidFill>
                </w14:textFill>
              </w:rPr>
              <w:t>202</w:t>
            </w:r>
            <w:r>
              <w:rPr>
                <w:rFonts w:hint="eastAsia"/>
                <w:bCs/>
                <w:color w:val="000000" w:themeColor="text1"/>
                <w:sz w:val="24"/>
                <w:szCs w:val="24"/>
                <w:lang w:val="en-US" w:eastAsia="zh-CN"/>
                <w14:textFill>
                  <w14:solidFill>
                    <w14:schemeClr w14:val="tx1"/>
                  </w14:solidFill>
                </w14:textFill>
              </w:rPr>
              <w:t>2</w:t>
            </w:r>
            <w:r>
              <w:rPr>
                <w:rFonts w:hint="eastAsia"/>
                <w:bCs/>
                <w:color w:val="000000" w:themeColor="text1"/>
                <w:sz w:val="24"/>
                <w:szCs w:val="24"/>
                <w14:textFill>
                  <w14:solidFill>
                    <w14:schemeClr w14:val="tx1"/>
                  </w14:solidFill>
                </w14:textFill>
              </w:rPr>
              <w:t>年</w:t>
            </w:r>
            <w:r>
              <w:rPr>
                <w:rFonts w:hint="eastAsia"/>
                <w:bCs/>
                <w:color w:val="000000" w:themeColor="text1"/>
                <w:sz w:val="24"/>
                <w:szCs w:val="24"/>
                <w:lang w:val="en-US" w:eastAsia="zh-CN"/>
                <w14:textFill>
                  <w14:solidFill>
                    <w14:schemeClr w14:val="tx1"/>
                  </w14:solidFill>
                </w14:textFill>
              </w:rPr>
              <w:t>6</w:t>
            </w:r>
            <w:r>
              <w:rPr>
                <w:rFonts w:hint="eastAsia"/>
                <w:bCs/>
                <w:color w:val="000000" w:themeColor="text1"/>
                <w:sz w:val="24"/>
                <w:szCs w:val="24"/>
                <w14:textFill>
                  <w14:solidFill>
                    <w14:schemeClr w14:val="tx1"/>
                  </w14:solidFill>
                </w14:textFill>
              </w:rPr>
              <w:t>月</w:t>
            </w:r>
            <w:r>
              <w:rPr>
                <w:rFonts w:hint="eastAsia"/>
                <w:bCs/>
                <w:color w:val="000000" w:themeColor="text1"/>
                <w:sz w:val="24"/>
                <w:szCs w:val="24"/>
                <w:lang w:val="en-US" w:eastAsia="zh-CN"/>
                <w14:textFill>
                  <w14:solidFill>
                    <w14:schemeClr w14:val="tx1"/>
                  </w14:solidFill>
                </w14:textFill>
              </w:rPr>
              <w:t>11</w:t>
            </w:r>
            <w:r>
              <w:rPr>
                <w:rFonts w:hint="eastAsia"/>
                <w:bCs/>
                <w:color w:val="000000" w:themeColor="text1"/>
                <w:sz w:val="24"/>
                <w:szCs w:val="24"/>
                <w14:textFill>
                  <w14:solidFill>
                    <w14:schemeClr w14:val="tx1"/>
                  </w14:solidFill>
                </w14:textFill>
              </w:rPr>
              <w:t>日，企业获得应急预案备案，备案编号：340603-202</w:t>
            </w:r>
            <w:r>
              <w:rPr>
                <w:rFonts w:hint="eastAsia"/>
                <w:bCs/>
                <w:color w:val="000000" w:themeColor="text1"/>
                <w:sz w:val="24"/>
                <w:szCs w:val="24"/>
                <w:lang w:val="en-US" w:eastAsia="zh-CN"/>
                <w14:textFill>
                  <w14:solidFill>
                    <w14:schemeClr w14:val="tx1"/>
                  </w14:solidFill>
                </w14:textFill>
              </w:rPr>
              <w:t>2</w:t>
            </w:r>
            <w:r>
              <w:rPr>
                <w:rFonts w:hint="eastAsia"/>
                <w:bCs/>
                <w:color w:val="000000" w:themeColor="text1"/>
                <w:sz w:val="24"/>
                <w:szCs w:val="24"/>
                <w14:textFill>
                  <w14:solidFill>
                    <w14:schemeClr w14:val="tx1"/>
                  </w14:solidFill>
                </w14:textFill>
              </w:rPr>
              <w:t>-0</w:t>
            </w:r>
            <w:r>
              <w:rPr>
                <w:rFonts w:hint="eastAsia"/>
                <w:bCs/>
                <w:color w:val="000000" w:themeColor="text1"/>
                <w:sz w:val="24"/>
                <w:szCs w:val="24"/>
                <w:lang w:val="en-US" w:eastAsia="zh-CN"/>
                <w14:textFill>
                  <w14:solidFill>
                    <w14:schemeClr w14:val="tx1"/>
                  </w14:solidFill>
                </w14:textFill>
              </w:rPr>
              <w:t>17</w:t>
            </w:r>
            <w:r>
              <w:rPr>
                <w:rFonts w:hint="eastAsia"/>
                <w:bCs/>
                <w:color w:val="000000" w:themeColor="text1"/>
                <w:sz w:val="24"/>
                <w:szCs w:val="24"/>
                <w14:textFill>
                  <w14:solidFill>
                    <w14:schemeClr w14:val="tx1"/>
                  </w14:solidFill>
                </w14:textFill>
              </w:rPr>
              <w:t>-L</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并按照预案要求定期进行应急演练和培训。原项目涉及的实验室已于2023年被淮北雷曼检验检测服务有限公司收购，独立经营，本次不进行产污分析</w:t>
            </w:r>
            <w:r>
              <w:rPr>
                <w:rFonts w:hint="eastAsia"/>
                <w:bCs/>
                <w:color w:val="000000" w:themeColor="text1"/>
                <w:sz w:val="24"/>
                <w:szCs w:val="24"/>
                <w14:textFill>
                  <w14:solidFill>
                    <w14:schemeClr w14:val="tx1"/>
                  </w14:solidFill>
                </w14:textFill>
              </w:rPr>
              <w:t>。</w:t>
            </w:r>
          </w:p>
          <w:p w14:paraId="4A6DAF6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rPr>
              <w:t>2、现有工程污染物排放达标分析</w:t>
            </w:r>
          </w:p>
          <w:p w14:paraId="77F66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1</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rPr>
              <w:t>废气达标分析</w:t>
            </w:r>
          </w:p>
          <w:p w14:paraId="50D5ED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Times New Roman"/>
                <w:sz w:val="24"/>
                <w:szCs w:val="24"/>
                <w:lang w:val="en-US" w:eastAsia="zh-CN"/>
              </w:rPr>
              <w:t>现有工程废气主要为</w:t>
            </w:r>
            <w:r>
              <w:rPr>
                <w:rFonts w:hint="eastAsia" w:cs="Times New Roman"/>
                <w:sz w:val="24"/>
                <w:szCs w:val="24"/>
                <w:lang w:val="en-US" w:eastAsia="zh-CN"/>
              </w:rPr>
              <w:t>配料</w:t>
            </w:r>
            <w:r>
              <w:rPr>
                <w:rFonts w:hint="eastAsia" w:ascii="Times New Roman" w:hAnsi="Times New Roman" w:eastAsia="宋体" w:cs="Times New Roman"/>
                <w:sz w:val="24"/>
                <w:szCs w:val="24"/>
                <w:lang w:val="en-US" w:eastAsia="zh-CN"/>
              </w:rPr>
              <w:t>粉尘，</w:t>
            </w:r>
            <w:r>
              <w:rPr>
                <w:rFonts w:hint="eastAsia" w:cs="Times New Roman"/>
                <w:sz w:val="24"/>
                <w:szCs w:val="24"/>
                <w:lang w:val="en-US" w:eastAsia="zh-CN"/>
              </w:rPr>
              <w:t>采取</w:t>
            </w:r>
            <w:r>
              <w:rPr>
                <w:rFonts w:hint="eastAsia"/>
                <w:sz w:val="24"/>
              </w:rPr>
              <w:t>配料间封闭、定期清扫地面措施</w:t>
            </w:r>
            <w:r>
              <w:rPr>
                <w:rFonts w:hint="eastAsia" w:ascii="Times New Roman" w:hAnsi="Times New Roman" w:eastAsia="宋体" w:cs="Times New Roman"/>
                <w:sz w:val="24"/>
                <w:szCs w:val="24"/>
                <w:lang w:val="en-US" w:eastAsia="zh-CN"/>
              </w:rPr>
              <w:t>。根</w:t>
            </w:r>
            <w:r>
              <w:rPr>
                <w:rFonts w:hint="eastAsia" w:ascii="Times New Roman" w:hAnsi="Times New Roman" w:eastAsia="宋体" w:cs="Times New Roman"/>
                <w:b w:val="0"/>
                <w:bCs w:val="0"/>
                <w:color w:val="000000"/>
                <w:kern w:val="2"/>
                <w:sz w:val="24"/>
                <w:szCs w:val="24"/>
                <w:lang w:val="en-US" w:eastAsia="zh-CN" w:bidi="ar-SA"/>
              </w:rPr>
              <w:t>据安徽马培德食品科技有限公司休闲食品及婴幼儿谷类辅助食品加工项目竣工环境保护验收监测报告（监测时间为2021.1.1-2021.1.2），具体数据见下表。</w:t>
            </w:r>
          </w:p>
          <w:p w14:paraId="2239DFD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b/>
                <w:bCs/>
                <w:color w:val="auto"/>
                <w:sz w:val="24"/>
                <w:szCs w:val="24"/>
                <w:lang w:bidi="zh-CN"/>
              </w:rPr>
            </w:pPr>
            <w:r>
              <w:rPr>
                <w:rFonts w:hint="default" w:ascii="Times New Roman" w:hAnsi="Times New Roman" w:cs="Times New Roman"/>
                <w:b/>
                <w:bCs/>
                <w:color w:val="auto"/>
                <w:sz w:val="24"/>
                <w:szCs w:val="24"/>
                <w:lang w:bidi="zh-CN"/>
              </w:rPr>
              <w:t>表</w:t>
            </w:r>
            <w:r>
              <w:rPr>
                <w:rFonts w:hint="eastAsia" w:ascii="Times New Roman" w:hAnsi="Times New Roman" w:cs="Times New Roman"/>
                <w:b/>
                <w:bCs/>
                <w:color w:val="auto"/>
                <w:sz w:val="24"/>
                <w:szCs w:val="24"/>
                <w:lang w:val="en-US" w:bidi="zh-CN"/>
              </w:rPr>
              <w:t>2-6</w:t>
            </w:r>
            <w:r>
              <w:rPr>
                <w:rFonts w:hint="eastAsia" w:ascii="Times New Roman" w:hAnsi="Times New Roman" w:cs="Times New Roman"/>
                <w:b/>
                <w:bCs/>
                <w:color w:val="auto"/>
                <w:sz w:val="24"/>
                <w:szCs w:val="24"/>
                <w:lang w:bidi="zh-CN"/>
              </w:rPr>
              <w:t xml:space="preserve">  </w:t>
            </w:r>
            <w:r>
              <w:rPr>
                <w:rFonts w:hint="eastAsia" w:ascii="Times New Roman" w:hAnsi="Times New Roman" w:cs="Times New Roman"/>
                <w:b/>
                <w:bCs/>
                <w:color w:val="auto"/>
                <w:sz w:val="24"/>
                <w:szCs w:val="24"/>
              </w:rPr>
              <w:t>现有验收工程</w:t>
            </w:r>
            <w:r>
              <w:rPr>
                <w:rFonts w:hint="eastAsia" w:ascii="Times New Roman" w:hAnsi="Times New Roman" w:cs="Times New Roman"/>
                <w:b/>
                <w:bCs/>
                <w:color w:val="auto"/>
                <w:sz w:val="24"/>
                <w:szCs w:val="24"/>
                <w:lang w:val="en-US" w:eastAsia="zh-CN"/>
              </w:rPr>
              <w:t>大气污染物无组织排放浓度</w:t>
            </w:r>
            <w:r>
              <w:rPr>
                <w:rFonts w:hint="default" w:ascii="Times New Roman" w:hAnsi="Times New Roman" w:cs="Times New Roman"/>
                <w:b/>
                <w:bCs/>
                <w:color w:val="auto"/>
                <w:sz w:val="24"/>
                <w:szCs w:val="24"/>
                <w:lang w:bidi="zh-CN"/>
              </w:rPr>
              <w:t>监测结果</w:t>
            </w:r>
            <w:r>
              <w:rPr>
                <w:rFonts w:hint="eastAsia" w:ascii="Times New Roman" w:hAnsi="Times New Roman" w:cs="Times New Roman"/>
                <w:b/>
                <w:bCs/>
                <w:color w:val="auto"/>
                <w:sz w:val="24"/>
                <w:szCs w:val="24"/>
                <w:lang w:bidi="zh-CN"/>
              </w:rPr>
              <w:t>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05"/>
              <w:gridCol w:w="916"/>
              <w:gridCol w:w="1126"/>
              <w:gridCol w:w="1142"/>
              <w:gridCol w:w="1066"/>
              <w:gridCol w:w="1083"/>
              <w:gridCol w:w="1096"/>
              <w:gridCol w:w="695"/>
            </w:tblGrid>
            <w:tr w14:paraId="2F8D87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4" w:hRule="atLeast"/>
                <w:jc w:val="center"/>
              </w:trPr>
              <w:tc>
                <w:tcPr>
                  <w:tcW w:w="618" w:type="pct"/>
                  <w:vMerge w:val="restart"/>
                  <w:tcBorders>
                    <w:tl2br w:val="nil"/>
                    <w:tr2bl w:val="nil"/>
                  </w:tcBorders>
                  <w:noWrap w:val="0"/>
                  <w:vAlign w:val="center"/>
                </w:tcPr>
                <w:p w14:paraId="65FAC8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监测日期</w:t>
                  </w:r>
                </w:p>
              </w:tc>
              <w:tc>
                <w:tcPr>
                  <w:tcW w:w="563" w:type="pct"/>
                  <w:vMerge w:val="restart"/>
                  <w:tcBorders>
                    <w:tl2br w:val="nil"/>
                    <w:tr2bl w:val="nil"/>
                  </w:tcBorders>
                  <w:noWrap w:val="0"/>
                  <w:vAlign w:val="center"/>
                </w:tcPr>
                <w:p w14:paraId="7F38B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监测项目</w:t>
                  </w:r>
                </w:p>
              </w:tc>
              <w:tc>
                <w:tcPr>
                  <w:tcW w:w="2715" w:type="pct"/>
                  <w:gridSpan w:val="4"/>
                  <w:tcBorders>
                    <w:tl2br w:val="nil"/>
                    <w:tr2bl w:val="nil"/>
                  </w:tcBorders>
                  <w:noWrap w:val="0"/>
                  <w:vAlign w:val="center"/>
                </w:tcPr>
                <w:p w14:paraId="70AB5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val="en-US" w:eastAsia="zh-CN"/>
                    </w:rPr>
                    <w:t>监测点位（mg/m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c>
                <w:tcPr>
                  <w:tcW w:w="674" w:type="pct"/>
                  <w:vMerge w:val="restart"/>
                  <w:tcBorders>
                    <w:tl2br w:val="nil"/>
                    <w:tr2bl w:val="nil"/>
                  </w:tcBorders>
                  <w:noWrap w:val="0"/>
                  <w:vAlign w:val="center"/>
                </w:tcPr>
                <w:p w14:paraId="71979E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标准限值</w:t>
                  </w:r>
                  <w:r>
                    <w:rPr>
                      <w:rFonts w:hint="eastAsia" w:ascii="Times New Roman" w:hAnsi="Times New Roman" w:eastAsia="宋体" w:cs="Times New Roman"/>
                      <w:b/>
                      <w:bCs/>
                      <w:color w:val="auto"/>
                      <w:sz w:val="21"/>
                      <w:szCs w:val="21"/>
                      <w:vertAlign w:val="baseline"/>
                      <w:lang w:val="en-US" w:eastAsia="zh-CN"/>
                    </w:rPr>
                    <w:t>(</w:t>
                  </w:r>
                  <w:r>
                    <w:rPr>
                      <w:rFonts w:hint="default" w:ascii="Times New Roman" w:hAnsi="Times New Roman" w:eastAsia="宋体" w:cs="Times New Roman"/>
                      <w:b/>
                      <w:bCs/>
                      <w:color w:val="auto"/>
                      <w:sz w:val="21"/>
                      <w:szCs w:val="21"/>
                      <w:vertAlign w:val="baseline"/>
                      <w:lang w:val="en-US" w:eastAsia="zh-CN"/>
                    </w:rPr>
                    <w:t>mg/m</w:t>
                  </w:r>
                  <w:r>
                    <w:rPr>
                      <w:rFonts w:hint="default"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c>
                <w:tcPr>
                  <w:tcW w:w="427" w:type="pct"/>
                  <w:vMerge w:val="restart"/>
                  <w:tcBorders>
                    <w:tl2br w:val="nil"/>
                    <w:tr2bl w:val="nil"/>
                  </w:tcBorders>
                  <w:noWrap w:val="0"/>
                  <w:vAlign w:val="center"/>
                </w:tcPr>
                <w:p w14:paraId="308F7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达标情况</w:t>
                  </w:r>
                </w:p>
              </w:tc>
            </w:tr>
            <w:tr w14:paraId="562059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18" w:type="pct"/>
                  <w:vMerge w:val="continue"/>
                  <w:tcBorders>
                    <w:tl2br w:val="nil"/>
                    <w:tr2bl w:val="nil"/>
                  </w:tcBorders>
                  <w:noWrap w:val="0"/>
                  <w:vAlign w:val="center"/>
                </w:tcPr>
                <w:p w14:paraId="3096C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63" w:type="pct"/>
                  <w:vMerge w:val="continue"/>
                  <w:tcBorders>
                    <w:tl2br w:val="nil"/>
                    <w:tr2bl w:val="nil"/>
                  </w:tcBorders>
                  <w:noWrap w:val="0"/>
                  <w:vAlign w:val="center"/>
                </w:tcPr>
                <w:p w14:paraId="0D056E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92" w:type="pct"/>
                  <w:tcBorders>
                    <w:tl2br w:val="nil"/>
                    <w:tr2bl w:val="nil"/>
                  </w:tcBorders>
                  <w:noWrap w:val="0"/>
                  <w:vAlign w:val="center"/>
                </w:tcPr>
                <w:p w14:paraId="65D1799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G1</w:t>
                  </w:r>
                  <w:r>
                    <w:rPr>
                      <w:rFonts w:hint="eastAsia" w:ascii="宋体" w:hAnsi="宋体" w:eastAsia="宋体" w:cs="宋体"/>
                      <w:color w:val="000000"/>
                      <w:kern w:val="0"/>
                      <w:sz w:val="21"/>
                      <w:szCs w:val="21"/>
                      <w:lang w:val="en-US" w:eastAsia="zh-CN" w:bidi="ar"/>
                    </w:rPr>
                    <w:t>项目区上风向西厂界</w:t>
                  </w:r>
                </w:p>
              </w:tc>
              <w:tc>
                <w:tcPr>
                  <w:tcW w:w="702" w:type="pct"/>
                  <w:tcBorders>
                    <w:tl2br w:val="nil"/>
                    <w:tr2bl w:val="nil"/>
                  </w:tcBorders>
                  <w:noWrap w:val="0"/>
                  <w:vAlign w:val="center"/>
                </w:tcPr>
                <w:p w14:paraId="564826A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G2</w:t>
                  </w:r>
                  <w:r>
                    <w:rPr>
                      <w:rFonts w:hint="eastAsia" w:ascii="宋体" w:hAnsi="宋体" w:eastAsia="宋体" w:cs="宋体"/>
                      <w:color w:val="000000"/>
                      <w:kern w:val="0"/>
                      <w:sz w:val="21"/>
                      <w:szCs w:val="21"/>
                      <w:lang w:val="en-US" w:eastAsia="zh-CN" w:bidi="ar"/>
                    </w:rPr>
                    <w:t>项目区下风向东北厂界</w:t>
                  </w:r>
                </w:p>
              </w:tc>
              <w:tc>
                <w:tcPr>
                  <w:tcW w:w="655" w:type="pct"/>
                  <w:tcBorders>
                    <w:tl2br w:val="nil"/>
                    <w:tr2bl w:val="nil"/>
                  </w:tcBorders>
                  <w:noWrap w:val="0"/>
                  <w:vAlign w:val="center"/>
                </w:tcPr>
                <w:p w14:paraId="219F8B7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G3</w:t>
                  </w:r>
                  <w:r>
                    <w:rPr>
                      <w:rFonts w:hint="eastAsia" w:ascii="宋体" w:hAnsi="宋体" w:eastAsia="宋体" w:cs="宋体"/>
                      <w:color w:val="000000"/>
                      <w:kern w:val="0"/>
                      <w:sz w:val="21"/>
                      <w:szCs w:val="21"/>
                      <w:lang w:val="en-US" w:eastAsia="zh-CN" w:bidi="ar"/>
                    </w:rPr>
                    <w:t>项目区下风向东厂界</w:t>
                  </w:r>
                </w:p>
              </w:tc>
              <w:tc>
                <w:tcPr>
                  <w:tcW w:w="665" w:type="pct"/>
                  <w:tcBorders>
                    <w:tl2br w:val="nil"/>
                    <w:tr2bl w:val="nil"/>
                  </w:tcBorders>
                  <w:noWrap w:val="0"/>
                  <w:vAlign w:val="center"/>
                </w:tcPr>
                <w:p w14:paraId="5109329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G</w:t>
                  </w:r>
                  <w:r>
                    <w:rPr>
                      <w:rFonts w:hint="eastAsia" w:ascii="Times New Roman" w:hAnsi="Times New Roman" w:eastAsia="宋体" w:cs="Times New Roman"/>
                      <w:b/>
                      <w:bCs/>
                      <w:color w:val="auto"/>
                      <w:sz w:val="21"/>
                      <w:szCs w:val="21"/>
                      <w:vertAlign w:val="baseline"/>
                      <w:lang w:val="en-US" w:eastAsia="zh-CN"/>
                    </w:rPr>
                    <w:t>4</w:t>
                  </w:r>
                  <w:r>
                    <w:rPr>
                      <w:rFonts w:hint="eastAsia" w:ascii="宋体" w:hAnsi="宋体" w:eastAsia="宋体" w:cs="宋体"/>
                      <w:color w:val="000000"/>
                      <w:kern w:val="0"/>
                      <w:sz w:val="21"/>
                      <w:szCs w:val="21"/>
                      <w:lang w:val="en-US" w:eastAsia="zh-CN" w:bidi="ar"/>
                    </w:rPr>
                    <w:t>项目区下风向东南厂界</w:t>
                  </w:r>
                </w:p>
              </w:tc>
              <w:tc>
                <w:tcPr>
                  <w:tcW w:w="674" w:type="pct"/>
                  <w:vMerge w:val="continue"/>
                  <w:tcBorders>
                    <w:tl2br w:val="nil"/>
                    <w:tr2bl w:val="nil"/>
                  </w:tcBorders>
                  <w:noWrap w:val="0"/>
                  <w:vAlign w:val="center"/>
                </w:tcPr>
                <w:p w14:paraId="3FCC7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7" w:type="pct"/>
                  <w:vMerge w:val="continue"/>
                  <w:tcBorders>
                    <w:tl2br w:val="nil"/>
                    <w:tr2bl w:val="nil"/>
                  </w:tcBorders>
                  <w:noWrap w:val="0"/>
                  <w:vAlign w:val="center"/>
                </w:tcPr>
                <w:p w14:paraId="4D7EA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r>
            <w:tr w14:paraId="376346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18" w:type="pct"/>
                  <w:vMerge w:val="restart"/>
                  <w:tcBorders>
                    <w:tl2br w:val="nil"/>
                    <w:tr2bl w:val="nil"/>
                  </w:tcBorders>
                  <w:noWrap w:val="0"/>
                  <w:vAlign w:val="center"/>
                </w:tcPr>
                <w:p w14:paraId="0CECA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.1.1</w:t>
                  </w:r>
                </w:p>
              </w:tc>
              <w:tc>
                <w:tcPr>
                  <w:tcW w:w="563" w:type="pct"/>
                  <w:vMerge w:val="restart"/>
                  <w:tcBorders>
                    <w:tl2br w:val="nil"/>
                    <w:tr2bl w:val="nil"/>
                  </w:tcBorders>
                  <w:noWrap w:val="0"/>
                  <w:vAlign w:val="center"/>
                </w:tcPr>
                <w:p w14:paraId="04C52A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692" w:type="pct"/>
                  <w:tcBorders>
                    <w:tl2br w:val="nil"/>
                    <w:tr2bl w:val="nil"/>
                  </w:tcBorders>
                  <w:noWrap w:val="0"/>
                  <w:vAlign w:val="center"/>
                </w:tcPr>
                <w:p w14:paraId="3BC180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167</w:t>
                  </w:r>
                </w:p>
              </w:tc>
              <w:tc>
                <w:tcPr>
                  <w:tcW w:w="702" w:type="pct"/>
                  <w:tcBorders>
                    <w:tl2br w:val="nil"/>
                    <w:tr2bl w:val="nil"/>
                  </w:tcBorders>
                  <w:noWrap w:val="0"/>
                  <w:vAlign w:val="center"/>
                </w:tcPr>
                <w:p w14:paraId="50176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201</w:t>
                  </w:r>
                </w:p>
              </w:tc>
              <w:tc>
                <w:tcPr>
                  <w:tcW w:w="655" w:type="pct"/>
                  <w:tcBorders>
                    <w:tl2br w:val="nil"/>
                    <w:tr2bl w:val="nil"/>
                  </w:tcBorders>
                  <w:noWrap w:val="0"/>
                  <w:vAlign w:val="center"/>
                </w:tcPr>
                <w:p w14:paraId="3A817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234</w:t>
                  </w:r>
                </w:p>
              </w:tc>
              <w:tc>
                <w:tcPr>
                  <w:tcW w:w="665" w:type="pct"/>
                  <w:tcBorders>
                    <w:tl2br w:val="nil"/>
                    <w:tr2bl w:val="nil"/>
                  </w:tcBorders>
                  <w:noWrap w:val="0"/>
                  <w:vAlign w:val="center"/>
                </w:tcPr>
                <w:p w14:paraId="59D3A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217</w:t>
                  </w:r>
                </w:p>
              </w:tc>
              <w:tc>
                <w:tcPr>
                  <w:tcW w:w="674" w:type="pct"/>
                  <w:vMerge w:val="restart"/>
                  <w:tcBorders>
                    <w:tl2br w:val="nil"/>
                    <w:tr2bl w:val="nil"/>
                  </w:tcBorders>
                  <w:noWrap w:val="0"/>
                  <w:vAlign w:val="center"/>
                </w:tcPr>
                <w:p w14:paraId="03AF6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c>
                <w:tcPr>
                  <w:tcW w:w="427" w:type="pct"/>
                  <w:vMerge w:val="restart"/>
                  <w:tcBorders>
                    <w:tl2br w:val="nil"/>
                    <w:tr2bl w:val="nil"/>
                  </w:tcBorders>
                  <w:noWrap w:val="0"/>
                  <w:vAlign w:val="center"/>
                </w:tcPr>
                <w:p w14:paraId="209978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达标</w:t>
                  </w:r>
                </w:p>
              </w:tc>
            </w:tr>
            <w:tr w14:paraId="4EFDA9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18" w:type="pct"/>
                  <w:vMerge w:val="continue"/>
                  <w:tcBorders>
                    <w:tl2br w:val="nil"/>
                    <w:tr2bl w:val="nil"/>
                  </w:tcBorders>
                  <w:noWrap w:val="0"/>
                  <w:vAlign w:val="center"/>
                </w:tcPr>
                <w:p w14:paraId="19D48D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563" w:type="pct"/>
                  <w:vMerge w:val="continue"/>
                  <w:tcBorders>
                    <w:tl2br w:val="nil"/>
                    <w:tr2bl w:val="nil"/>
                  </w:tcBorders>
                  <w:noWrap w:val="0"/>
                  <w:vAlign w:val="center"/>
                </w:tcPr>
                <w:p w14:paraId="2AD9B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692" w:type="pct"/>
                  <w:tcBorders>
                    <w:tl2br w:val="nil"/>
                    <w:tr2bl w:val="nil"/>
                  </w:tcBorders>
                  <w:noWrap w:val="0"/>
                  <w:vAlign w:val="center"/>
                </w:tcPr>
                <w:p w14:paraId="37CC21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184</w:t>
                  </w:r>
                </w:p>
              </w:tc>
              <w:tc>
                <w:tcPr>
                  <w:tcW w:w="702" w:type="pct"/>
                  <w:tcBorders>
                    <w:tl2br w:val="nil"/>
                    <w:tr2bl w:val="nil"/>
                  </w:tcBorders>
                  <w:noWrap w:val="0"/>
                  <w:vAlign w:val="center"/>
                </w:tcPr>
                <w:p w14:paraId="12269C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2178</w:t>
                  </w:r>
                </w:p>
              </w:tc>
              <w:tc>
                <w:tcPr>
                  <w:tcW w:w="655" w:type="pct"/>
                  <w:tcBorders>
                    <w:tl2br w:val="nil"/>
                    <w:tr2bl w:val="nil"/>
                  </w:tcBorders>
                  <w:noWrap w:val="0"/>
                  <w:vAlign w:val="center"/>
                </w:tcPr>
                <w:p w14:paraId="2FE628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251</w:t>
                  </w:r>
                </w:p>
              </w:tc>
              <w:tc>
                <w:tcPr>
                  <w:tcW w:w="665" w:type="pct"/>
                  <w:tcBorders>
                    <w:tl2br w:val="nil"/>
                    <w:tr2bl w:val="nil"/>
                  </w:tcBorders>
                  <w:noWrap w:val="0"/>
                  <w:vAlign w:val="center"/>
                </w:tcPr>
                <w:p w14:paraId="0BE6D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201</w:t>
                  </w:r>
                </w:p>
              </w:tc>
              <w:tc>
                <w:tcPr>
                  <w:tcW w:w="674" w:type="pct"/>
                  <w:vMerge w:val="continue"/>
                  <w:tcBorders>
                    <w:tl2br w:val="nil"/>
                    <w:tr2bl w:val="nil"/>
                  </w:tcBorders>
                  <w:noWrap w:val="0"/>
                  <w:vAlign w:val="center"/>
                </w:tcPr>
                <w:p w14:paraId="6F0A4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427" w:type="pct"/>
                  <w:vMerge w:val="continue"/>
                  <w:tcBorders>
                    <w:tl2br w:val="nil"/>
                    <w:tr2bl w:val="nil"/>
                  </w:tcBorders>
                  <w:noWrap w:val="0"/>
                  <w:vAlign w:val="center"/>
                </w:tcPr>
                <w:p w14:paraId="005DFE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r>
            <w:tr w14:paraId="7BD93B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18" w:type="pct"/>
                  <w:vMerge w:val="continue"/>
                  <w:tcBorders>
                    <w:tl2br w:val="nil"/>
                    <w:tr2bl w:val="nil"/>
                  </w:tcBorders>
                  <w:noWrap w:val="0"/>
                  <w:vAlign w:val="center"/>
                </w:tcPr>
                <w:p w14:paraId="5EC3A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63" w:type="pct"/>
                  <w:vMerge w:val="continue"/>
                  <w:tcBorders>
                    <w:tl2br w:val="nil"/>
                    <w:tr2bl w:val="nil"/>
                  </w:tcBorders>
                  <w:noWrap w:val="0"/>
                  <w:vAlign w:val="center"/>
                </w:tcPr>
                <w:p w14:paraId="591F9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692" w:type="pct"/>
                  <w:tcBorders>
                    <w:tl2br w:val="nil"/>
                    <w:tr2bl w:val="nil"/>
                  </w:tcBorders>
                  <w:noWrap w:val="0"/>
                  <w:vAlign w:val="center"/>
                </w:tcPr>
                <w:p w14:paraId="4AA0F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150</w:t>
                  </w:r>
                </w:p>
              </w:tc>
              <w:tc>
                <w:tcPr>
                  <w:tcW w:w="702" w:type="pct"/>
                  <w:tcBorders>
                    <w:tl2br w:val="nil"/>
                    <w:tr2bl w:val="nil"/>
                  </w:tcBorders>
                  <w:noWrap w:val="0"/>
                  <w:vAlign w:val="center"/>
                </w:tcPr>
                <w:p w14:paraId="18A001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217</w:t>
                  </w:r>
                </w:p>
              </w:tc>
              <w:tc>
                <w:tcPr>
                  <w:tcW w:w="655" w:type="pct"/>
                  <w:tcBorders>
                    <w:tl2br w:val="nil"/>
                    <w:tr2bl w:val="nil"/>
                  </w:tcBorders>
                  <w:noWrap w:val="0"/>
                  <w:vAlign w:val="center"/>
                </w:tcPr>
                <w:p w14:paraId="4158A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267</w:t>
                  </w:r>
                </w:p>
              </w:tc>
              <w:tc>
                <w:tcPr>
                  <w:tcW w:w="665" w:type="pct"/>
                  <w:tcBorders>
                    <w:tl2br w:val="nil"/>
                    <w:tr2bl w:val="nil"/>
                  </w:tcBorders>
                  <w:noWrap w:val="0"/>
                  <w:vAlign w:val="center"/>
                </w:tcPr>
                <w:p w14:paraId="05CBB9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217</w:t>
                  </w:r>
                </w:p>
              </w:tc>
              <w:tc>
                <w:tcPr>
                  <w:tcW w:w="674" w:type="pct"/>
                  <w:vMerge w:val="continue"/>
                  <w:tcBorders>
                    <w:tl2br w:val="nil"/>
                    <w:tr2bl w:val="nil"/>
                  </w:tcBorders>
                  <w:noWrap w:val="0"/>
                  <w:vAlign w:val="center"/>
                </w:tcPr>
                <w:p w14:paraId="00023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427" w:type="pct"/>
                  <w:vMerge w:val="continue"/>
                  <w:tcBorders>
                    <w:tl2br w:val="nil"/>
                    <w:tr2bl w:val="nil"/>
                  </w:tcBorders>
                  <w:noWrap w:val="0"/>
                  <w:vAlign w:val="center"/>
                </w:tcPr>
                <w:p w14:paraId="66D49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r>
            <w:tr w14:paraId="7EB904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18" w:type="pct"/>
                  <w:vMerge w:val="restart"/>
                  <w:tcBorders>
                    <w:tl2br w:val="nil"/>
                    <w:tr2bl w:val="nil"/>
                  </w:tcBorders>
                  <w:noWrap w:val="0"/>
                  <w:vAlign w:val="center"/>
                </w:tcPr>
                <w:p w14:paraId="309FA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2</w:t>
                  </w:r>
                </w:p>
              </w:tc>
              <w:tc>
                <w:tcPr>
                  <w:tcW w:w="563" w:type="pct"/>
                  <w:vMerge w:val="continue"/>
                  <w:tcBorders>
                    <w:tl2br w:val="nil"/>
                    <w:tr2bl w:val="nil"/>
                  </w:tcBorders>
                  <w:noWrap w:val="0"/>
                  <w:vAlign w:val="center"/>
                </w:tcPr>
                <w:p w14:paraId="3D5E92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692" w:type="pct"/>
                  <w:tcBorders>
                    <w:tl2br w:val="nil"/>
                    <w:tr2bl w:val="nil"/>
                  </w:tcBorders>
                  <w:noWrap w:val="0"/>
                  <w:vAlign w:val="center"/>
                </w:tcPr>
                <w:p w14:paraId="5E566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184</w:t>
                  </w:r>
                </w:p>
              </w:tc>
              <w:tc>
                <w:tcPr>
                  <w:tcW w:w="702" w:type="pct"/>
                  <w:tcBorders>
                    <w:tl2br w:val="nil"/>
                    <w:tr2bl w:val="nil"/>
                  </w:tcBorders>
                  <w:noWrap w:val="0"/>
                  <w:vAlign w:val="center"/>
                </w:tcPr>
                <w:p w14:paraId="15324F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217</w:t>
                  </w:r>
                </w:p>
              </w:tc>
              <w:tc>
                <w:tcPr>
                  <w:tcW w:w="655" w:type="pct"/>
                  <w:tcBorders>
                    <w:tl2br w:val="nil"/>
                    <w:tr2bl w:val="nil"/>
                  </w:tcBorders>
                  <w:noWrap w:val="0"/>
                  <w:vAlign w:val="center"/>
                </w:tcPr>
                <w:p w14:paraId="78900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267</w:t>
                  </w:r>
                </w:p>
              </w:tc>
              <w:tc>
                <w:tcPr>
                  <w:tcW w:w="665" w:type="pct"/>
                  <w:tcBorders>
                    <w:tl2br w:val="nil"/>
                    <w:tr2bl w:val="nil"/>
                  </w:tcBorders>
                  <w:noWrap w:val="0"/>
                  <w:vAlign w:val="center"/>
                </w:tcPr>
                <w:p w14:paraId="01CBE0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217</w:t>
                  </w:r>
                </w:p>
              </w:tc>
              <w:tc>
                <w:tcPr>
                  <w:tcW w:w="674" w:type="pct"/>
                  <w:vMerge w:val="restart"/>
                  <w:tcBorders>
                    <w:tl2br w:val="nil"/>
                    <w:tr2bl w:val="nil"/>
                  </w:tcBorders>
                  <w:noWrap w:val="0"/>
                  <w:vAlign w:val="center"/>
                </w:tcPr>
                <w:p w14:paraId="09A8C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0.5</w:t>
                  </w:r>
                </w:p>
              </w:tc>
              <w:tc>
                <w:tcPr>
                  <w:tcW w:w="427" w:type="pct"/>
                  <w:vMerge w:val="restart"/>
                  <w:tcBorders>
                    <w:tl2br w:val="nil"/>
                    <w:tr2bl w:val="nil"/>
                  </w:tcBorders>
                  <w:noWrap w:val="0"/>
                  <w:vAlign w:val="center"/>
                </w:tcPr>
                <w:p w14:paraId="67515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达标</w:t>
                  </w:r>
                </w:p>
              </w:tc>
            </w:tr>
            <w:tr w14:paraId="3D2434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18" w:type="pct"/>
                  <w:vMerge w:val="continue"/>
                  <w:tcBorders>
                    <w:tl2br w:val="nil"/>
                    <w:tr2bl w:val="nil"/>
                  </w:tcBorders>
                  <w:noWrap w:val="0"/>
                  <w:vAlign w:val="center"/>
                </w:tcPr>
                <w:p w14:paraId="79A2D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563" w:type="pct"/>
                  <w:vMerge w:val="continue"/>
                  <w:tcBorders>
                    <w:tl2br w:val="nil"/>
                    <w:tr2bl w:val="nil"/>
                  </w:tcBorders>
                  <w:noWrap w:val="0"/>
                  <w:vAlign w:val="center"/>
                </w:tcPr>
                <w:p w14:paraId="3BDE3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692" w:type="pct"/>
                  <w:tcBorders>
                    <w:tl2br w:val="nil"/>
                    <w:tr2bl w:val="nil"/>
                  </w:tcBorders>
                  <w:noWrap w:val="0"/>
                  <w:vAlign w:val="center"/>
                </w:tcPr>
                <w:p w14:paraId="2A664A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167</w:t>
                  </w:r>
                </w:p>
              </w:tc>
              <w:tc>
                <w:tcPr>
                  <w:tcW w:w="702" w:type="pct"/>
                  <w:tcBorders>
                    <w:tl2br w:val="nil"/>
                    <w:tr2bl w:val="nil"/>
                  </w:tcBorders>
                  <w:noWrap w:val="0"/>
                  <w:vAlign w:val="center"/>
                </w:tcPr>
                <w:p w14:paraId="169B4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234</w:t>
                  </w:r>
                </w:p>
              </w:tc>
              <w:tc>
                <w:tcPr>
                  <w:tcW w:w="655" w:type="pct"/>
                  <w:tcBorders>
                    <w:tl2br w:val="nil"/>
                    <w:tr2bl w:val="nil"/>
                  </w:tcBorders>
                  <w:noWrap w:val="0"/>
                  <w:vAlign w:val="center"/>
                </w:tcPr>
                <w:p w14:paraId="75142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284</w:t>
                  </w:r>
                </w:p>
              </w:tc>
              <w:tc>
                <w:tcPr>
                  <w:tcW w:w="665" w:type="pct"/>
                  <w:tcBorders>
                    <w:tl2br w:val="nil"/>
                    <w:tr2bl w:val="nil"/>
                  </w:tcBorders>
                  <w:noWrap w:val="0"/>
                  <w:vAlign w:val="center"/>
                </w:tcPr>
                <w:p w14:paraId="6F4F6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217</w:t>
                  </w:r>
                </w:p>
              </w:tc>
              <w:tc>
                <w:tcPr>
                  <w:tcW w:w="674" w:type="pct"/>
                  <w:vMerge w:val="continue"/>
                  <w:tcBorders>
                    <w:tl2br w:val="nil"/>
                    <w:tr2bl w:val="nil"/>
                  </w:tcBorders>
                  <w:noWrap w:val="0"/>
                  <w:vAlign w:val="center"/>
                </w:tcPr>
                <w:p w14:paraId="2F096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427" w:type="pct"/>
                  <w:vMerge w:val="continue"/>
                  <w:tcBorders>
                    <w:tl2br w:val="nil"/>
                    <w:tr2bl w:val="nil"/>
                  </w:tcBorders>
                  <w:noWrap w:val="0"/>
                  <w:vAlign w:val="center"/>
                </w:tcPr>
                <w:p w14:paraId="10848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r>
            <w:tr w14:paraId="5C2748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18" w:type="pct"/>
                  <w:vMerge w:val="continue"/>
                  <w:tcBorders>
                    <w:tl2br w:val="nil"/>
                    <w:tr2bl w:val="nil"/>
                  </w:tcBorders>
                  <w:noWrap w:val="0"/>
                  <w:vAlign w:val="center"/>
                </w:tcPr>
                <w:p w14:paraId="50FAF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563" w:type="pct"/>
                  <w:vMerge w:val="continue"/>
                  <w:tcBorders>
                    <w:tl2br w:val="nil"/>
                    <w:tr2bl w:val="nil"/>
                  </w:tcBorders>
                  <w:noWrap w:val="0"/>
                  <w:vAlign w:val="center"/>
                </w:tcPr>
                <w:p w14:paraId="26ED2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692" w:type="pct"/>
                  <w:tcBorders>
                    <w:tl2br w:val="nil"/>
                    <w:tr2bl w:val="nil"/>
                  </w:tcBorders>
                  <w:noWrap w:val="0"/>
                  <w:vAlign w:val="center"/>
                </w:tcPr>
                <w:p w14:paraId="5841C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167</w:t>
                  </w:r>
                </w:p>
              </w:tc>
              <w:tc>
                <w:tcPr>
                  <w:tcW w:w="702" w:type="pct"/>
                  <w:tcBorders>
                    <w:tl2br w:val="nil"/>
                    <w:tr2bl w:val="nil"/>
                  </w:tcBorders>
                  <w:noWrap w:val="0"/>
                  <w:vAlign w:val="center"/>
                </w:tcPr>
                <w:p w14:paraId="7750D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234</w:t>
                  </w:r>
                </w:p>
              </w:tc>
              <w:tc>
                <w:tcPr>
                  <w:tcW w:w="655" w:type="pct"/>
                  <w:tcBorders>
                    <w:tl2br w:val="nil"/>
                    <w:tr2bl w:val="nil"/>
                  </w:tcBorders>
                  <w:noWrap w:val="0"/>
                  <w:vAlign w:val="center"/>
                </w:tcPr>
                <w:p w14:paraId="6C855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267</w:t>
                  </w:r>
                </w:p>
              </w:tc>
              <w:tc>
                <w:tcPr>
                  <w:tcW w:w="665" w:type="pct"/>
                  <w:tcBorders>
                    <w:tl2br w:val="nil"/>
                    <w:tr2bl w:val="nil"/>
                  </w:tcBorders>
                  <w:noWrap w:val="0"/>
                  <w:vAlign w:val="center"/>
                </w:tcPr>
                <w:p w14:paraId="2DBF1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201</w:t>
                  </w:r>
                </w:p>
              </w:tc>
              <w:tc>
                <w:tcPr>
                  <w:tcW w:w="674" w:type="pct"/>
                  <w:vMerge w:val="continue"/>
                  <w:tcBorders>
                    <w:tl2br w:val="nil"/>
                    <w:tr2bl w:val="nil"/>
                  </w:tcBorders>
                  <w:noWrap w:val="0"/>
                  <w:vAlign w:val="center"/>
                </w:tcPr>
                <w:p w14:paraId="091A0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427" w:type="pct"/>
                  <w:vMerge w:val="continue"/>
                  <w:tcBorders>
                    <w:tl2br w:val="nil"/>
                    <w:tr2bl w:val="nil"/>
                  </w:tcBorders>
                  <w:noWrap w:val="0"/>
                  <w:vAlign w:val="center"/>
                </w:tcPr>
                <w:p w14:paraId="79EBE3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r>
          </w:tbl>
          <w:p w14:paraId="7CD5412E">
            <w:pPr>
              <w:pStyle w:val="10"/>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center"/>
              <w:textAlignment w:val="auto"/>
              <w:rPr>
                <w:rFonts w:hint="default" w:ascii="Times New Roman" w:hAnsi="Times New Roman" w:cs="Times New Roman"/>
                <w:b/>
                <w:bCs/>
                <w:color w:val="auto"/>
                <w:sz w:val="24"/>
                <w:szCs w:val="24"/>
                <w:lang w:val="en-US" w:bidi="zh-CN"/>
              </w:rPr>
            </w:pPr>
            <w:r>
              <w:rPr>
                <w:rFonts w:hint="eastAsia" w:ascii="Times New Roman" w:hAnsi="Times New Roman" w:cs="Times New Roman"/>
                <w:b/>
                <w:bCs/>
                <w:color w:val="auto"/>
                <w:sz w:val="24"/>
                <w:szCs w:val="24"/>
                <w:lang w:val="en-US" w:bidi="zh-CN"/>
              </w:rPr>
              <w:t xml:space="preserve">表2-7  </w:t>
            </w:r>
            <w:r>
              <w:rPr>
                <w:rFonts w:hint="eastAsia" w:ascii="Times New Roman" w:hAnsi="Times New Roman" w:cs="Times New Roman"/>
                <w:b/>
                <w:bCs/>
                <w:color w:val="auto"/>
                <w:sz w:val="24"/>
                <w:szCs w:val="24"/>
              </w:rPr>
              <w:t>现有验收工程</w:t>
            </w:r>
            <w:r>
              <w:rPr>
                <w:rFonts w:hint="eastAsia" w:ascii="Times New Roman" w:hAnsi="Times New Roman" w:cs="Times New Roman"/>
                <w:b/>
                <w:bCs/>
                <w:color w:val="auto"/>
                <w:sz w:val="24"/>
                <w:szCs w:val="24"/>
                <w:lang w:val="en-US" w:bidi="zh-CN"/>
              </w:rPr>
              <w:t>废气执行标准一览表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71"/>
              <w:gridCol w:w="3345"/>
              <w:gridCol w:w="3816"/>
            </w:tblGrid>
            <w:tr w14:paraId="472447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97" w:type="pct"/>
                  <w:vMerge w:val="restart"/>
                  <w:tcBorders>
                    <w:tl2br w:val="nil"/>
                    <w:tr2bl w:val="nil"/>
                  </w:tcBorders>
                  <w:noWrap w:val="0"/>
                  <w:vAlign w:val="center"/>
                </w:tcPr>
                <w:p w14:paraId="05BDAB8E">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b/>
                      <w:bCs/>
                      <w:color w:val="auto"/>
                      <w:sz w:val="21"/>
                      <w:szCs w:val="21"/>
                      <w:vertAlign w:val="baseline"/>
                      <w:lang w:val="en-US" w:bidi="zh-CN"/>
                    </w:rPr>
                  </w:pPr>
                  <w:r>
                    <w:rPr>
                      <w:rFonts w:hint="eastAsia" w:ascii="Times New Roman" w:hAnsi="Times New Roman" w:cs="Times New Roman"/>
                      <w:b/>
                      <w:bCs/>
                      <w:color w:val="auto"/>
                      <w:sz w:val="21"/>
                      <w:szCs w:val="21"/>
                      <w:vertAlign w:val="baseline"/>
                      <w:lang w:val="en-US" w:bidi="zh-CN"/>
                    </w:rPr>
                    <w:t>污染物名称</w:t>
                  </w:r>
                </w:p>
              </w:tc>
              <w:tc>
                <w:tcPr>
                  <w:tcW w:w="4402" w:type="pct"/>
                  <w:gridSpan w:val="2"/>
                  <w:tcBorders>
                    <w:tl2br w:val="nil"/>
                    <w:tr2bl w:val="nil"/>
                  </w:tcBorders>
                  <w:noWrap w:val="0"/>
                  <w:vAlign w:val="center"/>
                </w:tcPr>
                <w:p w14:paraId="2CBD4A74">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b/>
                      <w:bCs/>
                      <w:color w:val="auto"/>
                      <w:sz w:val="21"/>
                      <w:szCs w:val="21"/>
                      <w:vertAlign w:val="baseline"/>
                      <w:lang w:val="en-US" w:bidi="zh-CN"/>
                    </w:rPr>
                  </w:pPr>
                  <w:r>
                    <w:rPr>
                      <w:rFonts w:hint="eastAsia"/>
                      <w:b/>
                      <w:bCs/>
                      <w:color w:val="auto"/>
                      <w:sz w:val="21"/>
                      <w:szCs w:val="21"/>
                      <w:lang w:bidi="zh-CN"/>
                    </w:rPr>
                    <w:t>环评批复及现行环保要求执行标准</w:t>
                  </w:r>
                </w:p>
              </w:tc>
            </w:tr>
            <w:tr w14:paraId="017DDF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40" w:hRule="atLeast"/>
              </w:trPr>
              <w:tc>
                <w:tcPr>
                  <w:tcW w:w="597" w:type="pct"/>
                  <w:vMerge w:val="continue"/>
                  <w:tcBorders>
                    <w:tl2br w:val="nil"/>
                    <w:tr2bl w:val="nil"/>
                  </w:tcBorders>
                  <w:noWrap w:val="0"/>
                  <w:vAlign w:val="center"/>
                </w:tcPr>
                <w:p w14:paraId="29C0A58A">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color w:val="auto"/>
                      <w:sz w:val="21"/>
                      <w:szCs w:val="21"/>
                    </w:rPr>
                  </w:pPr>
                </w:p>
              </w:tc>
              <w:tc>
                <w:tcPr>
                  <w:tcW w:w="2056" w:type="pct"/>
                  <w:tcBorders>
                    <w:tl2br w:val="nil"/>
                    <w:tr2bl w:val="nil"/>
                  </w:tcBorders>
                  <w:noWrap w:val="0"/>
                  <w:vAlign w:val="center"/>
                </w:tcPr>
                <w:p w14:paraId="7F2AFD48">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b/>
                      <w:bCs/>
                      <w:color w:val="auto"/>
                      <w:sz w:val="21"/>
                      <w:szCs w:val="21"/>
                      <w:vertAlign w:val="baseline"/>
                      <w:lang w:val="en-US" w:bidi="zh-CN"/>
                    </w:rPr>
                  </w:pPr>
                  <w:r>
                    <w:rPr>
                      <w:rFonts w:hint="eastAsia" w:ascii="Times New Roman" w:hAnsi="Times New Roman" w:cs="Times New Roman"/>
                      <w:b/>
                      <w:bCs/>
                      <w:color w:val="auto"/>
                      <w:sz w:val="21"/>
                      <w:szCs w:val="21"/>
                      <w:vertAlign w:val="baseline"/>
                      <w:lang w:val="en-US" w:bidi="zh-CN"/>
                    </w:rPr>
                    <w:t>无组织排放监控浓度限制</w:t>
                  </w:r>
                  <w:r>
                    <w:rPr>
                      <w:rFonts w:hint="eastAsia" w:ascii="Times New Roman" w:hAnsi="Times New Roman" w:cs="Times New Roman"/>
                      <w:b/>
                      <w:bCs/>
                      <w:color w:val="auto"/>
                      <w:sz w:val="21"/>
                      <w:szCs w:val="21"/>
                      <w:vertAlign w:val="baseline"/>
                      <w:lang w:val="en-US" w:eastAsia="zh-CN"/>
                    </w:rPr>
                    <w:t>（mg/m</w:t>
                  </w:r>
                  <w:r>
                    <w:rPr>
                      <w:rFonts w:hint="eastAsia" w:ascii="Times New Roman" w:hAnsi="Times New Roman" w:cs="Times New Roman"/>
                      <w:b/>
                      <w:bCs/>
                      <w:color w:val="auto"/>
                      <w:sz w:val="21"/>
                      <w:szCs w:val="21"/>
                      <w:vertAlign w:val="superscript"/>
                      <w:lang w:val="en-US" w:eastAsia="zh-CN"/>
                    </w:rPr>
                    <w:t>3</w:t>
                  </w:r>
                  <w:r>
                    <w:rPr>
                      <w:rFonts w:hint="eastAsia" w:ascii="Times New Roman" w:hAnsi="Times New Roman" w:cs="Times New Roman"/>
                      <w:b/>
                      <w:bCs/>
                      <w:color w:val="auto"/>
                      <w:sz w:val="21"/>
                      <w:szCs w:val="21"/>
                      <w:vertAlign w:val="baseline"/>
                      <w:lang w:val="en-US" w:eastAsia="zh-CN"/>
                    </w:rPr>
                    <w:t>）</w:t>
                  </w:r>
                </w:p>
              </w:tc>
              <w:tc>
                <w:tcPr>
                  <w:tcW w:w="2346" w:type="pct"/>
                  <w:tcBorders>
                    <w:tl2br w:val="nil"/>
                    <w:tr2bl w:val="nil"/>
                  </w:tcBorders>
                  <w:noWrap w:val="0"/>
                  <w:vAlign w:val="center"/>
                </w:tcPr>
                <w:p w14:paraId="46ECB901">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zh-CN"/>
                    </w:rPr>
                  </w:pPr>
                  <w:r>
                    <w:rPr>
                      <w:rFonts w:hint="default"/>
                      <w:b/>
                      <w:bCs/>
                      <w:color w:val="auto"/>
                      <w:sz w:val="21"/>
                      <w:szCs w:val="21"/>
                    </w:rPr>
                    <w:t>标准</w:t>
                  </w:r>
                </w:p>
              </w:tc>
            </w:tr>
            <w:tr w14:paraId="10F7D4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97" w:type="pct"/>
                  <w:tcBorders>
                    <w:tl2br w:val="nil"/>
                    <w:tr2bl w:val="nil"/>
                  </w:tcBorders>
                  <w:noWrap w:val="0"/>
                  <w:vAlign w:val="center"/>
                </w:tcPr>
                <w:p w14:paraId="0AB5A85F">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b w:val="0"/>
                      <w:bCs w:val="0"/>
                      <w:color w:val="auto"/>
                      <w:sz w:val="21"/>
                      <w:szCs w:val="21"/>
                      <w:vertAlign w:val="baseline"/>
                      <w:lang w:val="en-US" w:bidi="zh-CN"/>
                    </w:rPr>
                  </w:pPr>
                  <w:r>
                    <w:rPr>
                      <w:rFonts w:hint="eastAsia" w:ascii="Times New Roman" w:hAnsi="Times New Roman" w:cs="Times New Roman"/>
                      <w:b w:val="0"/>
                      <w:bCs w:val="0"/>
                      <w:color w:val="auto"/>
                      <w:sz w:val="21"/>
                      <w:szCs w:val="21"/>
                      <w:vertAlign w:val="baseline"/>
                      <w:lang w:val="en-US" w:bidi="zh-CN"/>
                    </w:rPr>
                    <w:t>颗粒物</w:t>
                  </w:r>
                </w:p>
              </w:tc>
              <w:tc>
                <w:tcPr>
                  <w:tcW w:w="2056" w:type="pct"/>
                  <w:tcBorders>
                    <w:tl2br w:val="nil"/>
                    <w:tr2bl w:val="nil"/>
                  </w:tcBorders>
                  <w:noWrap w:val="0"/>
                  <w:vAlign w:val="center"/>
                </w:tcPr>
                <w:p w14:paraId="293E74EC">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b w:val="0"/>
                      <w:bCs w:val="0"/>
                      <w:color w:val="auto"/>
                      <w:sz w:val="21"/>
                      <w:szCs w:val="21"/>
                      <w:vertAlign w:val="baseline"/>
                      <w:lang w:val="en-US" w:bidi="zh-CN"/>
                    </w:rPr>
                  </w:pPr>
                  <w:r>
                    <w:rPr>
                      <w:rFonts w:hint="eastAsia" w:ascii="Times New Roman" w:hAnsi="Times New Roman" w:cs="Times New Roman"/>
                      <w:b w:val="0"/>
                      <w:bCs w:val="0"/>
                      <w:color w:val="auto"/>
                      <w:sz w:val="21"/>
                      <w:szCs w:val="21"/>
                      <w:vertAlign w:val="baseline"/>
                      <w:lang w:val="en-US" w:bidi="zh-CN"/>
                    </w:rPr>
                    <w:t>0.5</w:t>
                  </w:r>
                </w:p>
              </w:tc>
              <w:tc>
                <w:tcPr>
                  <w:tcW w:w="2346" w:type="pct"/>
                  <w:tcBorders>
                    <w:tl2br w:val="nil"/>
                    <w:tr2bl w:val="nil"/>
                  </w:tcBorders>
                  <w:noWrap w:val="0"/>
                  <w:vAlign w:val="center"/>
                </w:tcPr>
                <w:p w14:paraId="68B41127">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cs="Times New Roman"/>
                      <w:b w:val="0"/>
                      <w:bCs w:val="0"/>
                      <w:color w:val="auto"/>
                      <w:sz w:val="21"/>
                      <w:szCs w:val="21"/>
                      <w:vertAlign w:val="baseline"/>
                      <w:lang w:val="en-US" w:bidi="zh-CN"/>
                    </w:rPr>
                  </w:pPr>
                  <w:r>
                    <w:rPr>
                      <w:rFonts w:hint="eastAsia"/>
                      <w:color w:val="auto"/>
                      <w:sz w:val="21"/>
                      <w:szCs w:val="21"/>
                      <w:lang w:bidi="zh-CN"/>
                    </w:rPr>
                    <w:t>《大气污染物综合排放标准》（DB31/933-2015）中表3</w:t>
                  </w:r>
                  <w:r>
                    <w:rPr>
                      <w:rFonts w:hint="eastAsia"/>
                      <w:color w:val="auto"/>
                      <w:sz w:val="21"/>
                      <w:szCs w:val="21"/>
                      <w:lang w:val="en-US" w:bidi="zh-CN"/>
                    </w:rPr>
                    <w:t>中相关标准</w:t>
                  </w:r>
                </w:p>
              </w:tc>
            </w:tr>
          </w:tbl>
          <w:p w14:paraId="268F6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由上表可知，废气能够达标排放</w:t>
            </w:r>
            <w:r>
              <w:rPr>
                <w:rFonts w:hint="default" w:ascii="Times New Roman" w:hAnsi="Times New Roman" w:eastAsia="宋体" w:cs="Times New Roman"/>
                <w:color w:val="000000"/>
                <w:kern w:val="0"/>
                <w:sz w:val="24"/>
                <w:szCs w:val="24"/>
                <w:lang w:val="en-US" w:eastAsia="zh-CN" w:bidi="ar"/>
              </w:rPr>
              <w:t>，项目厂界无组织颗粒物排放最大浓度值为0.284mg/m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，监测结果能满足上海市</w:t>
            </w:r>
            <w:r>
              <w:rPr>
                <w:rFonts w:hint="default" w:ascii="Times New Roman" w:hAnsi="Times New Roman" w:eastAsia="宋体" w:cs="Times New Roman"/>
                <w:color w:val="auto"/>
                <w:sz w:val="24"/>
                <w:szCs w:val="24"/>
                <w:lang w:val="en-US" w:eastAsia="zh-CN"/>
              </w:rPr>
              <w:t>地方标准</w:t>
            </w:r>
            <w:r>
              <w:rPr>
                <w:rFonts w:hint="default" w:ascii="Times New Roman" w:hAnsi="Times New Roman" w:eastAsia="宋体" w:cs="Times New Roman"/>
                <w:color w:val="000000"/>
                <w:kern w:val="0"/>
                <w:sz w:val="24"/>
                <w:szCs w:val="24"/>
                <w:lang w:val="en-US" w:eastAsia="zh-CN" w:bidi="ar"/>
              </w:rPr>
              <w:t>《大气污染物综合排放标准》（DB31/933-2015）中表3厂界大气污染物监控点浓度限值要求</w:t>
            </w:r>
            <w:r>
              <w:rPr>
                <w:rFonts w:hint="default" w:ascii="Times New Roman" w:hAnsi="Times New Roman" w:eastAsia="宋体" w:cs="Times New Roman"/>
                <w:color w:val="auto"/>
                <w:sz w:val="24"/>
                <w:szCs w:val="24"/>
              </w:rPr>
              <w:t>。</w:t>
            </w:r>
          </w:p>
          <w:p w14:paraId="57C2DECA">
            <w:pPr>
              <w:keepNext w:val="0"/>
              <w:keepLines w:val="0"/>
              <w:pageBreakBefore w:val="0"/>
              <w:widowControl w:val="0"/>
              <w:suppressLineNumbers w:val="0"/>
              <w:kinsoku/>
              <w:wordWrap/>
              <w:topLinePunct w:val="0"/>
              <w:autoSpaceDE/>
              <w:autoSpaceDN/>
              <w:bidi w:val="0"/>
              <w:adjustRightIn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废水达标分析</w:t>
            </w:r>
          </w:p>
          <w:p w14:paraId="6D3BDCC6">
            <w:pPr>
              <w:pStyle w:val="37"/>
              <w:keepNext w:val="0"/>
              <w:keepLines w:val="0"/>
              <w:pageBreakBefore w:val="0"/>
              <w:widowControl w:val="0"/>
              <w:suppressLineNumbers w:val="0"/>
              <w:kinsoku/>
              <w:wordWrap/>
              <w:topLinePunct w:val="0"/>
              <w:autoSpaceDE/>
              <w:autoSpaceDN/>
              <w:bidi w:val="0"/>
              <w:adjustRightIn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color w:val="auto"/>
                <w:sz w:val="24"/>
                <w:szCs w:val="24"/>
              </w:rPr>
              <w:t>全厂雨污分流；</w:t>
            </w:r>
            <w:r>
              <w:rPr>
                <w:rFonts w:hint="default" w:ascii="Times New Roman" w:hAnsi="Times New Roman" w:eastAsia="宋体" w:cs="Times New Roman"/>
                <w:color w:val="auto"/>
                <w:sz w:val="24"/>
                <w:szCs w:val="24"/>
                <w:lang w:val="en-US" w:eastAsia="zh-CN"/>
              </w:rPr>
              <w:t>现有项目营运期产生的废水主要为员工生活污水、设备冲洗废水</w:t>
            </w:r>
            <w:r>
              <w:rPr>
                <w:rFonts w:hint="eastAsia" w:ascii="Times New Roman" w:hAnsi="Times New Roman" w:cs="Times New Roman"/>
                <w:color w:val="auto"/>
                <w:sz w:val="24"/>
                <w:szCs w:val="24"/>
                <w:lang w:val="en-US" w:eastAsia="zh-CN"/>
              </w:rPr>
              <w:t>、地面清洗废水</w:t>
            </w:r>
            <w:r>
              <w:rPr>
                <w:rFonts w:hint="default" w:ascii="Times New Roman" w:hAnsi="Times New Roman" w:eastAsia="宋体" w:cs="Times New Roman"/>
                <w:color w:val="auto"/>
                <w:sz w:val="24"/>
                <w:szCs w:val="24"/>
                <w:lang w:val="en-US" w:eastAsia="zh-CN"/>
              </w:rPr>
              <w:t>，主要污染物为COD、氨氮等。员工生活污水经租赁厂区现有化粪池处理；</w:t>
            </w:r>
            <w:r>
              <w:rPr>
                <w:rFonts w:hint="eastAsia" w:ascii="Times New Roman" w:hAnsi="Times New Roman" w:cs="Times New Roman"/>
                <w:color w:val="auto"/>
                <w:sz w:val="24"/>
                <w:szCs w:val="24"/>
                <w:lang w:val="en-US" w:eastAsia="zh-CN"/>
              </w:rPr>
              <w:t>生产废水</w:t>
            </w:r>
            <w:r>
              <w:rPr>
                <w:rFonts w:hint="default" w:ascii="Times New Roman" w:hAnsi="Times New Roman" w:eastAsia="宋体" w:cs="Times New Roman"/>
                <w:color w:val="auto"/>
                <w:sz w:val="24"/>
                <w:szCs w:val="24"/>
                <w:lang w:val="en-US" w:eastAsia="zh-CN"/>
              </w:rPr>
              <w:t>经厂区现有沉淀池处理；上述废水处理达标后排入</w:t>
            </w:r>
            <w:r>
              <w:rPr>
                <w:rFonts w:hint="eastAsia" w:ascii="Times New Roman" w:hAnsi="Times New Roman"/>
                <w:color w:val="auto"/>
                <w:szCs w:val="24"/>
              </w:rPr>
              <w:t>安徽淮相科技发展有限公司第二污水处理厂</w:t>
            </w:r>
            <w:r>
              <w:rPr>
                <w:rFonts w:hint="default" w:ascii="Times New Roman" w:hAnsi="Times New Roman" w:eastAsia="宋体" w:cs="Times New Roman"/>
                <w:color w:val="auto"/>
                <w:sz w:val="24"/>
                <w:szCs w:val="24"/>
                <w:lang w:val="en-US" w:eastAsia="zh-CN"/>
              </w:rPr>
              <w:t>。</w:t>
            </w:r>
            <w:r>
              <w:rPr>
                <w:rFonts w:hint="eastAsia" w:ascii="Times New Roman" w:hAnsi="Times New Roman"/>
                <w:szCs w:val="24"/>
              </w:rPr>
              <w:t>根据安徽马培德食品科技有限公司</w:t>
            </w:r>
            <w:r>
              <w:rPr>
                <w:rFonts w:hint="eastAsia" w:ascii="Times New Roman" w:hAnsi="Times New Roman"/>
                <w:szCs w:val="24"/>
                <w:lang w:val="en-US" w:eastAsia="zh-CN"/>
              </w:rPr>
              <w:t>最新废水</w:t>
            </w:r>
            <w:r>
              <w:rPr>
                <w:rFonts w:hint="eastAsia" w:ascii="Times New Roman" w:hAnsi="Times New Roman"/>
                <w:szCs w:val="24"/>
              </w:rPr>
              <w:t>监测报告（监测时间为202</w:t>
            </w:r>
            <w:r>
              <w:rPr>
                <w:rFonts w:hint="eastAsia" w:ascii="Times New Roman" w:hAnsi="Times New Roman"/>
                <w:szCs w:val="24"/>
                <w:lang w:val="en-US" w:eastAsia="zh-CN"/>
              </w:rPr>
              <w:t>4</w:t>
            </w:r>
            <w:r>
              <w:rPr>
                <w:rFonts w:hint="eastAsia" w:ascii="Times New Roman" w:hAnsi="Times New Roman"/>
                <w:szCs w:val="24"/>
              </w:rPr>
              <w:t>.</w:t>
            </w:r>
            <w:r>
              <w:rPr>
                <w:rFonts w:hint="eastAsia" w:ascii="Times New Roman" w:hAnsi="Times New Roman"/>
                <w:szCs w:val="24"/>
                <w:lang w:val="en-US" w:eastAsia="zh-CN"/>
              </w:rPr>
              <w:t>4</w:t>
            </w:r>
            <w:r>
              <w:rPr>
                <w:rFonts w:hint="eastAsia" w:ascii="Times New Roman" w:hAnsi="Times New Roman"/>
                <w:szCs w:val="24"/>
              </w:rPr>
              <w:t>.</w:t>
            </w:r>
            <w:r>
              <w:rPr>
                <w:rFonts w:hint="eastAsia" w:ascii="Times New Roman" w:hAnsi="Times New Roman"/>
                <w:szCs w:val="24"/>
                <w:lang w:val="en-US" w:eastAsia="zh-CN"/>
              </w:rPr>
              <w:t>8</w:t>
            </w:r>
            <w:r>
              <w:rPr>
                <w:rFonts w:hint="eastAsia" w:ascii="Times New Roman" w:hAnsi="Times New Roman"/>
                <w:szCs w:val="24"/>
              </w:rPr>
              <w:t>-202</w:t>
            </w:r>
            <w:r>
              <w:rPr>
                <w:rFonts w:hint="eastAsia" w:ascii="Times New Roman" w:hAnsi="Times New Roman"/>
                <w:szCs w:val="24"/>
                <w:lang w:val="en-US" w:eastAsia="zh-CN"/>
              </w:rPr>
              <w:t>4</w:t>
            </w:r>
            <w:r>
              <w:rPr>
                <w:rFonts w:hint="eastAsia" w:ascii="Times New Roman" w:hAnsi="Times New Roman"/>
                <w:szCs w:val="24"/>
              </w:rPr>
              <w:t>.</w:t>
            </w:r>
            <w:r>
              <w:rPr>
                <w:rFonts w:hint="eastAsia" w:ascii="Times New Roman" w:hAnsi="Times New Roman"/>
                <w:szCs w:val="24"/>
                <w:lang w:val="en-US" w:eastAsia="zh-CN"/>
              </w:rPr>
              <w:t>4</w:t>
            </w:r>
            <w:r>
              <w:rPr>
                <w:rFonts w:hint="eastAsia" w:ascii="Times New Roman" w:hAnsi="Times New Roman"/>
                <w:szCs w:val="24"/>
              </w:rPr>
              <w:t>.</w:t>
            </w:r>
            <w:r>
              <w:rPr>
                <w:rFonts w:hint="eastAsia" w:ascii="Times New Roman" w:hAnsi="Times New Roman"/>
                <w:szCs w:val="24"/>
                <w:lang w:val="en-US" w:eastAsia="zh-CN"/>
              </w:rPr>
              <w:t>9</w:t>
            </w:r>
            <w:r>
              <w:rPr>
                <w:rFonts w:hint="eastAsia" w:ascii="Times New Roman" w:hAnsi="Times New Roman"/>
                <w:szCs w:val="24"/>
              </w:rPr>
              <w:t>），具体数据见下表</w:t>
            </w:r>
            <w:r>
              <w:rPr>
                <w:rFonts w:hint="eastAsia" w:ascii="Times New Roman" w:hAnsi="Times New Roman" w:eastAsia="宋体" w:cs="Times New Roman"/>
                <w:b w:val="0"/>
                <w:bCs w:val="0"/>
                <w:color w:val="000000"/>
                <w:kern w:val="2"/>
                <w:sz w:val="24"/>
                <w:szCs w:val="24"/>
                <w:lang w:val="en-US" w:eastAsia="zh-CN" w:bidi="ar-SA"/>
              </w:rPr>
              <w:t>。</w:t>
            </w:r>
          </w:p>
          <w:p w14:paraId="7E0758D9">
            <w:pPr>
              <w:pStyle w:val="37"/>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4"/>
                <w:szCs w:val="24"/>
                <w:lang w:val="en-US" w:eastAsia="zh-CN" w:bidi="zh-CN"/>
              </w:rPr>
            </w:pPr>
            <w:r>
              <w:rPr>
                <w:rFonts w:hint="default" w:ascii="Times New Roman" w:hAnsi="Times New Roman" w:cs="Times New Roman"/>
                <w:b/>
                <w:bCs/>
                <w:color w:val="auto"/>
                <w:sz w:val="24"/>
                <w:szCs w:val="24"/>
                <w:lang w:val="en-US" w:bidi="zh-CN"/>
              </w:rPr>
              <w:t>表2-</w:t>
            </w:r>
            <w:r>
              <w:rPr>
                <w:rFonts w:hint="eastAsia" w:ascii="Times New Roman" w:hAnsi="Times New Roman" w:cs="Times New Roman"/>
                <w:b/>
                <w:bCs/>
                <w:color w:val="auto"/>
                <w:sz w:val="24"/>
                <w:szCs w:val="24"/>
                <w:lang w:val="en-US" w:bidi="zh-CN"/>
              </w:rPr>
              <w:t xml:space="preserve">8  </w:t>
            </w:r>
            <w:r>
              <w:rPr>
                <w:rFonts w:hint="default" w:ascii="Times New Roman" w:hAnsi="Times New Roman" w:cs="Times New Roman"/>
                <w:b/>
                <w:bCs/>
                <w:color w:val="auto"/>
                <w:sz w:val="24"/>
                <w:szCs w:val="24"/>
              </w:rPr>
              <w:t>现有工程</w:t>
            </w:r>
            <w:r>
              <w:rPr>
                <w:rFonts w:hint="eastAsia" w:ascii="Times New Roman" w:hAnsi="Times New Roman" w:cs="Times New Roman"/>
                <w:b/>
                <w:bCs/>
                <w:color w:val="auto"/>
                <w:sz w:val="24"/>
                <w:szCs w:val="24"/>
                <w:lang w:val="en-US" w:eastAsia="zh-CN"/>
              </w:rPr>
              <w:t>废水</w:t>
            </w:r>
            <w:r>
              <w:rPr>
                <w:rFonts w:hint="default" w:ascii="Times New Roman" w:hAnsi="Times New Roman" w:cs="Times New Roman"/>
                <w:b/>
                <w:bCs/>
                <w:color w:val="auto"/>
                <w:sz w:val="24"/>
                <w:szCs w:val="24"/>
              </w:rPr>
              <w:t>排放浓度监测结果一览表</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单位：mg/L,pH无量纲）</w:t>
            </w:r>
          </w:p>
          <w:tbl>
            <w:tblPr>
              <w:tblStyle w:val="29"/>
              <w:tblW w:w="4998" w:type="pct"/>
              <w:tblInd w:w="0" w:type="dxa"/>
              <w:tblBorders>
                <w:top w:val="single" w:color="auto" w:sz="12" w:space="0"/>
                <w:left w:val="none" w:color="auto" w:sz="4" w:space="0"/>
                <w:bottom w:val="single" w:color="auto" w:sz="12" w:space="0"/>
                <w:right w:val="none" w:color="auto" w:sz="4"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1103"/>
              <w:gridCol w:w="1275"/>
              <w:gridCol w:w="1020"/>
              <w:gridCol w:w="1275"/>
              <w:gridCol w:w="1244"/>
              <w:gridCol w:w="1124"/>
              <w:gridCol w:w="1088"/>
            </w:tblGrid>
            <w:tr w14:paraId="0168C018">
              <w:tblPrEx>
                <w:tblBorders>
                  <w:top w:val="single" w:color="auto" w:sz="12" w:space="0"/>
                  <w:left w:val="none" w:color="auto" w:sz="4" w:space="0"/>
                  <w:bottom w:val="single" w:color="auto" w:sz="12" w:space="0"/>
                  <w:right w:val="none" w:color="auto" w:sz="4" w:space="0"/>
                  <w:insideH w:val="single" w:color="auto" w:sz="8" w:space="0"/>
                  <w:insideV w:val="single" w:color="auto" w:sz="8" w:space="0"/>
                </w:tblBorders>
                <w:shd w:val="clear" w:color="auto" w:fill="auto"/>
                <w:tblCellMar>
                  <w:top w:w="0" w:type="dxa"/>
                  <w:left w:w="108" w:type="dxa"/>
                  <w:bottom w:w="0" w:type="dxa"/>
                  <w:right w:w="108" w:type="dxa"/>
                </w:tblCellMar>
              </w:tblPrEx>
              <w:tc>
                <w:tcPr>
                  <w:tcW w:w="679" w:type="pct"/>
                  <w:vMerge w:val="restart"/>
                  <w:tcBorders>
                    <w:top w:val="single" w:color="auto" w:sz="12" w:space="0"/>
                    <w:left w:val="nil"/>
                    <w:bottom w:val="single" w:color="auto" w:sz="8" w:space="0"/>
                    <w:right w:val="single" w:color="auto" w:sz="8" w:space="0"/>
                  </w:tcBorders>
                  <w:shd w:val="clear" w:color="auto" w:fill="auto"/>
                  <w:vAlign w:val="center"/>
                </w:tcPr>
                <w:p w14:paraId="3BC54DAB">
                  <w:pPr>
                    <w:keepNext w:val="0"/>
                    <w:keepLines w:val="0"/>
                    <w:widowControl/>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ascii="宋体" w:hAnsi="宋体" w:eastAsia="宋体" w:cs="宋体"/>
                      <w:b/>
                      <w:bCs/>
                      <w:color w:val="000000"/>
                      <w:kern w:val="0"/>
                      <w:sz w:val="21"/>
                      <w:szCs w:val="21"/>
                      <w:lang w:val="en-US" w:eastAsia="zh-CN" w:bidi="ar"/>
                    </w:rPr>
                    <w:t>监测日期</w:t>
                  </w:r>
                </w:p>
              </w:tc>
              <w:tc>
                <w:tcPr>
                  <w:tcW w:w="784" w:type="pct"/>
                  <w:vMerge w:val="restart"/>
                  <w:tcBorders>
                    <w:top w:val="single" w:color="auto" w:sz="12" w:space="0"/>
                    <w:left w:val="single" w:color="auto" w:sz="8" w:space="0"/>
                    <w:right w:val="single" w:color="auto" w:sz="8" w:space="0"/>
                  </w:tcBorders>
                  <w:shd w:val="clear" w:color="auto" w:fill="auto"/>
                  <w:vAlign w:val="center"/>
                </w:tcPr>
                <w:p w14:paraId="7B74868F">
                  <w:pPr>
                    <w:keepNext w:val="0"/>
                    <w:keepLines w:val="0"/>
                    <w:widowControl/>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ascii="宋体" w:hAnsi="宋体" w:eastAsia="宋体" w:cs="宋体"/>
                      <w:b/>
                      <w:bCs/>
                      <w:color w:val="000000"/>
                      <w:kern w:val="0"/>
                      <w:sz w:val="21"/>
                      <w:szCs w:val="21"/>
                      <w:lang w:val="en-US" w:eastAsia="zh-CN" w:bidi="ar"/>
                    </w:rPr>
                    <w:t>监测点位</w:t>
                  </w:r>
                </w:p>
              </w:tc>
              <w:tc>
                <w:tcPr>
                  <w:tcW w:w="3536" w:type="pct"/>
                  <w:gridSpan w:val="5"/>
                  <w:tcBorders>
                    <w:top w:val="single" w:color="auto" w:sz="12" w:space="0"/>
                    <w:left w:val="single" w:color="auto" w:sz="8" w:space="0"/>
                    <w:bottom w:val="single" w:color="auto" w:sz="8" w:space="0"/>
                    <w:right w:val="nil"/>
                  </w:tcBorders>
                  <w:shd w:val="clear" w:color="auto" w:fill="auto"/>
                  <w:vAlign w:val="center"/>
                </w:tcPr>
                <w:p w14:paraId="2708A0FD">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ascii="宋体" w:hAnsi="宋体" w:eastAsia="宋体" w:cs="宋体"/>
                      <w:b/>
                      <w:bCs/>
                      <w:color w:val="000000"/>
                      <w:kern w:val="0"/>
                      <w:sz w:val="21"/>
                      <w:szCs w:val="21"/>
                      <w:lang w:val="en-US" w:eastAsia="zh-CN" w:bidi="ar"/>
                    </w:rPr>
                    <w:t>监测结果</w:t>
                  </w:r>
                </w:p>
              </w:tc>
            </w:tr>
            <w:tr w14:paraId="4672739D">
              <w:tblPrEx>
                <w:tblBorders>
                  <w:top w:val="single" w:color="auto" w:sz="12" w:space="0"/>
                  <w:left w:val="none" w:color="auto" w:sz="4" w:space="0"/>
                  <w:bottom w:val="single" w:color="auto" w:sz="12" w:space="0"/>
                  <w:right w:val="none" w:color="auto" w:sz="4" w:space="0"/>
                  <w:insideH w:val="single" w:color="auto" w:sz="8" w:space="0"/>
                  <w:insideV w:val="single" w:color="auto" w:sz="8" w:space="0"/>
                </w:tblBorders>
                <w:tblCellMar>
                  <w:top w:w="0" w:type="dxa"/>
                  <w:left w:w="108" w:type="dxa"/>
                  <w:bottom w:w="0" w:type="dxa"/>
                  <w:right w:w="108" w:type="dxa"/>
                </w:tblCellMar>
              </w:tblPrEx>
              <w:trPr>
                <w:trHeight w:val="244" w:hRule="atLeast"/>
              </w:trPr>
              <w:tc>
                <w:tcPr>
                  <w:tcW w:w="679" w:type="pct"/>
                  <w:vMerge w:val="continue"/>
                  <w:tcBorders>
                    <w:top w:val="single" w:color="auto" w:sz="12" w:space="0"/>
                    <w:left w:val="nil"/>
                    <w:bottom w:val="single" w:color="auto" w:sz="8" w:space="0"/>
                    <w:right w:val="single" w:color="auto" w:sz="8" w:space="0"/>
                  </w:tcBorders>
                  <w:shd w:val="clear" w:color="auto" w:fill="auto"/>
                  <w:vAlign w:val="center"/>
                </w:tcPr>
                <w:p w14:paraId="7D1F3F76">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lang w:val="en-US" w:eastAsia="zh-CN"/>
                    </w:rPr>
                  </w:pPr>
                </w:p>
              </w:tc>
              <w:tc>
                <w:tcPr>
                  <w:tcW w:w="784" w:type="pct"/>
                  <w:vMerge w:val="continue"/>
                  <w:tcBorders>
                    <w:left w:val="single" w:color="auto" w:sz="8" w:space="0"/>
                    <w:bottom w:val="single" w:color="auto" w:sz="8" w:space="0"/>
                    <w:right w:val="single" w:color="auto" w:sz="8" w:space="0"/>
                  </w:tcBorders>
                  <w:shd w:val="clear" w:color="auto" w:fill="auto"/>
                  <w:vAlign w:val="center"/>
                </w:tcPr>
                <w:p w14:paraId="45B6ECE8">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lang w:val="en-US" w:eastAsia="zh-CN"/>
                    </w:rPr>
                  </w:pPr>
                </w:p>
              </w:tc>
              <w:tc>
                <w:tcPr>
                  <w:tcW w:w="627" w:type="pct"/>
                  <w:tcBorders>
                    <w:top w:val="single" w:color="auto" w:sz="8" w:space="0"/>
                    <w:left w:val="single" w:color="auto" w:sz="8" w:space="0"/>
                    <w:bottom w:val="single" w:color="auto" w:sz="8" w:space="0"/>
                    <w:right w:val="single" w:color="auto" w:sz="8" w:space="0"/>
                  </w:tcBorders>
                  <w:shd w:val="clear" w:color="auto" w:fill="auto"/>
                  <w:vAlign w:val="center"/>
                </w:tcPr>
                <w:p w14:paraId="7AD37C12">
                  <w:pPr>
                    <w:keepNext w:val="0"/>
                    <w:keepLines w:val="0"/>
                    <w:widowControl/>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b/>
                      <w:bCs/>
                      <w:color w:val="000000"/>
                      <w:kern w:val="0"/>
                      <w:sz w:val="21"/>
                      <w:szCs w:val="21"/>
                      <w:lang w:val="en-US" w:eastAsia="zh-CN" w:bidi="ar"/>
                    </w:rPr>
                    <w:t>pH</w:t>
                  </w:r>
                </w:p>
              </w:tc>
              <w:tc>
                <w:tcPr>
                  <w:tcW w:w="784" w:type="pct"/>
                  <w:tcBorders>
                    <w:top w:val="single" w:color="auto" w:sz="8" w:space="0"/>
                    <w:left w:val="single" w:color="auto" w:sz="8" w:space="0"/>
                    <w:bottom w:val="single" w:color="auto" w:sz="8" w:space="0"/>
                    <w:right w:val="single" w:color="auto" w:sz="8" w:space="0"/>
                  </w:tcBorders>
                  <w:shd w:val="clear" w:color="auto" w:fill="auto"/>
                  <w:vAlign w:val="center"/>
                </w:tcPr>
                <w:p w14:paraId="03DFD97F">
                  <w:pPr>
                    <w:keepNext w:val="0"/>
                    <w:keepLines w:val="0"/>
                    <w:widowControl/>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cs="Times New Roman"/>
                      <w:b/>
                      <w:bCs/>
                      <w:color w:val="000000"/>
                      <w:kern w:val="0"/>
                      <w:sz w:val="21"/>
                      <w:szCs w:val="21"/>
                      <w:lang w:val="en-US" w:eastAsia="zh-CN" w:bidi="ar"/>
                    </w:rPr>
                    <w:t>化学需氧量</w:t>
                  </w:r>
                </w:p>
              </w:tc>
              <w:tc>
                <w:tcPr>
                  <w:tcW w:w="765" w:type="pct"/>
                  <w:tcBorders>
                    <w:top w:val="single" w:color="auto" w:sz="8" w:space="0"/>
                    <w:left w:val="single" w:color="auto" w:sz="8" w:space="0"/>
                    <w:bottom w:val="single" w:color="auto" w:sz="8" w:space="0"/>
                    <w:right w:val="single" w:color="auto" w:sz="8" w:space="0"/>
                  </w:tcBorders>
                  <w:shd w:val="clear" w:color="auto" w:fill="auto"/>
                  <w:vAlign w:val="center"/>
                </w:tcPr>
                <w:p w14:paraId="206E2DFF">
                  <w:pPr>
                    <w:keepNext w:val="0"/>
                    <w:keepLines w:val="0"/>
                    <w:widowControl/>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cs="Times New Roman"/>
                      <w:b/>
                      <w:bCs/>
                      <w:color w:val="000000"/>
                      <w:kern w:val="0"/>
                      <w:sz w:val="21"/>
                      <w:szCs w:val="21"/>
                      <w:lang w:val="en-US" w:eastAsia="zh-CN" w:bidi="ar"/>
                    </w:rPr>
                    <w:t>氨氮</w:t>
                  </w:r>
                </w:p>
              </w:tc>
              <w:tc>
                <w:tcPr>
                  <w:tcW w:w="691" w:type="pct"/>
                  <w:tcBorders>
                    <w:top w:val="single" w:color="auto" w:sz="8" w:space="0"/>
                    <w:left w:val="single" w:color="auto" w:sz="8" w:space="0"/>
                    <w:bottom w:val="single" w:color="auto" w:sz="8" w:space="0"/>
                    <w:right w:val="single" w:color="auto" w:sz="8" w:space="0"/>
                  </w:tcBorders>
                  <w:shd w:val="clear" w:color="auto" w:fill="auto"/>
                  <w:vAlign w:val="center"/>
                </w:tcPr>
                <w:p w14:paraId="5BE3E0A2">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cs="Times New Roman"/>
                      <w:b/>
                      <w:bCs/>
                      <w:color w:val="000000"/>
                      <w:kern w:val="0"/>
                      <w:sz w:val="21"/>
                      <w:szCs w:val="21"/>
                      <w:lang w:val="en-US" w:eastAsia="zh-CN" w:bidi="ar"/>
                    </w:rPr>
                    <w:t>总氮</w:t>
                  </w:r>
                </w:p>
              </w:tc>
              <w:tc>
                <w:tcPr>
                  <w:tcW w:w="666" w:type="pct"/>
                  <w:tcBorders>
                    <w:top w:val="single" w:color="auto" w:sz="8" w:space="0"/>
                    <w:left w:val="single" w:color="auto" w:sz="8" w:space="0"/>
                    <w:bottom w:val="single" w:color="auto" w:sz="8" w:space="0"/>
                    <w:right w:val="nil"/>
                  </w:tcBorders>
                  <w:shd w:val="clear" w:color="auto" w:fill="auto"/>
                  <w:vAlign w:val="center"/>
                </w:tcPr>
                <w:p w14:paraId="11E18081">
                  <w:pPr>
                    <w:keepNext w:val="0"/>
                    <w:keepLines w:val="0"/>
                    <w:widowControl/>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cs="Times New Roman"/>
                      <w:b/>
                      <w:bCs/>
                      <w:color w:val="000000"/>
                      <w:kern w:val="0"/>
                      <w:sz w:val="21"/>
                      <w:szCs w:val="21"/>
                      <w:lang w:val="en-US" w:eastAsia="zh-CN" w:bidi="ar"/>
                    </w:rPr>
                    <w:t>总磷</w:t>
                  </w:r>
                </w:p>
              </w:tc>
            </w:tr>
            <w:tr w14:paraId="34E550B7">
              <w:tblPrEx>
                <w:tblBorders>
                  <w:top w:val="single" w:color="auto" w:sz="12" w:space="0"/>
                  <w:left w:val="none" w:color="auto" w:sz="4" w:space="0"/>
                  <w:bottom w:val="single" w:color="auto" w:sz="12" w:space="0"/>
                  <w:right w:val="none" w:color="auto" w:sz="4" w:space="0"/>
                  <w:insideH w:val="single" w:color="auto" w:sz="8" w:space="0"/>
                  <w:insideV w:val="single" w:color="auto" w:sz="8" w:space="0"/>
                </w:tblBorders>
                <w:shd w:val="clear" w:color="auto" w:fill="auto"/>
                <w:tblCellMar>
                  <w:top w:w="0" w:type="dxa"/>
                  <w:left w:w="108" w:type="dxa"/>
                  <w:bottom w:w="0" w:type="dxa"/>
                  <w:right w:w="108" w:type="dxa"/>
                </w:tblCellMar>
              </w:tblPrEx>
              <w:tc>
                <w:tcPr>
                  <w:tcW w:w="679" w:type="pct"/>
                  <w:tcBorders>
                    <w:top w:val="single" w:color="auto" w:sz="8" w:space="0"/>
                    <w:left w:val="nil"/>
                    <w:bottom w:val="single" w:color="auto" w:sz="8" w:space="0"/>
                    <w:right w:val="single" w:color="auto" w:sz="8" w:space="0"/>
                  </w:tcBorders>
                  <w:shd w:val="clear" w:color="auto" w:fill="auto"/>
                  <w:vAlign w:val="center"/>
                </w:tcPr>
                <w:p w14:paraId="72E120CB">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bidi="ar"/>
                    </w:rPr>
                    <w:t>202</w:t>
                  </w:r>
                  <w:r>
                    <w:rPr>
                      <w:rFonts w:hint="eastAsia" w:cs="Times New Roman"/>
                      <w:kern w:val="2"/>
                      <w:sz w:val="21"/>
                      <w:szCs w:val="21"/>
                      <w:lang w:val="en-US" w:eastAsia="zh-CN" w:bidi="ar"/>
                    </w:rPr>
                    <w:t>4</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4</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8-2024.4.9</w:t>
                  </w:r>
                </w:p>
              </w:tc>
              <w:tc>
                <w:tcPr>
                  <w:tcW w:w="784" w:type="pct"/>
                  <w:tcBorders>
                    <w:top w:val="single" w:color="auto" w:sz="8" w:space="0"/>
                    <w:left w:val="single" w:color="auto" w:sz="8" w:space="0"/>
                    <w:bottom w:val="single" w:color="auto" w:sz="8" w:space="0"/>
                    <w:right w:val="single" w:color="auto" w:sz="8" w:space="0"/>
                  </w:tcBorders>
                  <w:shd w:val="clear" w:color="auto" w:fill="auto"/>
                  <w:vAlign w:val="center"/>
                </w:tcPr>
                <w:p w14:paraId="4D8B4658">
                  <w:pPr>
                    <w:keepNext w:val="0"/>
                    <w:keepLines w:val="0"/>
                    <w:widowControl/>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ascii="宋体" w:hAnsi="宋体" w:eastAsia="宋体" w:cs="宋体"/>
                      <w:color w:val="000000"/>
                      <w:kern w:val="0"/>
                      <w:sz w:val="21"/>
                      <w:szCs w:val="21"/>
                      <w:lang w:val="en-US" w:eastAsia="zh-CN" w:bidi="ar"/>
                    </w:rPr>
                    <w:t>废水总排</w:t>
                  </w:r>
                  <w:r>
                    <w:rPr>
                      <w:rFonts w:hint="eastAsia" w:ascii="宋体" w:hAnsi="宋体" w:cs="宋体"/>
                      <w:color w:val="000000"/>
                      <w:kern w:val="0"/>
                      <w:sz w:val="21"/>
                      <w:szCs w:val="21"/>
                      <w:lang w:val="en-US" w:eastAsia="zh-CN" w:bidi="ar"/>
                    </w:rPr>
                    <w:t>口</w:t>
                  </w:r>
                  <w:r>
                    <w:rPr>
                      <w:rFonts w:hint="default" w:ascii="Times New Roman" w:hAnsi="Times New Roman" w:eastAsia="宋体" w:cs="Times New Roman"/>
                      <w:color w:val="000000"/>
                      <w:kern w:val="0"/>
                      <w:sz w:val="21"/>
                      <w:szCs w:val="21"/>
                      <w:lang w:val="en-US" w:eastAsia="zh-CN" w:bidi="ar"/>
                    </w:rPr>
                    <w:t>(W1)</w:t>
                  </w:r>
                </w:p>
              </w:tc>
              <w:tc>
                <w:tcPr>
                  <w:tcW w:w="627" w:type="pct"/>
                  <w:tcBorders>
                    <w:top w:val="single" w:color="auto" w:sz="8" w:space="0"/>
                    <w:left w:val="single" w:color="auto" w:sz="8" w:space="0"/>
                    <w:bottom w:val="single" w:color="auto" w:sz="8" w:space="0"/>
                    <w:right w:val="single" w:color="auto" w:sz="8" w:space="0"/>
                  </w:tcBorders>
                  <w:shd w:val="clear" w:color="auto" w:fill="auto"/>
                  <w:vAlign w:val="center"/>
                </w:tcPr>
                <w:p w14:paraId="3A0519C5">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bidi="ar"/>
                    </w:rPr>
                    <w:t>6.5</w:t>
                  </w:r>
                </w:p>
              </w:tc>
              <w:tc>
                <w:tcPr>
                  <w:tcW w:w="784" w:type="pct"/>
                  <w:tcBorders>
                    <w:top w:val="single" w:color="auto" w:sz="8" w:space="0"/>
                    <w:left w:val="single" w:color="auto" w:sz="8" w:space="0"/>
                    <w:bottom w:val="single" w:color="auto" w:sz="8" w:space="0"/>
                    <w:right w:val="single" w:color="auto" w:sz="8" w:space="0"/>
                  </w:tcBorders>
                  <w:shd w:val="clear" w:color="auto" w:fill="auto"/>
                  <w:vAlign w:val="center"/>
                </w:tcPr>
                <w:p w14:paraId="2B04DA45">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bidi="ar"/>
                    </w:rPr>
                    <w:t>316</w:t>
                  </w:r>
                </w:p>
              </w:tc>
              <w:tc>
                <w:tcPr>
                  <w:tcW w:w="765" w:type="pct"/>
                  <w:tcBorders>
                    <w:top w:val="single" w:color="auto" w:sz="8" w:space="0"/>
                    <w:left w:val="single" w:color="auto" w:sz="8" w:space="0"/>
                    <w:bottom w:val="single" w:color="auto" w:sz="8" w:space="0"/>
                    <w:right w:val="single" w:color="auto" w:sz="8" w:space="0"/>
                  </w:tcBorders>
                  <w:shd w:val="clear" w:color="auto" w:fill="auto"/>
                  <w:vAlign w:val="center"/>
                </w:tcPr>
                <w:p w14:paraId="01E73A98">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bidi="ar"/>
                    </w:rPr>
                    <w:t>21.5</w:t>
                  </w:r>
                </w:p>
              </w:tc>
              <w:tc>
                <w:tcPr>
                  <w:tcW w:w="691" w:type="pct"/>
                  <w:tcBorders>
                    <w:top w:val="single" w:color="auto" w:sz="8" w:space="0"/>
                    <w:left w:val="single" w:color="auto" w:sz="8" w:space="0"/>
                    <w:bottom w:val="single" w:color="auto" w:sz="8" w:space="0"/>
                    <w:right w:val="single" w:color="auto" w:sz="8" w:space="0"/>
                  </w:tcBorders>
                  <w:shd w:val="clear" w:color="auto" w:fill="auto"/>
                  <w:vAlign w:val="center"/>
                </w:tcPr>
                <w:p w14:paraId="40BC2904">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bidi="ar"/>
                    </w:rPr>
                    <w:t>36.8</w:t>
                  </w:r>
                </w:p>
              </w:tc>
              <w:tc>
                <w:tcPr>
                  <w:tcW w:w="666" w:type="pct"/>
                  <w:tcBorders>
                    <w:top w:val="single" w:color="auto" w:sz="8" w:space="0"/>
                    <w:left w:val="single" w:color="auto" w:sz="8" w:space="0"/>
                    <w:bottom w:val="single" w:color="auto" w:sz="8" w:space="0"/>
                    <w:right w:val="nil"/>
                  </w:tcBorders>
                  <w:shd w:val="clear" w:color="auto" w:fill="auto"/>
                  <w:vAlign w:val="center"/>
                </w:tcPr>
                <w:p w14:paraId="11BFD9A8">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bidi="ar"/>
                    </w:rPr>
                    <w:t>3.73</w:t>
                  </w:r>
                </w:p>
              </w:tc>
            </w:tr>
            <w:tr w14:paraId="2BDEEBE7">
              <w:tblPrEx>
                <w:tblBorders>
                  <w:top w:val="single" w:color="auto" w:sz="12" w:space="0"/>
                  <w:left w:val="none" w:color="auto" w:sz="4" w:space="0"/>
                  <w:bottom w:val="single" w:color="auto" w:sz="12" w:space="0"/>
                  <w:right w:val="none" w:color="auto" w:sz="4" w:space="0"/>
                  <w:insideH w:val="single" w:color="auto" w:sz="8" w:space="0"/>
                  <w:insideV w:val="single" w:color="auto" w:sz="8" w:space="0"/>
                </w:tblBorders>
                <w:tblCellMar>
                  <w:top w:w="0" w:type="dxa"/>
                  <w:left w:w="108" w:type="dxa"/>
                  <w:bottom w:w="0" w:type="dxa"/>
                  <w:right w:w="108" w:type="dxa"/>
                </w:tblCellMar>
              </w:tblPrEx>
              <w:tc>
                <w:tcPr>
                  <w:tcW w:w="1463" w:type="pct"/>
                  <w:gridSpan w:val="2"/>
                  <w:tcBorders>
                    <w:top w:val="single" w:color="auto" w:sz="8" w:space="0"/>
                    <w:left w:val="nil"/>
                    <w:bottom w:val="single" w:color="auto" w:sz="8" w:space="0"/>
                    <w:right w:val="single" w:color="auto" w:sz="8" w:space="0"/>
                  </w:tcBorders>
                  <w:shd w:val="clear" w:color="auto" w:fill="auto"/>
                  <w:vAlign w:val="center"/>
                </w:tcPr>
                <w:p w14:paraId="56856ADA">
                  <w:pPr>
                    <w:keepNext w:val="0"/>
                    <w:keepLines w:val="0"/>
                    <w:widowControl/>
                    <w:suppressLineNumbers w:val="0"/>
                    <w:autoSpaceDE w:val="0"/>
                    <w:autoSpaceDN/>
                    <w:spacing w:before="0" w:beforeAutospacing="0" w:after="0" w:afterAutospacing="0"/>
                    <w:ind w:left="0" w:right="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标准限值</w:t>
                  </w:r>
                </w:p>
              </w:tc>
              <w:tc>
                <w:tcPr>
                  <w:tcW w:w="627" w:type="pct"/>
                  <w:tcBorders>
                    <w:top w:val="single" w:color="auto" w:sz="8" w:space="0"/>
                    <w:left w:val="single" w:color="auto" w:sz="8" w:space="0"/>
                    <w:bottom w:val="single" w:color="auto" w:sz="8" w:space="0"/>
                    <w:right w:val="single" w:color="auto" w:sz="8" w:space="0"/>
                  </w:tcBorders>
                  <w:shd w:val="clear" w:color="auto" w:fill="auto"/>
                  <w:vAlign w:val="center"/>
                </w:tcPr>
                <w:p w14:paraId="42D8C902">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bidi="ar"/>
                    </w:rPr>
                    <w:t>6~9</w:t>
                  </w:r>
                </w:p>
              </w:tc>
              <w:tc>
                <w:tcPr>
                  <w:tcW w:w="784" w:type="pct"/>
                  <w:tcBorders>
                    <w:top w:val="single" w:color="auto" w:sz="8" w:space="0"/>
                    <w:left w:val="single" w:color="auto" w:sz="8" w:space="0"/>
                    <w:bottom w:val="single" w:color="auto" w:sz="8" w:space="0"/>
                    <w:right w:val="single" w:color="auto" w:sz="8" w:space="0"/>
                  </w:tcBorders>
                  <w:shd w:val="clear" w:color="auto" w:fill="auto"/>
                  <w:vAlign w:val="center"/>
                </w:tcPr>
                <w:p w14:paraId="101D4184">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bidi="ar"/>
                    </w:rPr>
                    <w:t>500</w:t>
                  </w:r>
                </w:p>
              </w:tc>
              <w:tc>
                <w:tcPr>
                  <w:tcW w:w="765" w:type="pct"/>
                  <w:tcBorders>
                    <w:top w:val="single" w:color="auto" w:sz="8" w:space="0"/>
                    <w:left w:val="single" w:color="auto" w:sz="8" w:space="0"/>
                    <w:bottom w:val="single" w:color="auto" w:sz="8" w:space="0"/>
                    <w:right w:val="single" w:color="auto" w:sz="8" w:space="0"/>
                  </w:tcBorders>
                  <w:shd w:val="clear" w:color="auto" w:fill="auto"/>
                  <w:vAlign w:val="center"/>
                </w:tcPr>
                <w:p w14:paraId="66E1E160">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bidi="ar"/>
                    </w:rPr>
                    <w:t>300</w:t>
                  </w:r>
                </w:p>
              </w:tc>
              <w:tc>
                <w:tcPr>
                  <w:tcW w:w="691" w:type="pct"/>
                  <w:tcBorders>
                    <w:top w:val="single" w:color="auto" w:sz="8" w:space="0"/>
                    <w:left w:val="single" w:color="auto" w:sz="8" w:space="0"/>
                    <w:bottom w:val="single" w:color="auto" w:sz="8" w:space="0"/>
                    <w:right w:val="single" w:color="auto" w:sz="8" w:space="0"/>
                  </w:tcBorders>
                  <w:shd w:val="clear" w:color="auto" w:fill="auto"/>
                  <w:vAlign w:val="center"/>
                </w:tcPr>
                <w:p w14:paraId="034569D4">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bidi="ar"/>
                    </w:rPr>
                    <w:t>70</w:t>
                  </w:r>
                </w:p>
              </w:tc>
              <w:tc>
                <w:tcPr>
                  <w:tcW w:w="666" w:type="pct"/>
                  <w:tcBorders>
                    <w:top w:val="single" w:color="auto" w:sz="8" w:space="0"/>
                    <w:left w:val="single" w:color="auto" w:sz="8" w:space="0"/>
                    <w:bottom w:val="single" w:color="auto" w:sz="8" w:space="0"/>
                    <w:right w:val="nil"/>
                  </w:tcBorders>
                  <w:shd w:val="clear" w:color="auto" w:fill="auto"/>
                  <w:vAlign w:val="center"/>
                </w:tcPr>
                <w:p w14:paraId="4D47E688">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bidi="ar"/>
                    </w:rPr>
                    <w:t>8</w:t>
                  </w:r>
                </w:p>
              </w:tc>
            </w:tr>
            <w:tr w14:paraId="7D24BC7C">
              <w:tblPrEx>
                <w:tblBorders>
                  <w:top w:val="single" w:color="auto" w:sz="12" w:space="0"/>
                  <w:left w:val="none" w:color="auto" w:sz="4" w:space="0"/>
                  <w:bottom w:val="single" w:color="auto" w:sz="12" w:space="0"/>
                  <w:right w:val="none" w:color="auto" w:sz="4"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42" w:hRule="atLeast"/>
              </w:trPr>
              <w:tc>
                <w:tcPr>
                  <w:tcW w:w="1463" w:type="pct"/>
                  <w:gridSpan w:val="2"/>
                  <w:tcBorders>
                    <w:top w:val="single" w:color="auto" w:sz="8" w:space="0"/>
                    <w:left w:val="nil"/>
                    <w:bottom w:val="single" w:color="auto" w:sz="12" w:space="0"/>
                    <w:right w:val="single" w:color="auto" w:sz="8" w:space="0"/>
                  </w:tcBorders>
                  <w:shd w:val="clear" w:color="auto" w:fill="auto"/>
                  <w:vAlign w:val="center"/>
                </w:tcPr>
                <w:p w14:paraId="283FD8B0">
                  <w:pPr>
                    <w:keepNext w:val="0"/>
                    <w:keepLines w:val="0"/>
                    <w:widowControl/>
                    <w:suppressLineNumbers w:val="0"/>
                    <w:autoSpaceDE w:val="0"/>
                    <w:autoSpaceDN/>
                    <w:spacing w:before="0" w:beforeAutospacing="0" w:after="0" w:afterAutospacing="0"/>
                    <w:ind w:left="0" w:right="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达标情况</w:t>
                  </w:r>
                </w:p>
              </w:tc>
              <w:tc>
                <w:tcPr>
                  <w:tcW w:w="627" w:type="pct"/>
                  <w:tcBorders>
                    <w:top w:val="single" w:color="auto" w:sz="8" w:space="0"/>
                    <w:left w:val="single" w:color="auto" w:sz="8" w:space="0"/>
                    <w:bottom w:val="single" w:color="auto" w:sz="12" w:space="0"/>
                    <w:right w:val="single" w:color="auto" w:sz="8" w:space="0"/>
                  </w:tcBorders>
                  <w:shd w:val="clear" w:color="auto" w:fill="auto"/>
                  <w:vAlign w:val="center"/>
                </w:tcPr>
                <w:p w14:paraId="37AC2145">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ascii="宋体" w:hAnsi="宋体" w:eastAsia="宋体" w:cs="宋体"/>
                      <w:kern w:val="2"/>
                      <w:sz w:val="21"/>
                      <w:szCs w:val="21"/>
                      <w:lang w:val="en-US" w:eastAsia="zh-CN" w:bidi="ar"/>
                    </w:rPr>
                    <w:t>达标</w:t>
                  </w:r>
                </w:p>
              </w:tc>
              <w:tc>
                <w:tcPr>
                  <w:tcW w:w="784" w:type="pct"/>
                  <w:tcBorders>
                    <w:top w:val="single" w:color="auto" w:sz="8" w:space="0"/>
                    <w:left w:val="single" w:color="auto" w:sz="8" w:space="0"/>
                    <w:bottom w:val="single" w:color="auto" w:sz="12" w:space="0"/>
                    <w:right w:val="single" w:color="auto" w:sz="8" w:space="0"/>
                  </w:tcBorders>
                  <w:shd w:val="clear" w:color="auto" w:fill="auto"/>
                  <w:vAlign w:val="center"/>
                </w:tcPr>
                <w:p w14:paraId="7AE9B6A7">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ascii="宋体" w:hAnsi="宋体" w:eastAsia="宋体" w:cs="宋体"/>
                      <w:kern w:val="2"/>
                      <w:sz w:val="21"/>
                      <w:szCs w:val="21"/>
                      <w:lang w:val="en-US" w:eastAsia="zh-CN" w:bidi="ar"/>
                    </w:rPr>
                    <w:t>达标</w:t>
                  </w:r>
                </w:p>
              </w:tc>
              <w:tc>
                <w:tcPr>
                  <w:tcW w:w="765" w:type="pct"/>
                  <w:tcBorders>
                    <w:top w:val="single" w:color="auto" w:sz="8" w:space="0"/>
                    <w:left w:val="single" w:color="auto" w:sz="8" w:space="0"/>
                    <w:bottom w:val="single" w:color="auto" w:sz="12" w:space="0"/>
                    <w:right w:val="single" w:color="auto" w:sz="8" w:space="0"/>
                  </w:tcBorders>
                  <w:shd w:val="clear" w:color="auto" w:fill="auto"/>
                  <w:vAlign w:val="center"/>
                </w:tcPr>
                <w:p w14:paraId="79D66FCC">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ascii="宋体" w:hAnsi="宋体" w:eastAsia="宋体" w:cs="宋体"/>
                      <w:kern w:val="2"/>
                      <w:sz w:val="21"/>
                      <w:szCs w:val="21"/>
                      <w:lang w:val="en-US" w:eastAsia="zh-CN" w:bidi="ar"/>
                    </w:rPr>
                    <w:t>达标</w:t>
                  </w:r>
                </w:p>
              </w:tc>
              <w:tc>
                <w:tcPr>
                  <w:tcW w:w="691" w:type="pct"/>
                  <w:tcBorders>
                    <w:top w:val="single" w:color="auto" w:sz="8" w:space="0"/>
                    <w:left w:val="single" w:color="auto" w:sz="8" w:space="0"/>
                    <w:bottom w:val="single" w:color="auto" w:sz="12" w:space="0"/>
                    <w:right w:val="single" w:color="auto" w:sz="8" w:space="0"/>
                  </w:tcBorders>
                  <w:shd w:val="clear" w:color="auto" w:fill="auto"/>
                  <w:vAlign w:val="center"/>
                </w:tcPr>
                <w:p w14:paraId="38602971">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ascii="宋体" w:hAnsi="宋体" w:eastAsia="宋体" w:cs="宋体"/>
                      <w:kern w:val="2"/>
                      <w:sz w:val="21"/>
                      <w:szCs w:val="21"/>
                      <w:lang w:val="en-US" w:eastAsia="zh-CN" w:bidi="ar"/>
                    </w:rPr>
                    <w:t>达标</w:t>
                  </w:r>
                </w:p>
              </w:tc>
              <w:tc>
                <w:tcPr>
                  <w:tcW w:w="666" w:type="pct"/>
                  <w:tcBorders>
                    <w:top w:val="single" w:color="auto" w:sz="8" w:space="0"/>
                    <w:left w:val="single" w:color="auto" w:sz="8" w:space="0"/>
                    <w:bottom w:val="single" w:color="auto" w:sz="12" w:space="0"/>
                    <w:right w:val="nil"/>
                  </w:tcBorders>
                  <w:shd w:val="clear" w:color="auto" w:fill="auto"/>
                  <w:vAlign w:val="center"/>
                </w:tcPr>
                <w:p w14:paraId="7F26B612">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eastAsia" w:ascii="宋体" w:hAnsi="宋体" w:eastAsia="宋体" w:cs="宋体"/>
                      <w:kern w:val="2"/>
                      <w:sz w:val="21"/>
                      <w:szCs w:val="21"/>
                      <w:lang w:val="en-US" w:eastAsia="zh-CN" w:bidi="ar"/>
                    </w:rPr>
                    <w:t>达标</w:t>
                  </w:r>
                </w:p>
              </w:tc>
            </w:tr>
          </w:tbl>
          <w:p w14:paraId="7AD6D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lang w:val="en-US"/>
              </w:rPr>
            </w:pPr>
          </w:p>
          <w:p w14:paraId="75AC2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lang w:val="en-US"/>
              </w:rPr>
            </w:pPr>
            <w:r>
              <w:rPr>
                <w:rFonts w:hint="default" w:ascii="Times New Roman" w:hAnsi="Times New Roman" w:cs="Times New Roman"/>
                <w:b/>
                <w:bCs/>
                <w:color w:val="auto"/>
                <w:sz w:val="24"/>
                <w:szCs w:val="24"/>
                <w:lang w:val="en-US" w:bidi="zh-CN"/>
              </w:rPr>
              <w:t>表2-</w:t>
            </w:r>
            <w:r>
              <w:rPr>
                <w:rFonts w:hint="eastAsia" w:ascii="Times New Roman" w:hAnsi="Times New Roman" w:cs="Times New Roman"/>
                <w:b/>
                <w:bCs/>
                <w:color w:val="auto"/>
                <w:sz w:val="24"/>
                <w:szCs w:val="24"/>
                <w:lang w:val="en-US" w:bidi="zh-CN"/>
              </w:rPr>
              <w:t>9</w:t>
            </w:r>
            <w:r>
              <w:rPr>
                <w:rFonts w:hint="default" w:ascii="Times New Roman" w:hAnsi="Times New Roman" w:cs="Times New Roman"/>
                <w:b/>
                <w:bCs/>
                <w:color w:val="auto"/>
                <w:sz w:val="24"/>
                <w:szCs w:val="24"/>
                <w:lang w:val="en-US" w:bidi="zh-CN"/>
              </w:rPr>
              <w:t xml:space="preserve">  </w:t>
            </w:r>
            <w:r>
              <w:rPr>
                <w:rFonts w:hint="default" w:ascii="Times New Roman" w:hAnsi="Times New Roman" w:cs="Times New Roman"/>
                <w:b/>
                <w:bCs/>
                <w:color w:val="auto"/>
                <w:sz w:val="24"/>
                <w:szCs w:val="24"/>
              </w:rPr>
              <w:t>现有验收工程</w:t>
            </w:r>
            <w:r>
              <w:rPr>
                <w:rFonts w:hint="default" w:ascii="Times New Roman" w:hAnsi="Times New Roman" w:cs="Times New Roman"/>
                <w:b/>
                <w:bCs/>
                <w:color w:val="auto"/>
                <w:sz w:val="24"/>
                <w:szCs w:val="24"/>
                <w:lang w:val="en-US" w:bidi="zh-CN"/>
              </w:rPr>
              <w:t>废</w:t>
            </w:r>
            <w:r>
              <w:rPr>
                <w:rFonts w:hint="eastAsia" w:ascii="Times New Roman" w:hAnsi="Times New Roman" w:cs="Times New Roman"/>
                <w:b/>
                <w:bCs/>
                <w:color w:val="auto"/>
                <w:sz w:val="24"/>
                <w:szCs w:val="24"/>
                <w:lang w:val="en-US" w:bidi="zh-CN"/>
              </w:rPr>
              <w:t>水</w:t>
            </w:r>
            <w:r>
              <w:rPr>
                <w:rFonts w:hint="default" w:ascii="Times New Roman" w:hAnsi="Times New Roman" w:cs="Times New Roman"/>
                <w:b/>
                <w:bCs/>
                <w:color w:val="auto"/>
                <w:sz w:val="24"/>
                <w:szCs w:val="24"/>
                <w:lang w:val="en-US" w:bidi="zh-CN"/>
              </w:rPr>
              <w:t>执行标准一览表</w:t>
            </w:r>
            <w:r>
              <w:rPr>
                <w:rFonts w:hint="default" w:ascii="Times New Roman" w:hAnsi="Times New Roman" w:cs="Times New Roman"/>
                <w:b/>
                <w:color w:val="auto"/>
                <w:kern w:val="0"/>
                <w:sz w:val="24"/>
                <w:szCs w:val="24"/>
              </w:rPr>
              <w:t>单位：</w:t>
            </w:r>
            <w:r>
              <w:rPr>
                <w:rFonts w:hint="default" w:ascii="Times New Roman" w:hAnsi="Times New Roman" w:eastAsia="TimesNewRomanPSMT" w:cs="Times New Roman"/>
                <w:b/>
                <w:color w:val="auto"/>
                <w:kern w:val="0"/>
                <w:sz w:val="24"/>
                <w:szCs w:val="24"/>
              </w:rPr>
              <w:t>mg/L</w:t>
            </w:r>
            <w:r>
              <w:rPr>
                <w:rFonts w:hint="eastAsia" w:ascii="Times New Roman" w:hAnsi="Times New Roman" w:eastAsia="宋体" w:cs="Times New Roman"/>
                <w:b/>
                <w:color w:val="auto"/>
                <w:kern w:val="0"/>
                <w:sz w:val="24"/>
                <w:szCs w:val="24"/>
                <w:lang w:eastAsia="zh-CN"/>
              </w:rPr>
              <w:t>，</w:t>
            </w:r>
            <w:r>
              <w:rPr>
                <w:rFonts w:hint="default" w:ascii="Times New Roman" w:hAnsi="Times New Roman" w:eastAsia="TimesNewRomanPSMT" w:cs="Times New Roman"/>
                <w:b/>
                <w:color w:val="auto"/>
                <w:kern w:val="0"/>
                <w:sz w:val="24"/>
                <w:szCs w:val="24"/>
              </w:rPr>
              <w:t>pH</w:t>
            </w:r>
            <w:r>
              <w:rPr>
                <w:rFonts w:hint="eastAsia" w:ascii="Times New Roman" w:hAnsi="Times New Roman" w:eastAsia="宋体" w:cs="Times New Roman"/>
                <w:b/>
                <w:color w:val="auto"/>
                <w:kern w:val="0"/>
                <w:sz w:val="24"/>
                <w:szCs w:val="24"/>
                <w:lang w:val="en-US" w:eastAsia="zh-CN"/>
              </w:rPr>
              <w:t>无量纲</w:t>
            </w:r>
          </w:p>
          <w:tbl>
            <w:tblPr>
              <w:tblStyle w:val="29"/>
              <w:tblW w:w="8129"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56"/>
              <w:gridCol w:w="1317"/>
              <w:gridCol w:w="995"/>
              <w:gridCol w:w="696"/>
              <w:gridCol w:w="1543"/>
              <w:gridCol w:w="1632"/>
              <w:gridCol w:w="790"/>
            </w:tblGrid>
            <w:tr w14:paraId="0FE85D0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11" w:type="pct"/>
                  <w:vMerge w:val="restart"/>
                  <w:tcBorders>
                    <w:tl2br w:val="nil"/>
                    <w:tr2bl w:val="nil"/>
                  </w:tcBorders>
                  <w:noWrap w:val="0"/>
                  <w:vAlign w:val="center"/>
                </w:tcPr>
                <w:p w14:paraId="1351FAF4">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bCs/>
                      <w:color w:val="auto"/>
                      <w:sz w:val="21"/>
                      <w:szCs w:val="21"/>
                      <w:vertAlign w:val="baseline"/>
                      <w:lang w:val="en-US" w:bidi="zh-CN"/>
                    </w:rPr>
                  </w:pPr>
                  <w:r>
                    <w:rPr>
                      <w:rFonts w:hint="default" w:ascii="Times New Roman" w:hAnsi="Times New Roman" w:eastAsia="宋体" w:cs="Times New Roman"/>
                      <w:b/>
                      <w:bCs/>
                      <w:color w:val="auto"/>
                      <w:sz w:val="21"/>
                      <w:szCs w:val="21"/>
                      <w:vertAlign w:val="baseline"/>
                      <w:lang w:val="en-US" w:bidi="zh-CN"/>
                    </w:rPr>
                    <w:t>污染物名称</w:t>
                  </w:r>
                </w:p>
              </w:tc>
              <w:tc>
                <w:tcPr>
                  <w:tcW w:w="1850" w:type="pct"/>
                  <w:gridSpan w:val="3"/>
                  <w:tcBorders>
                    <w:tl2br w:val="nil"/>
                    <w:tr2bl w:val="nil"/>
                  </w:tcBorders>
                  <w:noWrap w:val="0"/>
                  <w:vAlign w:val="center"/>
                </w:tcPr>
                <w:p w14:paraId="4EC927DF">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bCs/>
                      <w:color w:val="auto"/>
                      <w:sz w:val="21"/>
                      <w:szCs w:val="21"/>
                      <w:vertAlign w:val="baseline"/>
                      <w:lang w:val="en-US" w:bidi="zh-CN"/>
                    </w:rPr>
                  </w:pPr>
                  <w:r>
                    <w:rPr>
                      <w:rFonts w:hint="default" w:ascii="Times New Roman" w:hAnsi="Times New Roman" w:eastAsia="宋体" w:cs="Times New Roman"/>
                      <w:b/>
                      <w:bCs/>
                      <w:color w:val="auto"/>
                      <w:sz w:val="21"/>
                      <w:szCs w:val="21"/>
                      <w:vertAlign w:val="baseline"/>
                      <w:lang w:val="en-US" w:bidi="zh-CN"/>
                    </w:rPr>
                    <w:t>原环评执行标准</w:t>
                  </w:r>
                </w:p>
              </w:tc>
              <w:tc>
                <w:tcPr>
                  <w:tcW w:w="2437" w:type="pct"/>
                  <w:gridSpan w:val="3"/>
                  <w:tcBorders>
                    <w:tl2br w:val="nil"/>
                    <w:tr2bl w:val="nil"/>
                  </w:tcBorders>
                  <w:noWrap w:val="0"/>
                  <w:vAlign w:val="center"/>
                </w:tcPr>
                <w:p w14:paraId="2B262CC0">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bCs/>
                      <w:color w:val="auto"/>
                      <w:sz w:val="21"/>
                      <w:szCs w:val="21"/>
                      <w:vertAlign w:val="baseline"/>
                      <w:lang w:val="en-US" w:bidi="zh-CN"/>
                    </w:rPr>
                  </w:pPr>
                  <w:r>
                    <w:rPr>
                      <w:rFonts w:hint="default" w:ascii="Times New Roman" w:hAnsi="Times New Roman" w:eastAsia="宋体" w:cs="Times New Roman"/>
                      <w:b/>
                      <w:bCs/>
                      <w:color w:val="auto"/>
                      <w:sz w:val="21"/>
                      <w:szCs w:val="21"/>
                      <w:vertAlign w:val="baseline"/>
                      <w:lang w:val="en-US" w:bidi="zh-CN"/>
                    </w:rPr>
                    <w:t>现行执行标准（GB16297-1996）</w:t>
                  </w:r>
                </w:p>
              </w:tc>
            </w:tr>
            <w:tr w14:paraId="707AE9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11" w:type="pct"/>
                  <w:vMerge w:val="continue"/>
                  <w:tcBorders>
                    <w:tl2br w:val="nil"/>
                    <w:tr2bl w:val="nil"/>
                  </w:tcBorders>
                  <w:noWrap w:val="0"/>
                  <w:vAlign w:val="center"/>
                </w:tcPr>
                <w:p w14:paraId="7A94BA28">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bCs/>
                      <w:color w:val="auto"/>
                      <w:sz w:val="21"/>
                      <w:szCs w:val="21"/>
                    </w:rPr>
                  </w:pPr>
                </w:p>
              </w:tc>
              <w:tc>
                <w:tcPr>
                  <w:tcW w:w="810" w:type="pct"/>
                  <w:tcBorders>
                    <w:tl2br w:val="nil"/>
                    <w:tr2bl w:val="nil"/>
                  </w:tcBorders>
                  <w:noWrap w:val="0"/>
                  <w:vAlign w:val="center"/>
                </w:tcPr>
                <w:p w14:paraId="73ADDF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bidi="zh-CN"/>
                    </w:rPr>
                  </w:pPr>
                  <w:r>
                    <w:rPr>
                      <w:rFonts w:hint="default" w:ascii="Times New Roman" w:hAnsi="Times New Roman" w:cs="Times New Roman"/>
                      <w:b/>
                      <w:bCs/>
                      <w:color w:val="auto"/>
                      <w:sz w:val="21"/>
                      <w:szCs w:val="21"/>
                      <w:lang w:val="en-US" w:eastAsia="zh-CN"/>
                    </w:rPr>
                    <w:t>GB8978-1996</w:t>
                  </w:r>
                  <w:r>
                    <w:rPr>
                      <w:rFonts w:hint="default" w:ascii="Times New Roman" w:hAnsi="Times New Roman" w:eastAsia="宋体" w:cs="Times New Roman"/>
                      <w:b/>
                      <w:bCs/>
                      <w:sz w:val="21"/>
                      <w:szCs w:val="21"/>
                    </w:rPr>
                    <w:t>三级标准浓度限值</w:t>
                  </w:r>
                </w:p>
              </w:tc>
              <w:tc>
                <w:tcPr>
                  <w:tcW w:w="612" w:type="pct"/>
                  <w:tcBorders>
                    <w:tl2br w:val="nil"/>
                    <w:tr2bl w:val="nil"/>
                  </w:tcBorders>
                  <w:noWrap w:val="0"/>
                  <w:vAlign w:val="center"/>
                </w:tcPr>
                <w:p w14:paraId="526845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bidi="zh-CN"/>
                    </w:rPr>
                  </w:pPr>
                  <w:r>
                    <w:rPr>
                      <w:rFonts w:hint="default" w:ascii="Times New Roman" w:hAnsi="Times New Roman" w:eastAsia="宋体" w:cs="Times New Roman"/>
                      <w:b/>
                      <w:bCs/>
                      <w:color w:val="000000"/>
                      <w:kern w:val="0"/>
                      <w:sz w:val="21"/>
                      <w:szCs w:val="21"/>
                      <w:lang w:val="en-US" w:eastAsia="zh-CN" w:bidi="ar"/>
                    </w:rPr>
                    <w:t>丁楼污水处理厂接管标准</w:t>
                  </w:r>
                </w:p>
              </w:tc>
              <w:tc>
                <w:tcPr>
                  <w:tcW w:w="428" w:type="pct"/>
                  <w:tcBorders>
                    <w:tl2br w:val="nil"/>
                    <w:tr2bl w:val="nil"/>
                  </w:tcBorders>
                  <w:noWrap w:val="0"/>
                  <w:vAlign w:val="center"/>
                </w:tcPr>
                <w:p w14:paraId="6F020A5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vertAlign w:val="baseline"/>
                      <w:lang w:val="en-US" w:bidi="zh-CN"/>
                    </w:rPr>
                  </w:pPr>
                  <w:r>
                    <w:rPr>
                      <w:rFonts w:hint="default" w:ascii="Times New Roman" w:hAnsi="Times New Roman" w:eastAsia="宋体" w:cs="Times New Roman"/>
                      <w:b/>
                      <w:bCs/>
                      <w:color w:val="000000"/>
                      <w:kern w:val="0"/>
                      <w:sz w:val="21"/>
                      <w:szCs w:val="21"/>
                      <w:lang w:val="en-US" w:eastAsia="zh-CN" w:bidi="ar"/>
                    </w:rPr>
                    <w:t>项目废水排放限值</w:t>
                  </w:r>
                </w:p>
              </w:tc>
              <w:tc>
                <w:tcPr>
                  <w:tcW w:w="949" w:type="pct"/>
                  <w:tcBorders>
                    <w:tl2br w:val="nil"/>
                    <w:tr2bl w:val="nil"/>
                  </w:tcBorders>
                  <w:noWrap w:val="0"/>
                  <w:vAlign w:val="center"/>
                </w:tcPr>
                <w:p w14:paraId="30E78566">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zh-CN"/>
                    </w:rPr>
                  </w:pPr>
                  <w:r>
                    <w:rPr>
                      <w:rFonts w:hint="default" w:ascii="Times New Roman" w:hAnsi="Times New Roman" w:cs="Times New Roman"/>
                      <w:b/>
                      <w:bCs/>
                      <w:color w:val="auto"/>
                      <w:sz w:val="21"/>
                      <w:szCs w:val="21"/>
                      <w:lang w:val="en-US" w:eastAsia="zh-CN"/>
                    </w:rPr>
                    <w:t>GB8978-1996</w:t>
                  </w:r>
                  <w:r>
                    <w:rPr>
                      <w:rFonts w:hint="default" w:ascii="Times New Roman" w:hAnsi="Times New Roman" w:eastAsia="宋体" w:cs="Times New Roman"/>
                      <w:b/>
                      <w:bCs/>
                      <w:sz w:val="21"/>
                      <w:szCs w:val="21"/>
                    </w:rPr>
                    <w:t>三级标准浓度限值</w:t>
                  </w:r>
                </w:p>
              </w:tc>
              <w:tc>
                <w:tcPr>
                  <w:tcW w:w="1003" w:type="pct"/>
                  <w:tcBorders>
                    <w:tl2br w:val="nil"/>
                    <w:tr2bl w:val="nil"/>
                  </w:tcBorders>
                  <w:noWrap w:val="0"/>
                  <w:vAlign w:val="center"/>
                </w:tcPr>
                <w:p w14:paraId="676A6A93">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zh-CN"/>
                    </w:rPr>
                  </w:pPr>
                  <w:r>
                    <w:rPr>
                      <w:rFonts w:hint="eastAsia"/>
                      <w:b/>
                      <w:bCs/>
                      <w:sz w:val="21"/>
                      <w:szCs w:val="21"/>
                    </w:rPr>
                    <w:t>安徽淮相科技发展有限公司第二污水处理厂</w:t>
                  </w:r>
                  <w:r>
                    <w:rPr>
                      <w:rFonts w:hint="default" w:ascii="Times New Roman" w:hAnsi="Times New Roman" w:eastAsia="宋体" w:cs="Times New Roman"/>
                      <w:b/>
                      <w:bCs/>
                      <w:sz w:val="21"/>
                      <w:szCs w:val="21"/>
                    </w:rPr>
                    <w:t>接管限值</w:t>
                  </w:r>
                </w:p>
              </w:tc>
              <w:tc>
                <w:tcPr>
                  <w:tcW w:w="484" w:type="pct"/>
                  <w:tcBorders>
                    <w:tl2br w:val="nil"/>
                    <w:tr2bl w:val="nil"/>
                  </w:tcBorders>
                  <w:noWrap w:val="0"/>
                  <w:vAlign w:val="center"/>
                </w:tcPr>
                <w:p w14:paraId="51FBEF1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vertAlign w:val="baseline"/>
                      <w:lang w:val="en-US" w:eastAsia="zh-CN" w:bidi="zh-CN"/>
                    </w:rPr>
                  </w:pPr>
                  <w:r>
                    <w:rPr>
                      <w:rFonts w:hint="default" w:ascii="Times New Roman" w:hAnsi="Times New Roman" w:eastAsia="宋体" w:cs="Times New Roman"/>
                      <w:b/>
                      <w:bCs/>
                      <w:color w:val="000000"/>
                      <w:kern w:val="0"/>
                      <w:sz w:val="21"/>
                      <w:szCs w:val="21"/>
                      <w:lang w:val="en-US" w:eastAsia="zh-CN" w:bidi="ar"/>
                    </w:rPr>
                    <w:t>项目废水排放限值</w:t>
                  </w:r>
                </w:p>
              </w:tc>
            </w:tr>
            <w:tr w14:paraId="120B3A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11" w:type="pct"/>
                  <w:tcBorders>
                    <w:tl2br w:val="nil"/>
                    <w:tr2bl w:val="nil"/>
                  </w:tcBorders>
                  <w:noWrap w:val="0"/>
                  <w:vAlign w:val="center"/>
                </w:tcPr>
                <w:p w14:paraId="7C96016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bCs/>
                      <w:color w:val="000000"/>
                      <w:kern w:val="0"/>
                      <w:sz w:val="21"/>
                      <w:szCs w:val="21"/>
                      <w:lang w:val="en-US" w:eastAsia="zh-CN" w:bidi="ar"/>
                    </w:rPr>
                    <w:t>pH</w:t>
                  </w:r>
                </w:p>
              </w:tc>
              <w:tc>
                <w:tcPr>
                  <w:tcW w:w="810" w:type="pct"/>
                  <w:tcBorders>
                    <w:tl2br w:val="nil"/>
                    <w:tr2bl w:val="nil"/>
                  </w:tcBorders>
                  <w:noWrap w:val="0"/>
                  <w:vAlign w:val="center"/>
                </w:tcPr>
                <w:p w14:paraId="6B5430CF">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6~9</w:t>
                  </w:r>
                </w:p>
              </w:tc>
              <w:tc>
                <w:tcPr>
                  <w:tcW w:w="612" w:type="pct"/>
                  <w:tcBorders>
                    <w:tl2br w:val="nil"/>
                    <w:tr2bl w:val="nil"/>
                  </w:tcBorders>
                  <w:noWrap w:val="0"/>
                  <w:vAlign w:val="center"/>
                </w:tcPr>
                <w:p w14:paraId="7A0F402D">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6~9</w:t>
                  </w:r>
                </w:p>
              </w:tc>
              <w:tc>
                <w:tcPr>
                  <w:tcW w:w="428" w:type="pct"/>
                  <w:tcBorders>
                    <w:tl2br w:val="nil"/>
                    <w:tr2bl w:val="nil"/>
                  </w:tcBorders>
                  <w:noWrap w:val="0"/>
                  <w:vAlign w:val="center"/>
                </w:tcPr>
                <w:p w14:paraId="677C3739">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6~9</w:t>
                  </w:r>
                </w:p>
              </w:tc>
              <w:tc>
                <w:tcPr>
                  <w:tcW w:w="949" w:type="pct"/>
                  <w:tcBorders>
                    <w:tl2br w:val="nil"/>
                    <w:tr2bl w:val="nil"/>
                  </w:tcBorders>
                  <w:noWrap w:val="0"/>
                  <w:vAlign w:val="center"/>
                </w:tcPr>
                <w:p w14:paraId="03F1A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6~9</w:t>
                  </w:r>
                </w:p>
              </w:tc>
              <w:tc>
                <w:tcPr>
                  <w:tcW w:w="1003" w:type="pct"/>
                  <w:tcBorders>
                    <w:tl2br w:val="nil"/>
                    <w:tr2bl w:val="nil"/>
                  </w:tcBorders>
                  <w:noWrap w:val="0"/>
                  <w:vAlign w:val="center"/>
                </w:tcPr>
                <w:p w14:paraId="61F08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6~9</w:t>
                  </w:r>
                </w:p>
              </w:tc>
              <w:tc>
                <w:tcPr>
                  <w:tcW w:w="484" w:type="pct"/>
                  <w:tcBorders>
                    <w:tl2br w:val="nil"/>
                    <w:tr2bl w:val="nil"/>
                  </w:tcBorders>
                  <w:noWrap w:val="0"/>
                  <w:vAlign w:val="center"/>
                </w:tcPr>
                <w:p w14:paraId="6371C5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6~9</w:t>
                  </w:r>
                </w:p>
              </w:tc>
            </w:tr>
            <w:tr w14:paraId="0A9B9A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11" w:type="pct"/>
                  <w:tcBorders>
                    <w:tl2br w:val="nil"/>
                    <w:tr2bl w:val="nil"/>
                  </w:tcBorders>
                  <w:noWrap w:val="0"/>
                  <w:vAlign w:val="center"/>
                </w:tcPr>
                <w:p w14:paraId="3046FB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bCs/>
                      <w:color w:val="000000"/>
                      <w:kern w:val="0"/>
                      <w:sz w:val="21"/>
                      <w:szCs w:val="21"/>
                      <w:lang w:val="en-US" w:eastAsia="zh-CN" w:bidi="ar"/>
                    </w:rPr>
                    <w:t>COD</w:t>
                  </w:r>
                  <w:r>
                    <w:rPr>
                      <w:rFonts w:hint="default" w:ascii="Times New Roman" w:hAnsi="Times New Roman" w:eastAsia="宋体" w:cs="Times New Roman"/>
                      <w:b/>
                      <w:bCs/>
                      <w:color w:val="000000"/>
                      <w:kern w:val="0"/>
                      <w:sz w:val="21"/>
                      <w:szCs w:val="21"/>
                      <w:vertAlign w:val="subscript"/>
                      <w:lang w:val="en-US" w:eastAsia="zh-CN" w:bidi="ar"/>
                    </w:rPr>
                    <w:t>Cr</w:t>
                  </w:r>
                </w:p>
              </w:tc>
              <w:tc>
                <w:tcPr>
                  <w:tcW w:w="810" w:type="pct"/>
                  <w:tcBorders>
                    <w:tl2br w:val="nil"/>
                    <w:tr2bl w:val="nil"/>
                  </w:tcBorders>
                  <w:noWrap w:val="0"/>
                  <w:vAlign w:val="center"/>
                </w:tcPr>
                <w:p w14:paraId="35133023">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500</w:t>
                  </w:r>
                </w:p>
              </w:tc>
              <w:tc>
                <w:tcPr>
                  <w:tcW w:w="612" w:type="pct"/>
                  <w:tcBorders>
                    <w:tl2br w:val="nil"/>
                    <w:tr2bl w:val="nil"/>
                  </w:tcBorders>
                  <w:noWrap w:val="0"/>
                  <w:vAlign w:val="center"/>
                </w:tcPr>
                <w:p w14:paraId="619F3333">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500</w:t>
                  </w:r>
                </w:p>
              </w:tc>
              <w:tc>
                <w:tcPr>
                  <w:tcW w:w="428" w:type="pct"/>
                  <w:tcBorders>
                    <w:tl2br w:val="nil"/>
                    <w:tr2bl w:val="nil"/>
                  </w:tcBorders>
                  <w:noWrap w:val="0"/>
                  <w:vAlign w:val="center"/>
                </w:tcPr>
                <w:p w14:paraId="079B647A">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500</w:t>
                  </w:r>
                </w:p>
              </w:tc>
              <w:tc>
                <w:tcPr>
                  <w:tcW w:w="949" w:type="pct"/>
                  <w:tcBorders>
                    <w:tl2br w:val="nil"/>
                    <w:tr2bl w:val="nil"/>
                  </w:tcBorders>
                  <w:noWrap w:val="0"/>
                  <w:vAlign w:val="center"/>
                </w:tcPr>
                <w:p w14:paraId="72F11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500</w:t>
                  </w:r>
                </w:p>
              </w:tc>
              <w:tc>
                <w:tcPr>
                  <w:tcW w:w="1003" w:type="pct"/>
                  <w:tcBorders>
                    <w:tl2br w:val="nil"/>
                    <w:tr2bl w:val="nil"/>
                  </w:tcBorders>
                  <w:noWrap w:val="0"/>
                  <w:vAlign w:val="center"/>
                </w:tcPr>
                <w:p w14:paraId="15FF6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z w:val="21"/>
                      <w:szCs w:val="21"/>
                      <w:lang w:val="en-US" w:eastAsia="zh-CN"/>
                    </w:rPr>
                    <w:t>500</w:t>
                  </w:r>
                </w:p>
              </w:tc>
              <w:tc>
                <w:tcPr>
                  <w:tcW w:w="484" w:type="pct"/>
                  <w:tcBorders>
                    <w:tl2br w:val="nil"/>
                    <w:tr2bl w:val="nil"/>
                  </w:tcBorders>
                  <w:noWrap w:val="0"/>
                  <w:vAlign w:val="center"/>
                </w:tcPr>
                <w:p w14:paraId="3B96F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500</w:t>
                  </w:r>
                </w:p>
              </w:tc>
            </w:tr>
            <w:tr w14:paraId="732B7C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11" w:type="pct"/>
                  <w:tcBorders>
                    <w:tl2br w:val="nil"/>
                    <w:tr2bl w:val="nil"/>
                  </w:tcBorders>
                  <w:noWrap w:val="0"/>
                  <w:vAlign w:val="center"/>
                </w:tcPr>
                <w:p w14:paraId="649B372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bCs/>
                      <w:color w:val="000000"/>
                      <w:kern w:val="0"/>
                      <w:sz w:val="21"/>
                      <w:szCs w:val="21"/>
                      <w:lang w:val="en-US" w:eastAsia="zh-CN" w:bidi="ar"/>
                    </w:rPr>
                    <w:t>BOD</w:t>
                  </w:r>
                  <w:r>
                    <w:rPr>
                      <w:rFonts w:hint="default" w:ascii="Times New Roman" w:hAnsi="Times New Roman" w:eastAsia="宋体" w:cs="Times New Roman"/>
                      <w:b/>
                      <w:bCs/>
                      <w:color w:val="000000"/>
                      <w:kern w:val="0"/>
                      <w:sz w:val="21"/>
                      <w:szCs w:val="21"/>
                      <w:vertAlign w:val="subscript"/>
                      <w:lang w:val="en-US" w:eastAsia="zh-CN" w:bidi="ar"/>
                    </w:rPr>
                    <w:t>5</w:t>
                  </w:r>
                </w:p>
              </w:tc>
              <w:tc>
                <w:tcPr>
                  <w:tcW w:w="810" w:type="pct"/>
                  <w:tcBorders>
                    <w:tl2br w:val="nil"/>
                    <w:tr2bl w:val="nil"/>
                  </w:tcBorders>
                  <w:noWrap w:val="0"/>
                  <w:vAlign w:val="center"/>
                </w:tcPr>
                <w:p w14:paraId="2938CFC2">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300</w:t>
                  </w:r>
                </w:p>
              </w:tc>
              <w:tc>
                <w:tcPr>
                  <w:tcW w:w="612" w:type="pct"/>
                  <w:tcBorders>
                    <w:tl2br w:val="nil"/>
                    <w:tr2bl w:val="nil"/>
                  </w:tcBorders>
                  <w:noWrap w:val="0"/>
                  <w:vAlign w:val="center"/>
                </w:tcPr>
                <w:p w14:paraId="295A83B8">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w:t>
                  </w:r>
                </w:p>
              </w:tc>
              <w:tc>
                <w:tcPr>
                  <w:tcW w:w="428" w:type="pct"/>
                  <w:tcBorders>
                    <w:tl2br w:val="nil"/>
                    <w:tr2bl w:val="nil"/>
                  </w:tcBorders>
                  <w:noWrap w:val="0"/>
                  <w:vAlign w:val="center"/>
                </w:tcPr>
                <w:p w14:paraId="5C462052">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300</w:t>
                  </w:r>
                </w:p>
              </w:tc>
              <w:tc>
                <w:tcPr>
                  <w:tcW w:w="949" w:type="pct"/>
                  <w:tcBorders>
                    <w:tl2br w:val="nil"/>
                    <w:tr2bl w:val="nil"/>
                  </w:tcBorders>
                  <w:noWrap w:val="0"/>
                  <w:vAlign w:val="center"/>
                </w:tcPr>
                <w:p w14:paraId="0F20F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300</w:t>
                  </w:r>
                </w:p>
              </w:tc>
              <w:tc>
                <w:tcPr>
                  <w:tcW w:w="1003" w:type="pct"/>
                  <w:tcBorders>
                    <w:tl2br w:val="nil"/>
                    <w:tr2bl w:val="nil"/>
                  </w:tcBorders>
                  <w:noWrap w:val="0"/>
                  <w:vAlign w:val="center"/>
                </w:tcPr>
                <w:p w14:paraId="2262D7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z w:val="21"/>
                      <w:szCs w:val="21"/>
                      <w:lang w:val="en-US" w:eastAsia="zh-CN"/>
                    </w:rPr>
                    <w:t>350</w:t>
                  </w:r>
                </w:p>
              </w:tc>
              <w:tc>
                <w:tcPr>
                  <w:tcW w:w="484" w:type="pct"/>
                  <w:tcBorders>
                    <w:tl2br w:val="nil"/>
                    <w:tr2bl w:val="nil"/>
                  </w:tcBorders>
                  <w:noWrap w:val="0"/>
                  <w:vAlign w:val="center"/>
                </w:tcPr>
                <w:p w14:paraId="1457E1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300</w:t>
                  </w:r>
                </w:p>
              </w:tc>
            </w:tr>
            <w:tr w14:paraId="57CD3C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11" w:type="pct"/>
                  <w:tcBorders>
                    <w:tl2br w:val="nil"/>
                    <w:tr2bl w:val="nil"/>
                  </w:tcBorders>
                  <w:noWrap w:val="0"/>
                  <w:vAlign w:val="center"/>
                </w:tcPr>
                <w:p w14:paraId="2D8790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bCs/>
                      <w:color w:val="000000"/>
                      <w:kern w:val="0"/>
                      <w:sz w:val="21"/>
                      <w:szCs w:val="21"/>
                      <w:lang w:val="en-US" w:eastAsia="zh-CN" w:bidi="ar"/>
                    </w:rPr>
                    <w:t>氨氮</w:t>
                  </w:r>
                </w:p>
              </w:tc>
              <w:tc>
                <w:tcPr>
                  <w:tcW w:w="810" w:type="pct"/>
                  <w:tcBorders>
                    <w:tl2br w:val="nil"/>
                    <w:tr2bl w:val="nil"/>
                  </w:tcBorders>
                  <w:noWrap w:val="0"/>
                  <w:vAlign w:val="center"/>
                </w:tcPr>
                <w:p w14:paraId="48C4DC31">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w:t>
                  </w:r>
                </w:p>
              </w:tc>
              <w:tc>
                <w:tcPr>
                  <w:tcW w:w="612" w:type="pct"/>
                  <w:tcBorders>
                    <w:tl2br w:val="nil"/>
                    <w:tr2bl w:val="nil"/>
                  </w:tcBorders>
                  <w:noWrap w:val="0"/>
                  <w:vAlign w:val="center"/>
                </w:tcPr>
                <w:p w14:paraId="4EED6894">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45</w:t>
                  </w:r>
                </w:p>
              </w:tc>
              <w:tc>
                <w:tcPr>
                  <w:tcW w:w="428" w:type="pct"/>
                  <w:tcBorders>
                    <w:tl2br w:val="nil"/>
                    <w:tr2bl w:val="nil"/>
                  </w:tcBorders>
                  <w:noWrap w:val="0"/>
                  <w:vAlign w:val="center"/>
                </w:tcPr>
                <w:p w14:paraId="7D096D37">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113"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zh-CN"/>
                    </w:rPr>
                  </w:pPr>
                  <w:r>
                    <w:rPr>
                      <w:rFonts w:hint="default" w:ascii="Times New Roman" w:hAnsi="Times New Roman" w:eastAsia="宋体" w:cs="Times New Roman"/>
                      <w:b w:val="0"/>
                      <w:bCs w:val="0"/>
                      <w:color w:val="auto"/>
                      <w:sz w:val="21"/>
                      <w:szCs w:val="21"/>
                      <w:vertAlign w:val="baseline"/>
                      <w:lang w:val="en-US" w:bidi="zh-CN"/>
                    </w:rPr>
                    <w:t>45</w:t>
                  </w:r>
                </w:p>
              </w:tc>
              <w:tc>
                <w:tcPr>
                  <w:tcW w:w="949" w:type="pct"/>
                  <w:tcBorders>
                    <w:tl2br w:val="nil"/>
                    <w:tr2bl w:val="nil"/>
                  </w:tcBorders>
                  <w:noWrap w:val="0"/>
                  <w:vAlign w:val="center"/>
                </w:tcPr>
                <w:p w14:paraId="72543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w:t>
                  </w:r>
                </w:p>
              </w:tc>
              <w:tc>
                <w:tcPr>
                  <w:tcW w:w="1003" w:type="pct"/>
                  <w:tcBorders>
                    <w:tl2br w:val="nil"/>
                    <w:tr2bl w:val="nil"/>
                  </w:tcBorders>
                  <w:noWrap w:val="0"/>
                  <w:vAlign w:val="center"/>
                </w:tcPr>
                <w:p w14:paraId="44179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45</w:t>
                  </w:r>
                </w:p>
              </w:tc>
              <w:tc>
                <w:tcPr>
                  <w:tcW w:w="484" w:type="pct"/>
                  <w:tcBorders>
                    <w:tl2br w:val="nil"/>
                    <w:tr2bl w:val="nil"/>
                  </w:tcBorders>
                  <w:noWrap w:val="0"/>
                  <w:vAlign w:val="center"/>
                </w:tcPr>
                <w:p w14:paraId="6B1A0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z w:val="21"/>
                      <w:szCs w:val="21"/>
                      <w:lang w:val="en-US" w:eastAsia="zh-CN"/>
                    </w:rPr>
                    <w:t>45</w:t>
                  </w:r>
                </w:p>
              </w:tc>
            </w:tr>
            <w:tr w14:paraId="3FD92C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11" w:type="pct"/>
                  <w:tcBorders>
                    <w:tl2br w:val="nil"/>
                    <w:tr2bl w:val="nil"/>
                  </w:tcBorders>
                  <w:noWrap w:val="0"/>
                  <w:vAlign w:val="center"/>
                </w:tcPr>
                <w:p w14:paraId="71233BA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bCs/>
                      <w:color w:val="000000"/>
                      <w:kern w:val="0"/>
                      <w:sz w:val="21"/>
                      <w:szCs w:val="21"/>
                      <w:lang w:val="en-US" w:eastAsia="zh-CN" w:bidi="ar"/>
                    </w:rPr>
                    <w:t>SS</w:t>
                  </w:r>
                </w:p>
              </w:tc>
              <w:tc>
                <w:tcPr>
                  <w:tcW w:w="810" w:type="pct"/>
                  <w:tcBorders>
                    <w:tl2br w:val="nil"/>
                    <w:tr2bl w:val="nil"/>
                  </w:tcBorders>
                  <w:noWrap w:val="0"/>
                  <w:vAlign w:val="center"/>
                </w:tcPr>
                <w:p w14:paraId="0E8173C2">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400</w:t>
                  </w:r>
                </w:p>
              </w:tc>
              <w:tc>
                <w:tcPr>
                  <w:tcW w:w="612" w:type="pct"/>
                  <w:tcBorders>
                    <w:tl2br w:val="nil"/>
                    <w:tr2bl w:val="nil"/>
                  </w:tcBorders>
                  <w:noWrap w:val="0"/>
                  <w:vAlign w:val="center"/>
                </w:tcPr>
                <w:p w14:paraId="1E3CB58E">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default" w:ascii="Times New Roman" w:hAnsi="Times New Roman" w:eastAsia="宋体" w:cs="Times New Roman"/>
                      <w:b w:val="0"/>
                      <w:bCs w:val="0"/>
                      <w:color w:val="auto"/>
                      <w:sz w:val="21"/>
                      <w:szCs w:val="21"/>
                      <w:vertAlign w:val="baseline"/>
                      <w:lang w:val="en-US" w:bidi="zh-CN"/>
                    </w:rPr>
                    <w:t>180</w:t>
                  </w:r>
                </w:p>
              </w:tc>
              <w:tc>
                <w:tcPr>
                  <w:tcW w:w="428" w:type="pct"/>
                  <w:tcBorders>
                    <w:tl2br w:val="nil"/>
                    <w:tr2bl w:val="nil"/>
                  </w:tcBorders>
                  <w:noWrap w:val="0"/>
                  <w:vAlign w:val="center"/>
                </w:tcPr>
                <w:p w14:paraId="4A6D2B9F">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113"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zh-CN"/>
                    </w:rPr>
                  </w:pPr>
                  <w:r>
                    <w:rPr>
                      <w:rFonts w:hint="default" w:ascii="Times New Roman" w:hAnsi="Times New Roman" w:eastAsia="宋体" w:cs="Times New Roman"/>
                      <w:b w:val="0"/>
                      <w:bCs w:val="0"/>
                      <w:color w:val="auto"/>
                      <w:sz w:val="21"/>
                      <w:szCs w:val="21"/>
                      <w:vertAlign w:val="baseline"/>
                      <w:lang w:val="en-US" w:bidi="zh-CN"/>
                    </w:rPr>
                    <w:t>180</w:t>
                  </w:r>
                </w:p>
              </w:tc>
              <w:tc>
                <w:tcPr>
                  <w:tcW w:w="949" w:type="pct"/>
                  <w:tcBorders>
                    <w:tl2br w:val="nil"/>
                    <w:tr2bl w:val="nil"/>
                  </w:tcBorders>
                  <w:noWrap w:val="0"/>
                  <w:vAlign w:val="center"/>
                </w:tcPr>
                <w:p w14:paraId="09E12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400</w:t>
                  </w:r>
                </w:p>
              </w:tc>
              <w:tc>
                <w:tcPr>
                  <w:tcW w:w="1003" w:type="pct"/>
                  <w:tcBorders>
                    <w:tl2br w:val="nil"/>
                    <w:tr2bl w:val="nil"/>
                  </w:tcBorders>
                  <w:noWrap w:val="0"/>
                  <w:vAlign w:val="center"/>
                </w:tcPr>
                <w:p w14:paraId="35D90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z w:val="21"/>
                      <w:szCs w:val="21"/>
                      <w:lang w:val="en-US" w:eastAsia="zh-CN"/>
                    </w:rPr>
                    <w:t>400</w:t>
                  </w:r>
                </w:p>
              </w:tc>
              <w:tc>
                <w:tcPr>
                  <w:tcW w:w="484" w:type="pct"/>
                  <w:tcBorders>
                    <w:tl2br w:val="nil"/>
                    <w:tr2bl w:val="nil"/>
                  </w:tcBorders>
                  <w:noWrap w:val="0"/>
                  <w:vAlign w:val="center"/>
                </w:tcPr>
                <w:p w14:paraId="00F99D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400</w:t>
                  </w:r>
                </w:p>
              </w:tc>
            </w:tr>
            <w:tr w14:paraId="49C642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11" w:type="pct"/>
                  <w:tcBorders>
                    <w:tl2br w:val="nil"/>
                    <w:tr2bl w:val="nil"/>
                  </w:tcBorders>
                  <w:noWrap w:val="0"/>
                  <w:vAlign w:val="center"/>
                </w:tcPr>
                <w:p w14:paraId="585942CA">
                  <w:pPr>
                    <w:keepNext w:val="0"/>
                    <w:keepLines w:val="0"/>
                    <w:widowControl/>
                    <w:suppressLineNumbers w:val="0"/>
                    <w:spacing w:before="0" w:beforeAutospacing="0" w:after="0" w:afterAutospacing="0"/>
                    <w:ind w:left="0" w:right="0"/>
                    <w:jc w:val="center"/>
                    <w:rPr>
                      <w:rFonts w:hint="default" w:cs="Times New Roman"/>
                      <w:b/>
                      <w:bCs/>
                      <w:color w:val="000000"/>
                      <w:kern w:val="0"/>
                      <w:sz w:val="21"/>
                      <w:szCs w:val="21"/>
                      <w:lang w:val="en-US" w:eastAsia="zh-CN" w:bidi="ar"/>
                    </w:rPr>
                  </w:pPr>
                  <w:r>
                    <w:rPr>
                      <w:rFonts w:hint="eastAsia" w:cs="Times New Roman"/>
                      <w:b/>
                      <w:bCs/>
                      <w:color w:val="000000"/>
                      <w:kern w:val="0"/>
                      <w:sz w:val="21"/>
                      <w:szCs w:val="21"/>
                      <w:lang w:val="en-US" w:eastAsia="zh-CN" w:bidi="ar"/>
                    </w:rPr>
                    <w:t>总氮</w:t>
                  </w:r>
                </w:p>
              </w:tc>
              <w:tc>
                <w:tcPr>
                  <w:tcW w:w="810" w:type="pct"/>
                  <w:tcBorders>
                    <w:tl2br w:val="nil"/>
                    <w:tr2bl w:val="nil"/>
                  </w:tcBorders>
                  <w:noWrap w:val="0"/>
                  <w:vAlign w:val="center"/>
                </w:tcPr>
                <w:p w14:paraId="26034BFB">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cs="Times New Roman"/>
                      <w:b w:val="0"/>
                      <w:bCs w:val="0"/>
                      <w:color w:val="auto"/>
                      <w:sz w:val="21"/>
                      <w:szCs w:val="21"/>
                      <w:vertAlign w:val="baseline"/>
                      <w:lang w:val="en-US" w:bidi="zh-CN"/>
                    </w:rPr>
                  </w:pPr>
                  <w:r>
                    <w:rPr>
                      <w:rFonts w:hint="eastAsia" w:cs="Times New Roman"/>
                      <w:b w:val="0"/>
                      <w:bCs w:val="0"/>
                      <w:color w:val="auto"/>
                      <w:sz w:val="21"/>
                      <w:szCs w:val="21"/>
                      <w:vertAlign w:val="baseline"/>
                      <w:lang w:val="en-US" w:bidi="zh-CN"/>
                    </w:rPr>
                    <w:t>/</w:t>
                  </w:r>
                </w:p>
              </w:tc>
              <w:tc>
                <w:tcPr>
                  <w:tcW w:w="612" w:type="pct"/>
                  <w:tcBorders>
                    <w:tl2br w:val="nil"/>
                    <w:tr2bl w:val="nil"/>
                  </w:tcBorders>
                  <w:noWrap w:val="0"/>
                  <w:vAlign w:val="center"/>
                </w:tcPr>
                <w:p w14:paraId="528CDA72">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cs="Times New Roman"/>
                      <w:b w:val="0"/>
                      <w:bCs w:val="0"/>
                      <w:color w:val="auto"/>
                      <w:sz w:val="21"/>
                      <w:szCs w:val="21"/>
                      <w:vertAlign w:val="baseline"/>
                      <w:lang w:val="en-US" w:bidi="zh-CN"/>
                    </w:rPr>
                  </w:pPr>
                  <w:r>
                    <w:rPr>
                      <w:rFonts w:hint="eastAsia" w:cs="Times New Roman"/>
                      <w:b w:val="0"/>
                      <w:bCs w:val="0"/>
                      <w:color w:val="auto"/>
                      <w:sz w:val="21"/>
                      <w:szCs w:val="21"/>
                      <w:vertAlign w:val="baseline"/>
                      <w:lang w:val="en-US" w:bidi="zh-CN"/>
                    </w:rPr>
                    <w:t>/</w:t>
                  </w:r>
                </w:p>
              </w:tc>
              <w:tc>
                <w:tcPr>
                  <w:tcW w:w="428" w:type="pct"/>
                  <w:tcBorders>
                    <w:tl2br w:val="nil"/>
                    <w:tr2bl w:val="nil"/>
                  </w:tcBorders>
                  <w:noWrap w:val="0"/>
                  <w:vAlign w:val="center"/>
                </w:tcPr>
                <w:p w14:paraId="30082622">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113" w:rightChars="0" w:firstLine="0" w:firstLineChars="0"/>
                    <w:jc w:val="center"/>
                    <w:textAlignment w:val="auto"/>
                    <w:rPr>
                      <w:rFonts w:hint="default" w:cs="Times New Roman"/>
                      <w:b w:val="0"/>
                      <w:bCs w:val="0"/>
                      <w:color w:val="auto"/>
                      <w:sz w:val="21"/>
                      <w:szCs w:val="21"/>
                      <w:vertAlign w:val="baseline"/>
                      <w:lang w:val="en-US" w:bidi="zh-CN"/>
                    </w:rPr>
                  </w:pPr>
                  <w:r>
                    <w:rPr>
                      <w:rFonts w:hint="eastAsia" w:cs="Times New Roman"/>
                      <w:b w:val="0"/>
                      <w:bCs w:val="0"/>
                      <w:color w:val="auto"/>
                      <w:sz w:val="21"/>
                      <w:szCs w:val="21"/>
                      <w:vertAlign w:val="baseline"/>
                      <w:lang w:val="en-US" w:bidi="zh-CN"/>
                    </w:rPr>
                    <w:t>/</w:t>
                  </w:r>
                </w:p>
              </w:tc>
              <w:tc>
                <w:tcPr>
                  <w:tcW w:w="949" w:type="pct"/>
                  <w:tcBorders>
                    <w:tl2br w:val="nil"/>
                    <w:tr2bl w:val="nil"/>
                  </w:tcBorders>
                  <w:noWrap w:val="0"/>
                  <w:vAlign w:val="center"/>
                </w:tcPr>
                <w:p w14:paraId="5B1EC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b w:val="0"/>
                      <w:bCs w:val="0"/>
                      <w:sz w:val="21"/>
                      <w:szCs w:val="21"/>
                      <w:lang w:val="en-US" w:eastAsia="zh-CN"/>
                    </w:rPr>
                  </w:pPr>
                  <w:r>
                    <w:rPr>
                      <w:rFonts w:hint="eastAsia" w:cs="Times New Roman"/>
                      <w:b w:val="0"/>
                      <w:bCs w:val="0"/>
                      <w:sz w:val="21"/>
                      <w:szCs w:val="21"/>
                      <w:lang w:val="en-US" w:eastAsia="zh-CN"/>
                    </w:rPr>
                    <w:t>/</w:t>
                  </w:r>
                </w:p>
              </w:tc>
              <w:tc>
                <w:tcPr>
                  <w:tcW w:w="1003" w:type="pct"/>
                  <w:tcBorders>
                    <w:tl2br w:val="nil"/>
                    <w:tr2bl w:val="nil"/>
                  </w:tcBorders>
                  <w:noWrap w:val="0"/>
                  <w:vAlign w:val="center"/>
                </w:tcPr>
                <w:p w14:paraId="02674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70</w:t>
                  </w:r>
                </w:p>
              </w:tc>
              <w:tc>
                <w:tcPr>
                  <w:tcW w:w="484" w:type="pct"/>
                  <w:tcBorders>
                    <w:tl2br w:val="nil"/>
                    <w:tr2bl w:val="nil"/>
                  </w:tcBorders>
                  <w:shd w:val="clear" w:color="auto" w:fill="auto"/>
                  <w:noWrap w:val="0"/>
                  <w:vAlign w:val="center"/>
                </w:tcPr>
                <w:p w14:paraId="21709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b w:val="0"/>
                      <w:bCs w:val="0"/>
                      <w:sz w:val="21"/>
                      <w:szCs w:val="21"/>
                      <w:lang w:val="en-US" w:eastAsia="zh-CN"/>
                    </w:rPr>
                  </w:pPr>
                  <w:r>
                    <w:rPr>
                      <w:rFonts w:hint="eastAsia" w:cs="Times New Roman"/>
                      <w:b w:val="0"/>
                      <w:bCs w:val="0"/>
                      <w:sz w:val="21"/>
                      <w:szCs w:val="21"/>
                      <w:lang w:val="en-US" w:eastAsia="zh-CN"/>
                    </w:rPr>
                    <w:t>70</w:t>
                  </w:r>
                </w:p>
              </w:tc>
            </w:tr>
            <w:tr w14:paraId="3716B7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11" w:type="pct"/>
                  <w:tcBorders>
                    <w:tl2br w:val="nil"/>
                    <w:tr2bl w:val="nil"/>
                  </w:tcBorders>
                  <w:noWrap w:val="0"/>
                  <w:vAlign w:val="center"/>
                </w:tcPr>
                <w:p w14:paraId="13B080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kern w:val="0"/>
                      <w:sz w:val="21"/>
                      <w:szCs w:val="21"/>
                      <w:lang w:val="en-US" w:eastAsia="zh-CN" w:bidi="ar"/>
                    </w:rPr>
                  </w:pPr>
                  <w:r>
                    <w:rPr>
                      <w:rFonts w:hint="eastAsia" w:cs="Times New Roman"/>
                      <w:b/>
                      <w:bCs/>
                      <w:color w:val="000000"/>
                      <w:kern w:val="0"/>
                      <w:sz w:val="21"/>
                      <w:szCs w:val="21"/>
                      <w:lang w:val="en-US" w:eastAsia="zh-CN" w:bidi="ar"/>
                    </w:rPr>
                    <w:t>总磷</w:t>
                  </w:r>
                </w:p>
              </w:tc>
              <w:tc>
                <w:tcPr>
                  <w:tcW w:w="810" w:type="pct"/>
                  <w:tcBorders>
                    <w:tl2br w:val="nil"/>
                    <w:tr2bl w:val="nil"/>
                  </w:tcBorders>
                  <w:noWrap w:val="0"/>
                  <w:vAlign w:val="center"/>
                </w:tcPr>
                <w:p w14:paraId="528EDCDB">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eastAsia" w:cs="Times New Roman"/>
                      <w:b w:val="0"/>
                      <w:bCs w:val="0"/>
                      <w:color w:val="auto"/>
                      <w:sz w:val="21"/>
                      <w:szCs w:val="21"/>
                      <w:vertAlign w:val="baseline"/>
                      <w:lang w:val="en-US" w:bidi="zh-CN"/>
                    </w:rPr>
                    <w:t>/</w:t>
                  </w:r>
                </w:p>
              </w:tc>
              <w:tc>
                <w:tcPr>
                  <w:tcW w:w="612" w:type="pct"/>
                  <w:tcBorders>
                    <w:tl2br w:val="nil"/>
                    <w:tr2bl w:val="nil"/>
                  </w:tcBorders>
                  <w:noWrap w:val="0"/>
                  <w:vAlign w:val="center"/>
                </w:tcPr>
                <w:p w14:paraId="794FB214">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eastAsia" w:cs="Times New Roman"/>
                      <w:b w:val="0"/>
                      <w:bCs w:val="0"/>
                      <w:color w:val="auto"/>
                      <w:sz w:val="21"/>
                      <w:szCs w:val="21"/>
                      <w:vertAlign w:val="baseline"/>
                      <w:lang w:val="en-US" w:bidi="zh-CN"/>
                    </w:rPr>
                    <w:t>/</w:t>
                  </w:r>
                </w:p>
              </w:tc>
              <w:tc>
                <w:tcPr>
                  <w:tcW w:w="428" w:type="pct"/>
                  <w:tcBorders>
                    <w:tl2br w:val="nil"/>
                    <w:tr2bl w:val="nil"/>
                  </w:tcBorders>
                  <w:noWrap w:val="0"/>
                  <w:vAlign w:val="center"/>
                </w:tcPr>
                <w:p w14:paraId="306793A1">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113"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eastAsia" w:cs="Times New Roman"/>
                      <w:b w:val="0"/>
                      <w:bCs w:val="0"/>
                      <w:color w:val="auto"/>
                      <w:sz w:val="21"/>
                      <w:szCs w:val="21"/>
                      <w:vertAlign w:val="baseline"/>
                      <w:lang w:val="en-US" w:bidi="zh-CN"/>
                    </w:rPr>
                    <w:t>/</w:t>
                  </w:r>
                </w:p>
              </w:tc>
              <w:tc>
                <w:tcPr>
                  <w:tcW w:w="949" w:type="pct"/>
                  <w:tcBorders>
                    <w:tl2br w:val="nil"/>
                    <w:tr2bl w:val="nil"/>
                  </w:tcBorders>
                  <w:noWrap w:val="0"/>
                  <w:vAlign w:val="center"/>
                </w:tcPr>
                <w:p w14:paraId="10DBB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rPr>
                  </w:pPr>
                  <w:r>
                    <w:rPr>
                      <w:rFonts w:hint="eastAsia" w:cs="Times New Roman"/>
                      <w:b w:val="0"/>
                      <w:bCs w:val="0"/>
                      <w:sz w:val="21"/>
                      <w:szCs w:val="21"/>
                      <w:lang w:val="en-US" w:eastAsia="zh-CN"/>
                    </w:rPr>
                    <w:t>/</w:t>
                  </w:r>
                </w:p>
              </w:tc>
              <w:tc>
                <w:tcPr>
                  <w:tcW w:w="1003" w:type="pct"/>
                  <w:tcBorders>
                    <w:tl2br w:val="nil"/>
                    <w:tr2bl w:val="nil"/>
                  </w:tcBorders>
                  <w:noWrap w:val="0"/>
                  <w:vAlign w:val="center"/>
                </w:tcPr>
                <w:p w14:paraId="41657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lang w:val="en-US" w:eastAsia="zh-CN"/>
                    </w:rPr>
                  </w:pPr>
                  <w:r>
                    <w:rPr>
                      <w:rFonts w:hint="eastAsia" w:cs="Times New Roman"/>
                      <w:b w:val="0"/>
                      <w:bCs w:val="0"/>
                      <w:color w:val="000000"/>
                      <w:sz w:val="21"/>
                      <w:szCs w:val="21"/>
                      <w:lang w:val="en-US" w:eastAsia="zh-CN"/>
                    </w:rPr>
                    <w:t>8</w:t>
                  </w:r>
                </w:p>
              </w:tc>
              <w:tc>
                <w:tcPr>
                  <w:tcW w:w="484" w:type="pct"/>
                  <w:tcBorders>
                    <w:tl2br w:val="nil"/>
                    <w:tr2bl w:val="nil"/>
                  </w:tcBorders>
                  <w:shd w:val="clear" w:color="auto" w:fill="auto"/>
                  <w:noWrap w:val="0"/>
                  <w:vAlign w:val="center"/>
                </w:tcPr>
                <w:p w14:paraId="5D4DD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sz w:val="21"/>
                      <w:szCs w:val="21"/>
                      <w:lang w:val="en-US" w:eastAsia="zh-CN"/>
                    </w:rPr>
                    <w:t>8</w:t>
                  </w:r>
                </w:p>
              </w:tc>
            </w:tr>
            <w:tr w14:paraId="139EA5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11" w:type="pct"/>
                  <w:tcBorders>
                    <w:tl2br w:val="nil"/>
                    <w:tr2bl w:val="nil"/>
                  </w:tcBorders>
                  <w:noWrap w:val="0"/>
                  <w:vAlign w:val="center"/>
                </w:tcPr>
                <w:p w14:paraId="79C5BE5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kern w:val="0"/>
                      <w:sz w:val="21"/>
                      <w:szCs w:val="21"/>
                      <w:lang w:val="en-US" w:eastAsia="zh-CN" w:bidi="ar"/>
                    </w:rPr>
                  </w:pPr>
                  <w:r>
                    <w:rPr>
                      <w:rFonts w:hint="eastAsia" w:cs="Times New Roman"/>
                      <w:b/>
                      <w:bCs/>
                      <w:color w:val="000000"/>
                      <w:kern w:val="0"/>
                      <w:sz w:val="21"/>
                      <w:szCs w:val="21"/>
                      <w:lang w:val="en-US" w:eastAsia="zh-CN" w:bidi="ar"/>
                    </w:rPr>
                    <w:t>动植物油</w:t>
                  </w:r>
                </w:p>
              </w:tc>
              <w:tc>
                <w:tcPr>
                  <w:tcW w:w="810" w:type="pct"/>
                  <w:tcBorders>
                    <w:tl2br w:val="nil"/>
                    <w:tr2bl w:val="nil"/>
                  </w:tcBorders>
                  <w:noWrap w:val="0"/>
                  <w:vAlign w:val="center"/>
                </w:tcPr>
                <w:p w14:paraId="2CC936BE">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eastAsia" w:cs="Times New Roman"/>
                      <w:b w:val="0"/>
                      <w:bCs w:val="0"/>
                      <w:color w:val="auto"/>
                      <w:sz w:val="21"/>
                      <w:szCs w:val="21"/>
                      <w:vertAlign w:val="baseline"/>
                      <w:lang w:val="en-US" w:bidi="zh-CN"/>
                    </w:rPr>
                    <w:t>/</w:t>
                  </w:r>
                </w:p>
              </w:tc>
              <w:tc>
                <w:tcPr>
                  <w:tcW w:w="612" w:type="pct"/>
                  <w:tcBorders>
                    <w:tl2br w:val="nil"/>
                    <w:tr2bl w:val="nil"/>
                  </w:tcBorders>
                  <w:noWrap w:val="0"/>
                  <w:vAlign w:val="center"/>
                </w:tcPr>
                <w:p w14:paraId="24405C59">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eastAsia" w:cs="Times New Roman"/>
                      <w:b w:val="0"/>
                      <w:bCs w:val="0"/>
                      <w:color w:val="auto"/>
                      <w:sz w:val="21"/>
                      <w:szCs w:val="21"/>
                      <w:vertAlign w:val="baseline"/>
                      <w:lang w:val="en-US" w:bidi="zh-CN"/>
                    </w:rPr>
                    <w:t>/</w:t>
                  </w:r>
                </w:p>
              </w:tc>
              <w:tc>
                <w:tcPr>
                  <w:tcW w:w="428" w:type="pct"/>
                  <w:tcBorders>
                    <w:tl2br w:val="nil"/>
                    <w:tr2bl w:val="nil"/>
                  </w:tcBorders>
                  <w:noWrap w:val="0"/>
                  <w:vAlign w:val="center"/>
                </w:tcPr>
                <w:p w14:paraId="3C2CACF4">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right="113"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bidi="zh-CN"/>
                    </w:rPr>
                  </w:pPr>
                  <w:r>
                    <w:rPr>
                      <w:rFonts w:hint="eastAsia" w:cs="Times New Roman"/>
                      <w:b w:val="0"/>
                      <w:bCs w:val="0"/>
                      <w:color w:val="auto"/>
                      <w:sz w:val="21"/>
                      <w:szCs w:val="21"/>
                      <w:vertAlign w:val="baseline"/>
                      <w:lang w:val="en-US" w:bidi="zh-CN"/>
                    </w:rPr>
                    <w:t>/</w:t>
                  </w:r>
                </w:p>
              </w:tc>
              <w:tc>
                <w:tcPr>
                  <w:tcW w:w="949" w:type="pct"/>
                  <w:tcBorders>
                    <w:tl2br w:val="nil"/>
                    <w:tr2bl w:val="nil"/>
                  </w:tcBorders>
                  <w:noWrap w:val="0"/>
                  <w:vAlign w:val="center"/>
                </w:tcPr>
                <w:p w14:paraId="5E384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rPr>
                  </w:pPr>
                  <w:r>
                    <w:rPr>
                      <w:rFonts w:hint="eastAsia" w:cs="Times New Roman"/>
                      <w:b w:val="0"/>
                      <w:bCs w:val="0"/>
                      <w:sz w:val="21"/>
                      <w:szCs w:val="21"/>
                      <w:lang w:val="en-US" w:eastAsia="zh-CN"/>
                    </w:rPr>
                    <w:t>100</w:t>
                  </w:r>
                </w:p>
              </w:tc>
              <w:tc>
                <w:tcPr>
                  <w:tcW w:w="1003" w:type="pct"/>
                  <w:tcBorders>
                    <w:tl2br w:val="nil"/>
                    <w:tr2bl w:val="nil"/>
                  </w:tcBorders>
                  <w:noWrap w:val="0"/>
                  <w:vAlign w:val="center"/>
                </w:tcPr>
                <w:p w14:paraId="6C622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sz w:val="21"/>
                      <w:szCs w:val="21"/>
                      <w:lang w:val="en-US" w:eastAsia="zh-CN"/>
                    </w:rPr>
                  </w:pPr>
                  <w:r>
                    <w:rPr>
                      <w:rFonts w:hint="eastAsia" w:cs="Times New Roman"/>
                      <w:b w:val="0"/>
                      <w:bCs w:val="0"/>
                      <w:color w:val="000000"/>
                      <w:sz w:val="21"/>
                      <w:szCs w:val="21"/>
                      <w:lang w:val="en-US" w:eastAsia="zh-CN"/>
                    </w:rPr>
                    <w:t>100</w:t>
                  </w:r>
                </w:p>
              </w:tc>
              <w:tc>
                <w:tcPr>
                  <w:tcW w:w="484" w:type="pct"/>
                  <w:tcBorders>
                    <w:tl2br w:val="nil"/>
                    <w:tr2bl w:val="nil"/>
                  </w:tcBorders>
                  <w:shd w:val="clear" w:color="auto" w:fill="auto"/>
                  <w:noWrap w:val="0"/>
                  <w:vAlign w:val="center"/>
                </w:tcPr>
                <w:p w14:paraId="5ECE9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sz w:val="21"/>
                      <w:szCs w:val="21"/>
                      <w:lang w:val="en-US" w:eastAsia="zh-CN"/>
                    </w:rPr>
                    <w:t>100</w:t>
                  </w:r>
                </w:p>
              </w:tc>
            </w:tr>
          </w:tbl>
          <w:p w14:paraId="584D09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由上表可知，</w:t>
            </w:r>
            <w:r>
              <w:rPr>
                <w:rFonts w:hint="default" w:ascii="Times New Roman" w:hAnsi="Times New Roman" w:cs="Times New Roman"/>
                <w:color w:val="000000" w:themeColor="text1"/>
                <w:sz w:val="24"/>
                <w14:textFill>
                  <w14:solidFill>
                    <w14:schemeClr w14:val="tx1"/>
                  </w14:solidFill>
                </w14:textFill>
              </w:rPr>
              <w:t>废水各项污染物能够达标排放，监测结果既能满足原环评《污水综合排放标准》（GB8978-1996）中的3级标准及丁楼污水处理厂的接管要求，也能满足现行执行标准《污水综合排放标准》（GB8978-1996）中的3级标准及安徽淮相科技发展有限公司第二污水处理厂的接管要求。</w:t>
            </w:r>
          </w:p>
          <w:p w14:paraId="27F104F5">
            <w:pPr>
              <w:keepNext w:val="0"/>
              <w:keepLines w:val="0"/>
              <w:pageBreakBefore w:val="0"/>
              <w:widowControl/>
              <w:suppressLineNumbers w:val="0"/>
              <w:kinsoku/>
              <w:wordWrap/>
              <w:topLinePunct w:val="0"/>
              <w:autoSpaceDE/>
              <w:autoSpaceDN/>
              <w:bidi w:val="0"/>
              <w:adjustRightInd/>
              <w:spacing w:before="0" w:beforeAutospacing="0" w:after="0" w:afterAutospacing="0" w:line="360" w:lineRule="auto"/>
              <w:ind w:left="0" w:right="0" w:firstLine="482" w:firstLineChars="200"/>
              <w:textAlignment w:val="auto"/>
              <w:rPr>
                <w:rFonts w:hint="default" w:ascii="Times New Roman" w:hAnsi="Times New Roman" w:cs="Times New Roman"/>
                <w:sz w:val="24"/>
                <w:szCs w:val="24"/>
                <w:lang w:val="en-US"/>
              </w:rPr>
            </w:pP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3</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rPr>
              <w:t>噪声</w:t>
            </w:r>
            <w:r>
              <w:rPr>
                <w:rFonts w:hint="eastAsia" w:ascii="Times New Roman" w:hAnsi="Times New Roman" w:cs="Times New Roman"/>
                <w:b/>
                <w:bCs/>
                <w:color w:val="auto"/>
                <w:sz w:val="24"/>
                <w:szCs w:val="24"/>
                <w:lang w:val="en-US" w:eastAsia="zh-CN"/>
              </w:rPr>
              <w:t>达标</w:t>
            </w:r>
            <w:r>
              <w:rPr>
                <w:rFonts w:hint="eastAsia" w:ascii="Times New Roman" w:hAnsi="Times New Roman" w:cs="Times New Roman"/>
                <w:b/>
                <w:bCs/>
                <w:color w:val="auto"/>
                <w:sz w:val="24"/>
                <w:szCs w:val="24"/>
              </w:rPr>
              <w:t>分析</w:t>
            </w:r>
          </w:p>
          <w:p w14:paraId="526036CA">
            <w:pPr>
              <w:pStyle w:val="37"/>
              <w:keepNext w:val="0"/>
              <w:keepLines w:val="0"/>
              <w:pageBreakBefore w:val="0"/>
              <w:widowControl w:val="0"/>
              <w:suppressLineNumbers w:val="0"/>
              <w:kinsoku/>
              <w:wordWrap/>
              <w:topLinePunct w:val="0"/>
              <w:autoSpaceDE/>
              <w:autoSpaceDN/>
              <w:bidi w:val="0"/>
              <w:adjustRightInd/>
              <w:spacing w:before="0" w:beforeAutospacing="0" w:after="0" w:afterAutospacing="0" w:line="360" w:lineRule="auto"/>
              <w:ind w:left="0" w:leftChars="0" w:right="0" w:firstLine="480" w:firstLineChars="200"/>
              <w:jc w:val="both"/>
              <w:textAlignment w:val="auto"/>
              <w:rPr>
                <w:rFonts w:hint="default" w:cs="Times New Roman"/>
                <w:sz w:val="24"/>
                <w:szCs w:val="24"/>
                <w:lang w:val="en-US"/>
              </w:rPr>
            </w:pPr>
            <w:r>
              <w:rPr>
                <w:rFonts w:hint="eastAsia" w:ascii="Times New Roman" w:hAnsi="Times New Roman" w:eastAsia="宋体" w:cs="Times New Roman"/>
                <w:sz w:val="24"/>
                <w:szCs w:val="24"/>
                <w:lang w:val="en-US" w:eastAsia="zh-CN"/>
              </w:rPr>
              <w:t>根</w:t>
            </w:r>
            <w:r>
              <w:rPr>
                <w:rFonts w:hint="eastAsia" w:ascii="Times New Roman" w:hAnsi="Times New Roman" w:eastAsia="宋体" w:cs="Times New Roman"/>
                <w:b w:val="0"/>
                <w:bCs w:val="0"/>
                <w:color w:val="000000"/>
                <w:kern w:val="2"/>
                <w:sz w:val="24"/>
                <w:szCs w:val="24"/>
                <w:lang w:val="en-US" w:eastAsia="zh-CN" w:bidi="ar-SA"/>
              </w:rPr>
              <w:t>据验收监测报告（监测时间为2021.1.1-2021.1.2），具体数据见下表。</w:t>
            </w:r>
          </w:p>
          <w:p w14:paraId="605AA861">
            <w:pPr>
              <w:pStyle w:val="1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firstLine="0" w:firstLineChars="0"/>
              <w:jc w:val="center"/>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b/>
                <w:bCs/>
                <w:color w:val="auto"/>
                <w:sz w:val="24"/>
                <w:szCs w:val="24"/>
                <w:lang w:val="en-US" w:eastAsia="zh-CN"/>
              </w:rPr>
              <w:t>表2-1</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val="en-US" w:eastAsia="zh-CN"/>
              </w:rPr>
              <w:t xml:space="preserve">  现有验收工程厂界噪声监测结果  单位：dB（A）</w:t>
            </w:r>
          </w:p>
          <w:tbl>
            <w:tblPr>
              <w:tblStyle w:val="29"/>
              <w:tblW w:w="4998" w:type="pct"/>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17"/>
              <w:gridCol w:w="1957"/>
              <w:gridCol w:w="1416"/>
              <w:gridCol w:w="1618"/>
              <w:gridCol w:w="1621"/>
            </w:tblGrid>
            <w:tr w14:paraId="439B4D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33" w:type="pct"/>
                  <w:tcBorders>
                    <w:tl2br w:val="nil"/>
                    <w:tr2bl w:val="nil"/>
                  </w:tcBorders>
                  <w:noWrap w:val="0"/>
                  <w:vAlign w:val="center"/>
                </w:tcPr>
                <w:p w14:paraId="4C9F1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监测日期</w:t>
                  </w:r>
                </w:p>
              </w:tc>
              <w:tc>
                <w:tcPr>
                  <w:tcW w:w="1204" w:type="pct"/>
                  <w:tcBorders>
                    <w:tl2br w:val="nil"/>
                    <w:tr2bl w:val="nil"/>
                  </w:tcBorders>
                  <w:noWrap w:val="0"/>
                  <w:vAlign w:val="center"/>
                </w:tcPr>
                <w:p w14:paraId="176AD0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监测位置</w:t>
                  </w:r>
                </w:p>
              </w:tc>
              <w:tc>
                <w:tcPr>
                  <w:tcW w:w="871" w:type="pct"/>
                  <w:tcBorders>
                    <w:tl2br w:val="nil"/>
                    <w:tr2bl w:val="nil"/>
                  </w:tcBorders>
                  <w:noWrap w:val="0"/>
                  <w:vAlign w:val="center"/>
                </w:tcPr>
                <w:p w14:paraId="76E7E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结果</w:t>
                  </w:r>
                </w:p>
              </w:tc>
              <w:tc>
                <w:tcPr>
                  <w:tcW w:w="995" w:type="pct"/>
                  <w:tcBorders>
                    <w:tl2br w:val="nil"/>
                    <w:tr2bl w:val="nil"/>
                  </w:tcBorders>
                  <w:noWrap w:val="0"/>
                  <w:vAlign w:val="center"/>
                </w:tcPr>
                <w:p w14:paraId="690153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执行标准值</w:t>
                  </w:r>
                </w:p>
              </w:tc>
              <w:tc>
                <w:tcPr>
                  <w:tcW w:w="995" w:type="pct"/>
                  <w:tcBorders>
                    <w:tl2br w:val="nil"/>
                    <w:tr2bl w:val="nil"/>
                  </w:tcBorders>
                  <w:noWrap w:val="0"/>
                  <w:vAlign w:val="center"/>
                </w:tcPr>
                <w:p w14:paraId="61C9E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达标情况</w:t>
                  </w:r>
                </w:p>
              </w:tc>
            </w:tr>
            <w:tr w14:paraId="7F4191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33" w:type="pct"/>
                  <w:vMerge w:val="restart"/>
                  <w:tcBorders>
                    <w:tl2br w:val="nil"/>
                    <w:tr2bl w:val="nil"/>
                  </w:tcBorders>
                  <w:noWrap w:val="0"/>
                  <w:vAlign w:val="center"/>
                </w:tcPr>
                <w:p w14:paraId="2F316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2021.1.1</w:t>
                  </w:r>
                </w:p>
                <w:p w14:paraId="0EED8D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（昼间）</w:t>
                  </w:r>
                </w:p>
              </w:tc>
              <w:tc>
                <w:tcPr>
                  <w:tcW w:w="1204" w:type="pct"/>
                  <w:tcBorders>
                    <w:tl2br w:val="nil"/>
                    <w:tr2bl w:val="nil"/>
                  </w:tcBorders>
                  <w:noWrap w:val="0"/>
                  <w:vAlign w:val="center"/>
                </w:tcPr>
                <w:p w14:paraId="23166F73">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项目区东厂界</w:t>
                  </w:r>
                </w:p>
              </w:tc>
              <w:tc>
                <w:tcPr>
                  <w:tcW w:w="871" w:type="pct"/>
                  <w:tcBorders>
                    <w:tl2br w:val="nil"/>
                    <w:tr2bl w:val="nil"/>
                  </w:tcBorders>
                  <w:noWrap w:val="0"/>
                  <w:vAlign w:val="center"/>
                </w:tcPr>
                <w:p w14:paraId="6FE2A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55.2</w:t>
                  </w:r>
                </w:p>
              </w:tc>
              <w:tc>
                <w:tcPr>
                  <w:tcW w:w="995" w:type="pct"/>
                  <w:tcBorders>
                    <w:tl2br w:val="nil"/>
                    <w:tr2bl w:val="nil"/>
                  </w:tcBorders>
                  <w:noWrap w:val="0"/>
                  <w:vAlign w:val="center"/>
                </w:tcPr>
                <w:p w14:paraId="0EC85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5</w:t>
                  </w:r>
                </w:p>
              </w:tc>
              <w:tc>
                <w:tcPr>
                  <w:tcW w:w="995" w:type="pct"/>
                  <w:tcBorders>
                    <w:tl2br w:val="nil"/>
                    <w:tr2bl w:val="nil"/>
                  </w:tcBorders>
                  <w:noWrap w:val="0"/>
                  <w:vAlign w:val="center"/>
                </w:tcPr>
                <w:p w14:paraId="7D19C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达标</w:t>
                  </w:r>
                </w:p>
              </w:tc>
            </w:tr>
            <w:tr w14:paraId="64D7B3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33" w:type="pct"/>
                  <w:vMerge w:val="continue"/>
                  <w:tcBorders>
                    <w:tl2br w:val="nil"/>
                    <w:tr2bl w:val="nil"/>
                  </w:tcBorders>
                  <w:noWrap w:val="0"/>
                  <w:vAlign w:val="center"/>
                </w:tcPr>
                <w:p w14:paraId="389DC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p>
              </w:tc>
              <w:tc>
                <w:tcPr>
                  <w:tcW w:w="1204" w:type="pct"/>
                  <w:tcBorders>
                    <w:tl2br w:val="nil"/>
                    <w:tr2bl w:val="nil"/>
                  </w:tcBorders>
                  <w:noWrap w:val="0"/>
                  <w:vAlign w:val="center"/>
                </w:tcPr>
                <w:p w14:paraId="4745DD41">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项目区南厂界</w:t>
                  </w:r>
                </w:p>
              </w:tc>
              <w:tc>
                <w:tcPr>
                  <w:tcW w:w="871" w:type="pct"/>
                  <w:tcBorders>
                    <w:tl2br w:val="nil"/>
                    <w:tr2bl w:val="nil"/>
                  </w:tcBorders>
                  <w:noWrap w:val="0"/>
                  <w:vAlign w:val="center"/>
                </w:tcPr>
                <w:p w14:paraId="05CCE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54.8</w:t>
                  </w:r>
                </w:p>
              </w:tc>
              <w:tc>
                <w:tcPr>
                  <w:tcW w:w="995" w:type="pct"/>
                  <w:tcBorders>
                    <w:tl2br w:val="nil"/>
                    <w:tr2bl w:val="nil"/>
                  </w:tcBorders>
                  <w:noWrap w:val="0"/>
                  <w:vAlign w:val="center"/>
                </w:tcPr>
                <w:p w14:paraId="3676A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5</w:t>
                  </w:r>
                </w:p>
              </w:tc>
              <w:tc>
                <w:tcPr>
                  <w:tcW w:w="995" w:type="pct"/>
                  <w:tcBorders>
                    <w:tl2br w:val="nil"/>
                    <w:tr2bl w:val="nil"/>
                  </w:tcBorders>
                  <w:noWrap w:val="0"/>
                  <w:vAlign w:val="center"/>
                </w:tcPr>
                <w:p w14:paraId="699945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达标</w:t>
                  </w:r>
                </w:p>
              </w:tc>
            </w:tr>
            <w:tr w14:paraId="0B41DC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33" w:type="pct"/>
                  <w:vMerge w:val="continue"/>
                  <w:tcBorders>
                    <w:tl2br w:val="nil"/>
                    <w:tr2bl w:val="nil"/>
                  </w:tcBorders>
                  <w:noWrap w:val="0"/>
                  <w:vAlign w:val="center"/>
                </w:tcPr>
                <w:p w14:paraId="486E89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p>
              </w:tc>
              <w:tc>
                <w:tcPr>
                  <w:tcW w:w="1204" w:type="pct"/>
                  <w:tcBorders>
                    <w:tl2br w:val="nil"/>
                    <w:tr2bl w:val="nil"/>
                  </w:tcBorders>
                  <w:noWrap w:val="0"/>
                  <w:vAlign w:val="center"/>
                </w:tcPr>
                <w:p w14:paraId="7B6206C7">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项目区西厂界</w:t>
                  </w:r>
                </w:p>
              </w:tc>
              <w:tc>
                <w:tcPr>
                  <w:tcW w:w="871" w:type="pct"/>
                  <w:tcBorders>
                    <w:tl2br w:val="nil"/>
                    <w:tr2bl w:val="nil"/>
                  </w:tcBorders>
                  <w:noWrap w:val="0"/>
                  <w:vAlign w:val="center"/>
                </w:tcPr>
                <w:p w14:paraId="41AFDE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58.4</w:t>
                  </w:r>
                </w:p>
              </w:tc>
              <w:tc>
                <w:tcPr>
                  <w:tcW w:w="995" w:type="pct"/>
                  <w:tcBorders>
                    <w:tl2br w:val="nil"/>
                    <w:tr2bl w:val="nil"/>
                  </w:tcBorders>
                  <w:noWrap w:val="0"/>
                  <w:vAlign w:val="center"/>
                </w:tcPr>
                <w:p w14:paraId="526F61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5</w:t>
                  </w:r>
                </w:p>
              </w:tc>
              <w:tc>
                <w:tcPr>
                  <w:tcW w:w="995" w:type="pct"/>
                  <w:tcBorders>
                    <w:tl2br w:val="nil"/>
                    <w:tr2bl w:val="nil"/>
                  </w:tcBorders>
                  <w:noWrap w:val="0"/>
                  <w:vAlign w:val="center"/>
                </w:tcPr>
                <w:p w14:paraId="15666E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达标</w:t>
                  </w:r>
                </w:p>
              </w:tc>
            </w:tr>
            <w:tr w14:paraId="4C68EB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33" w:type="pct"/>
                  <w:vMerge w:val="continue"/>
                  <w:tcBorders>
                    <w:tl2br w:val="nil"/>
                    <w:tr2bl w:val="nil"/>
                  </w:tcBorders>
                  <w:noWrap w:val="0"/>
                  <w:vAlign w:val="center"/>
                </w:tcPr>
                <w:p w14:paraId="2116E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p>
              </w:tc>
              <w:tc>
                <w:tcPr>
                  <w:tcW w:w="1204" w:type="pct"/>
                  <w:tcBorders>
                    <w:tl2br w:val="nil"/>
                    <w:tr2bl w:val="nil"/>
                  </w:tcBorders>
                  <w:noWrap w:val="0"/>
                  <w:vAlign w:val="center"/>
                </w:tcPr>
                <w:p w14:paraId="5C75F395">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项目区北厂界</w:t>
                  </w:r>
                </w:p>
              </w:tc>
              <w:tc>
                <w:tcPr>
                  <w:tcW w:w="871" w:type="pct"/>
                  <w:tcBorders>
                    <w:tl2br w:val="nil"/>
                    <w:tr2bl w:val="nil"/>
                  </w:tcBorders>
                  <w:noWrap w:val="0"/>
                  <w:vAlign w:val="center"/>
                </w:tcPr>
                <w:p w14:paraId="29F22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54.2</w:t>
                  </w:r>
                </w:p>
              </w:tc>
              <w:tc>
                <w:tcPr>
                  <w:tcW w:w="995" w:type="pct"/>
                  <w:tcBorders>
                    <w:tl2br w:val="nil"/>
                    <w:tr2bl w:val="nil"/>
                  </w:tcBorders>
                  <w:noWrap w:val="0"/>
                  <w:vAlign w:val="center"/>
                </w:tcPr>
                <w:p w14:paraId="6685CE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5</w:t>
                  </w:r>
                </w:p>
              </w:tc>
              <w:tc>
                <w:tcPr>
                  <w:tcW w:w="995" w:type="pct"/>
                  <w:tcBorders>
                    <w:tl2br w:val="nil"/>
                    <w:tr2bl w:val="nil"/>
                  </w:tcBorders>
                  <w:noWrap w:val="0"/>
                  <w:vAlign w:val="center"/>
                </w:tcPr>
                <w:p w14:paraId="171B9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达标</w:t>
                  </w:r>
                </w:p>
              </w:tc>
            </w:tr>
            <w:tr w14:paraId="0C92AA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33" w:type="pct"/>
                  <w:vMerge w:val="restart"/>
                  <w:tcBorders>
                    <w:tl2br w:val="nil"/>
                    <w:tr2bl w:val="nil"/>
                  </w:tcBorders>
                  <w:noWrap w:val="0"/>
                  <w:vAlign w:val="center"/>
                </w:tcPr>
                <w:p w14:paraId="2BAF0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2021.1.2</w:t>
                  </w:r>
                </w:p>
                <w:p w14:paraId="75CC3D0A">
                  <w:pPr>
                    <w:pStyle w:val="37"/>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val="0"/>
                      <w:bCs w:val="0"/>
                      <w:color w:val="auto"/>
                      <w:sz w:val="21"/>
                      <w:szCs w:val="21"/>
                      <w:vertAlign w:val="baseline"/>
                      <w:lang w:val="en-US" w:eastAsia="zh-CN"/>
                    </w:rPr>
                    <w:t>（（昼间）</w:t>
                  </w:r>
                </w:p>
              </w:tc>
              <w:tc>
                <w:tcPr>
                  <w:tcW w:w="1204" w:type="pct"/>
                  <w:tcBorders>
                    <w:tl2br w:val="nil"/>
                    <w:tr2bl w:val="nil"/>
                  </w:tcBorders>
                  <w:noWrap w:val="0"/>
                  <w:vAlign w:val="center"/>
                </w:tcPr>
                <w:p w14:paraId="37212211">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项目区东厂界</w:t>
                  </w:r>
                </w:p>
              </w:tc>
              <w:tc>
                <w:tcPr>
                  <w:tcW w:w="871" w:type="pct"/>
                  <w:tcBorders>
                    <w:tl2br w:val="nil"/>
                    <w:tr2bl w:val="nil"/>
                  </w:tcBorders>
                  <w:noWrap w:val="0"/>
                  <w:vAlign w:val="center"/>
                </w:tcPr>
                <w:p w14:paraId="411AD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53.3</w:t>
                  </w:r>
                </w:p>
              </w:tc>
              <w:tc>
                <w:tcPr>
                  <w:tcW w:w="995" w:type="pct"/>
                  <w:tcBorders>
                    <w:tl2br w:val="nil"/>
                    <w:tr2bl w:val="nil"/>
                  </w:tcBorders>
                  <w:noWrap w:val="0"/>
                  <w:vAlign w:val="center"/>
                </w:tcPr>
                <w:p w14:paraId="077D30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5</w:t>
                  </w:r>
                </w:p>
              </w:tc>
              <w:tc>
                <w:tcPr>
                  <w:tcW w:w="995" w:type="pct"/>
                  <w:tcBorders>
                    <w:tl2br w:val="nil"/>
                    <w:tr2bl w:val="nil"/>
                  </w:tcBorders>
                  <w:noWrap w:val="0"/>
                  <w:vAlign w:val="center"/>
                </w:tcPr>
                <w:p w14:paraId="397E81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达标</w:t>
                  </w:r>
                </w:p>
              </w:tc>
            </w:tr>
            <w:tr w14:paraId="5E7276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33" w:type="pct"/>
                  <w:vMerge w:val="continue"/>
                  <w:tcBorders>
                    <w:tl2br w:val="nil"/>
                    <w:tr2bl w:val="nil"/>
                  </w:tcBorders>
                  <w:noWrap w:val="0"/>
                  <w:vAlign w:val="center"/>
                </w:tcPr>
                <w:p w14:paraId="77BE2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p>
              </w:tc>
              <w:tc>
                <w:tcPr>
                  <w:tcW w:w="1204" w:type="pct"/>
                  <w:tcBorders>
                    <w:tl2br w:val="nil"/>
                    <w:tr2bl w:val="nil"/>
                  </w:tcBorders>
                  <w:noWrap w:val="0"/>
                  <w:vAlign w:val="center"/>
                </w:tcPr>
                <w:p w14:paraId="571530A4">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项目区南厂界</w:t>
                  </w:r>
                </w:p>
              </w:tc>
              <w:tc>
                <w:tcPr>
                  <w:tcW w:w="871" w:type="pct"/>
                  <w:tcBorders>
                    <w:tl2br w:val="nil"/>
                    <w:tr2bl w:val="nil"/>
                  </w:tcBorders>
                  <w:noWrap w:val="0"/>
                  <w:vAlign w:val="center"/>
                </w:tcPr>
                <w:p w14:paraId="7F8B91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55.6</w:t>
                  </w:r>
                </w:p>
              </w:tc>
              <w:tc>
                <w:tcPr>
                  <w:tcW w:w="995" w:type="pct"/>
                  <w:tcBorders>
                    <w:tl2br w:val="nil"/>
                    <w:tr2bl w:val="nil"/>
                  </w:tcBorders>
                  <w:noWrap w:val="0"/>
                  <w:vAlign w:val="center"/>
                </w:tcPr>
                <w:p w14:paraId="448C1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5</w:t>
                  </w:r>
                </w:p>
              </w:tc>
              <w:tc>
                <w:tcPr>
                  <w:tcW w:w="995" w:type="pct"/>
                  <w:tcBorders>
                    <w:tl2br w:val="nil"/>
                    <w:tr2bl w:val="nil"/>
                  </w:tcBorders>
                  <w:noWrap w:val="0"/>
                  <w:vAlign w:val="center"/>
                </w:tcPr>
                <w:p w14:paraId="63D100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达标</w:t>
                  </w:r>
                </w:p>
              </w:tc>
            </w:tr>
            <w:tr w14:paraId="3F567B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33" w:type="pct"/>
                  <w:vMerge w:val="continue"/>
                  <w:tcBorders>
                    <w:tl2br w:val="nil"/>
                    <w:tr2bl w:val="nil"/>
                  </w:tcBorders>
                  <w:noWrap w:val="0"/>
                  <w:vAlign w:val="center"/>
                </w:tcPr>
                <w:p w14:paraId="5E18CB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p>
              </w:tc>
              <w:tc>
                <w:tcPr>
                  <w:tcW w:w="1204" w:type="pct"/>
                  <w:tcBorders>
                    <w:tl2br w:val="nil"/>
                    <w:tr2bl w:val="nil"/>
                  </w:tcBorders>
                  <w:noWrap w:val="0"/>
                  <w:vAlign w:val="center"/>
                </w:tcPr>
                <w:p w14:paraId="36F24821">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项目区西厂界</w:t>
                  </w:r>
                </w:p>
              </w:tc>
              <w:tc>
                <w:tcPr>
                  <w:tcW w:w="871" w:type="pct"/>
                  <w:tcBorders>
                    <w:tl2br w:val="nil"/>
                    <w:tr2bl w:val="nil"/>
                  </w:tcBorders>
                  <w:noWrap w:val="0"/>
                  <w:vAlign w:val="center"/>
                </w:tcPr>
                <w:p w14:paraId="36CC3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58.0</w:t>
                  </w:r>
                </w:p>
              </w:tc>
              <w:tc>
                <w:tcPr>
                  <w:tcW w:w="995" w:type="pct"/>
                  <w:tcBorders>
                    <w:tl2br w:val="nil"/>
                    <w:tr2bl w:val="nil"/>
                  </w:tcBorders>
                  <w:noWrap w:val="0"/>
                  <w:vAlign w:val="center"/>
                </w:tcPr>
                <w:p w14:paraId="5A677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5</w:t>
                  </w:r>
                </w:p>
              </w:tc>
              <w:tc>
                <w:tcPr>
                  <w:tcW w:w="995" w:type="pct"/>
                  <w:tcBorders>
                    <w:tl2br w:val="nil"/>
                    <w:tr2bl w:val="nil"/>
                  </w:tcBorders>
                  <w:noWrap w:val="0"/>
                  <w:vAlign w:val="center"/>
                </w:tcPr>
                <w:p w14:paraId="2E158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达标</w:t>
                  </w:r>
                </w:p>
              </w:tc>
            </w:tr>
            <w:tr w14:paraId="0D9F5C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33" w:type="pct"/>
                  <w:vMerge w:val="continue"/>
                  <w:tcBorders>
                    <w:tl2br w:val="nil"/>
                    <w:tr2bl w:val="nil"/>
                  </w:tcBorders>
                  <w:noWrap w:val="0"/>
                  <w:vAlign w:val="center"/>
                </w:tcPr>
                <w:p w14:paraId="7ABA36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p>
              </w:tc>
              <w:tc>
                <w:tcPr>
                  <w:tcW w:w="1204" w:type="pct"/>
                  <w:tcBorders>
                    <w:tl2br w:val="nil"/>
                    <w:tr2bl w:val="nil"/>
                  </w:tcBorders>
                  <w:noWrap w:val="0"/>
                  <w:vAlign w:val="center"/>
                </w:tcPr>
                <w:p w14:paraId="2AE7E8B3">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项目区北厂界</w:t>
                  </w:r>
                </w:p>
              </w:tc>
              <w:tc>
                <w:tcPr>
                  <w:tcW w:w="871" w:type="pct"/>
                  <w:tcBorders>
                    <w:tl2br w:val="nil"/>
                    <w:tr2bl w:val="nil"/>
                  </w:tcBorders>
                  <w:noWrap w:val="0"/>
                  <w:vAlign w:val="center"/>
                </w:tcPr>
                <w:p w14:paraId="796C7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55.4</w:t>
                  </w:r>
                </w:p>
              </w:tc>
              <w:tc>
                <w:tcPr>
                  <w:tcW w:w="995" w:type="pct"/>
                  <w:tcBorders>
                    <w:tl2br w:val="nil"/>
                    <w:tr2bl w:val="nil"/>
                  </w:tcBorders>
                  <w:noWrap w:val="0"/>
                  <w:vAlign w:val="center"/>
                </w:tcPr>
                <w:p w14:paraId="05FD7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5</w:t>
                  </w:r>
                </w:p>
              </w:tc>
              <w:tc>
                <w:tcPr>
                  <w:tcW w:w="995" w:type="pct"/>
                  <w:tcBorders>
                    <w:tl2br w:val="nil"/>
                    <w:tr2bl w:val="nil"/>
                  </w:tcBorders>
                  <w:noWrap w:val="0"/>
                  <w:vAlign w:val="center"/>
                </w:tcPr>
                <w:p w14:paraId="749D52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达标</w:t>
                  </w:r>
                </w:p>
              </w:tc>
            </w:tr>
            <w:tr w14:paraId="5A0F0B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noWrap w:val="0"/>
                  <w:vAlign w:val="center"/>
                </w:tcPr>
                <w:p w14:paraId="3BBEDC2A">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备注：夜间不生产，故夜间噪声未监测</w:t>
                  </w:r>
                </w:p>
              </w:tc>
            </w:tr>
          </w:tbl>
          <w:p w14:paraId="1D51E4E4">
            <w:pPr>
              <w:keepNext w:val="0"/>
              <w:keepLines w:val="0"/>
              <w:suppressLineNumbers w:val="0"/>
              <w:spacing w:before="0" w:beforeAutospacing="0" w:after="0" w:afterAutospacing="0"/>
              <w:ind w:left="0" w:right="0"/>
              <w:rPr>
                <w:rFonts w:hint="default" w:ascii="Times New Roman" w:hAnsi="Times New Roman" w:cs="Times New Roman"/>
                <w:lang w:val="en-US"/>
              </w:rPr>
            </w:pPr>
          </w:p>
          <w:p w14:paraId="2E486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rPr>
            </w:pPr>
            <w:r>
              <w:rPr>
                <w:rFonts w:hint="default" w:ascii="Times New Roman" w:hAnsi="Times New Roman" w:eastAsia="宋体" w:cs="Times New Roman"/>
                <w:color w:val="auto"/>
                <w:sz w:val="24"/>
                <w:szCs w:val="24"/>
              </w:rPr>
              <w:t>由上表可知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现有工程</w:t>
            </w:r>
            <w:r>
              <w:rPr>
                <w:rFonts w:hint="default" w:ascii="Times New Roman" w:hAnsi="Times New Roman" w:eastAsia="宋体" w:cs="Times New Roman"/>
                <w:color w:val="000000"/>
                <w:kern w:val="0"/>
                <w:sz w:val="24"/>
                <w:szCs w:val="24"/>
                <w:lang w:val="en-US" w:eastAsia="zh-CN" w:bidi="ar"/>
              </w:rPr>
              <w:t>厂界昼间噪声监测结果满足《工业企业厂界环境噪声排放标准》（GB12348-2008）中3类标准限值要求</w:t>
            </w:r>
            <w:r>
              <w:rPr>
                <w:rFonts w:hint="eastAsia" w:ascii="Times New Roman" w:hAnsi="Times New Roman" w:eastAsia="宋体" w:cs="Times New Roman"/>
                <w:color w:val="000000"/>
                <w:kern w:val="0"/>
                <w:sz w:val="24"/>
                <w:szCs w:val="24"/>
                <w:lang w:val="en-US" w:eastAsia="zh-CN" w:bidi="ar"/>
              </w:rPr>
              <w:t>。</w:t>
            </w:r>
          </w:p>
          <w:p w14:paraId="46ECE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4）固体废弃物</w:t>
            </w:r>
          </w:p>
          <w:p w14:paraId="26E87506">
            <w:pPr>
              <w:keepNext w:val="0"/>
              <w:keepLines w:val="0"/>
              <w:pageBreakBefore w:val="0"/>
              <w:widowControl w:val="0"/>
              <w:suppressLineNumbers w:val="0"/>
              <w:tabs>
                <w:tab w:val="left" w:pos="8945"/>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企业现有</w:t>
            </w:r>
            <w:r>
              <w:rPr>
                <w:rFonts w:hint="eastAsia"/>
                <w:b w:val="0"/>
                <w:bCs w:val="0"/>
                <w:color w:val="000000" w:themeColor="text1"/>
                <w:sz w:val="24"/>
                <w:szCs w:val="24"/>
                <w:vertAlign w:val="baseline"/>
                <w:lang w:val="en-US" w:eastAsia="zh-CN"/>
                <w14:textFill>
                  <w14:solidFill>
                    <w14:schemeClr w14:val="tx1"/>
                  </w14:solidFill>
                </w14:textFill>
              </w:rPr>
              <w:t>一间</w:t>
            </w:r>
            <w:r>
              <w:rPr>
                <w:rFonts w:hint="eastAsia"/>
                <w:b w:val="0"/>
                <w:bCs w:val="0"/>
                <w:color w:val="000000" w:themeColor="text1"/>
                <w:sz w:val="24"/>
                <w:szCs w:val="24"/>
                <w:lang w:val="en-US" w:eastAsia="zh-CN"/>
                <w14:textFill>
                  <w14:solidFill>
                    <w14:schemeClr w14:val="tx1"/>
                  </w14:solidFill>
                </w14:textFill>
              </w:rPr>
              <w:t>占地面积20m</w:t>
            </w:r>
            <w:r>
              <w:rPr>
                <w:rFonts w:hint="eastAsia"/>
                <w:b w:val="0"/>
                <w:bCs w:val="0"/>
                <w:color w:val="000000" w:themeColor="text1"/>
                <w:sz w:val="24"/>
                <w:szCs w:val="24"/>
                <w:vertAlign w:val="superscript"/>
                <w:lang w:val="en-US" w:eastAsia="zh-CN"/>
                <w14:textFill>
                  <w14:solidFill>
                    <w14:schemeClr w14:val="tx1"/>
                  </w14:solidFill>
                </w14:textFill>
              </w:rPr>
              <w:t>2</w:t>
            </w:r>
            <w:r>
              <w:rPr>
                <w:rFonts w:hint="eastAsia"/>
                <w:b w:val="0"/>
                <w:bCs w:val="0"/>
                <w:color w:val="000000" w:themeColor="text1"/>
                <w:sz w:val="24"/>
                <w:szCs w:val="24"/>
                <w:vertAlign w:val="baseline"/>
                <w:lang w:val="en-US" w:eastAsia="zh-CN"/>
                <w14:textFill>
                  <w14:solidFill>
                    <w14:schemeClr w14:val="tx1"/>
                  </w14:solidFill>
                </w14:textFill>
              </w:rPr>
              <w:t>的一般固废库。</w:t>
            </w:r>
            <w:r>
              <w:rPr>
                <w:rFonts w:hint="eastAsia"/>
                <w:color w:val="000000" w:themeColor="text1"/>
                <w:sz w:val="24"/>
                <w:szCs w:val="24"/>
                <w14:textFill>
                  <w14:solidFill>
                    <w14:schemeClr w14:val="tx1"/>
                  </w14:solidFill>
                </w14:textFill>
              </w:rPr>
              <w:t>废包装材料暂存于一般固废库，定期外售给物资回收公司</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过筛物料</w:t>
            </w:r>
            <w:r>
              <w:rPr>
                <w:rFonts w:hint="eastAsia"/>
                <w:color w:val="000000" w:themeColor="text1"/>
                <w:sz w:val="24"/>
                <w14:textFill>
                  <w14:solidFill>
                    <w14:schemeClr w14:val="tx1"/>
                  </w14:solidFill>
                </w14:textFill>
              </w:rPr>
              <w:t>统一收集后回用于生产线</w:t>
            </w:r>
            <w:r>
              <w:rPr>
                <w:rFonts w:hint="eastAsia"/>
                <w:color w:val="000000" w:themeColor="text1"/>
                <w:sz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杂质、不合格品</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地面清扫粉尘</w:t>
            </w:r>
            <w:r>
              <w:rPr>
                <w:rFonts w:hint="eastAsia"/>
                <w:color w:val="000000" w:themeColor="text1"/>
                <w:sz w:val="24"/>
                <w:szCs w:val="24"/>
                <w14:textFill>
                  <w14:solidFill>
                    <w14:schemeClr w14:val="tx1"/>
                  </w14:solidFill>
                </w14:textFill>
              </w:rPr>
              <w:t>收集后储存于一般固废库</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定期外售给饲料生产公司；</w:t>
            </w:r>
            <w:r>
              <w:rPr>
                <w:rFonts w:hint="eastAsia"/>
                <w:color w:val="000000" w:themeColor="text1"/>
                <w:sz w:val="24"/>
                <w:szCs w:val="24"/>
                <w:lang w:eastAsia="zh-CN"/>
                <w14:textFill>
                  <w14:solidFill>
                    <w14:schemeClr w14:val="tx1"/>
                  </w14:solidFill>
                </w14:textFill>
              </w:rPr>
              <w:t>废油</w:t>
            </w:r>
            <w:r>
              <w:rPr>
                <w:rFonts w:hint="eastAsia"/>
                <w:color w:val="000000" w:themeColor="text1"/>
                <w:sz w:val="24"/>
                <w:szCs w:val="24"/>
                <w:lang w:val="en-US" w:eastAsia="zh-CN"/>
                <w14:textFill>
                  <w14:solidFill>
                    <w14:schemeClr w14:val="tx1"/>
                  </w14:solidFill>
                </w14:textFill>
              </w:rPr>
              <w:t>物</w:t>
            </w:r>
            <w:r>
              <w:rPr>
                <w:rFonts w:hint="eastAsia"/>
                <w:color w:val="000000" w:themeColor="text1"/>
                <w:sz w:val="24"/>
                <w:szCs w:val="24"/>
                <w:lang w:eastAsia="zh-CN"/>
                <w14:textFill>
                  <w14:solidFill>
                    <w14:schemeClr w14:val="tx1"/>
                  </w14:solidFill>
                </w14:textFill>
              </w:rPr>
              <w:t>暂存于一般固废库，委托</w:t>
            </w:r>
            <w:r>
              <w:rPr>
                <w:rFonts w:hint="eastAsia"/>
                <w:color w:val="000000" w:themeColor="text1"/>
                <w:sz w:val="24"/>
                <w14:textFill>
                  <w14:solidFill>
                    <w14:schemeClr w14:val="tx1"/>
                  </w14:solidFill>
                </w14:textFill>
              </w:rPr>
              <w:t>环卫部门定期清运</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沉淀池污泥委托环卫部门定期清运</w:t>
            </w:r>
            <w:r>
              <w:rPr>
                <w:rFonts w:hint="default"/>
                <w:color w:val="000000" w:themeColor="text1"/>
                <w:sz w:val="24"/>
                <w:szCs w:val="24"/>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生活垃圾、废毛巾分类存放，</w:t>
            </w:r>
            <w:r>
              <w:rPr>
                <w:rFonts w:hint="eastAsia"/>
                <w:color w:val="000000" w:themeColor="text1"/>
                <w:sz w:val="24"/>
                <w:szCs w:val="24"/>
                <w14:textFill>
                  <w14:solidFill>
                    <w14:schemeClr w14:val="tx1"/>
                  </w14:solidFill>
                </w14:textFill>
              </w:rPr>
              <w:t>收集后由环卫部门清运</w:t>
            </w:r>
            <w:r>
              <w:rPr>
                <w:rFonts w:hint="eastAsia"/>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kern w:val="2"/>
                <w:sz w:val="24"/>
                <w:szCs w:val="24"/>
                <w:lang w:eastAsia="zh-CN"/>
                <w14:textFill>
                  <w14:solidFill>
                    <w14:schemeClr w14:val="tx1"/>
                  </w14:solidFill>
                </w14:textFill>
              </w:rPr>
              <w:t>公司</w:t>
            </w:r>
            <w:r>
              <w:rPr>
                <w:rFonts w:hint="eastAsia" w:ascii="Times New Roman" w:hAnsi="Times New Roman" w:cs="Times New Roman"/>
                <w:color w:val="000000" w:themeColor="text1"/>
                <w:sz w:val="24"/>
                <w:lang w:eastAsia="zh-CN"/>
                <w14:textFill>
                  <w14:solidFill>
                    <w14:schemeClr w14:val="tx1"/>
                  </w14:solidFill>
                </w14:textFill>
              </w:rPr>
              <w:t>现有各类固废的实际产生量及处置情况汇总见</w:t>
            </w:r>
            <w:r>
              <w:rPr>
                <w:rFonts w:hint="eastAsia" w:ascii="Times New Roman" w:hAnsi="Times New Roman" w:cs="Times New Roman"/>
                <w:color w:val="000000" w:themeColor="text1"/>
                <w:sz w:val="24"/>
                <w:lang w:val="en-US" w:eastAsia="zh-CN"/>
                <w14:textFill>
                  <w14:solidFill>
                    <w14:schemeClr w14:val="tx1"/>
                  </w14:solidFill>
                </w14:textFill>
              </w:rPr>
              <w:t>下表</w:t>
            </w:r>
            <w:r>
              <w:rPr>
                <w:rFonts w:hint="eastAsia" w:ascii="Times New Roman" w:hAnsi="Times New Roman" w:cs="Times New Roman"/>
                <w:color w:val="000000" w:themeColor="text1"/>
                <w:sz w:val="24"/>
                <w:lang w:eastAsia="zh-CN"/>
                <w14:textFill>
                  <w14:solidFill>
                    <w14:schemeClr w14:val="tx1"/>
                  </w14:solidFill>
                </w14:textFill>
              </w:rPr>
              <w:t>。</w:t>
            </w:r>
          </w:p>
          <w:p w14:paraId="30D7F061">
            <w:pPr>
              <w:keepNext w:val="0"/>
              <w:keepLines w:val="0"/>
              <w:suppressLineNumbers w:val="0"/>
              <w:tabs>
                <w:tab w:val="left" w:pos="8945"/>
              </w:tabs>
              <w:adjustRightInd w:val="0"/>
              <w:snapToGrid w:val="0"/>
              <w:spacing w:before="0" w:beforeAutospacing="0" w:after="0" w:afterAutospacing="0"/>
              <w:ind w:left="0" w:right="0"/>
              <w:jc w:val="center"/>
              <w:rPr>
                <w:rFonts w:hint="default"/>
                <w:b/>
                <w:bCs/>
                <w:sz w:val="24"/>
              </w:rPr>
            </w:pPr>
            <w:r>
              <w:rPr>
                <w:rFonts w:hint="default"/>
                <w:b/>
                <w:bCs/>
                <w:sz w:val="24"/>
              </w:rPr>
              <w:t>表</w:t>
            </w:r>
            <w:r>
              <w:rPr>
                <w:rFonts w:hint="eastAsia"/>
                <w:b/>
                <w:bCs/>
                <w:sz w:val="24"/>
              </w:rPr>
              <w:t>2</w:t>
            </w:r>
            <w:r>
              <w:rPr>
                <w:rFonts w:hint="default"/>
                <w:b/>
                <w:bCs/>
                <w:sz w:val="24"/>
              </w:rPr>
              <w:t>-</w:t>
            </w:r>
            <w:r>
              <w:rPr>
                <w:rFonts w:hint="eastAsia"/>
                <w:b/>
                <w:bCs/>
                <w:sz w:val="24"/>
                <w:lang w:val="en-US" w:eastAsia="zh-CN"/>
              </w:rPr>
              <w:t xml:space="preserve">11  </w:t>
            </w:r>
            <w:r>
              <w:rPr>
                <w:rFonts w:hint="default"/>
                <w:b/>
                <w:bCs/>
                <w:sz w:val="24"/>
              </w:rPr>
              <w:t>现有固废实际产生处置情况一览表 (t/a)</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530"/>
              <w:gridCol w:w="904"/>
              <w:gridCol w:w="1287"/>
              <w:gridCol w:w="847"/>
              <w:gridCol w:w="1326"/>
              <w:gridCol w:w="865"/>
              <w:gridCol w:w="2366"/>
            </w:tblGrid>
            <w:tr w14:paraId="6AC93B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c>
                <w:tcPr>
                  <w:tcW w:w="326" w:type="pct"/>
                  <w:tcBorders>
                    <w:tl2br w:val="nil"/>
                    <w:tr2bl w:val="nil"/>
                  </w:tcBorders>
                  <w:shd w:val="clear" w:color="auto" w:fill="auto"/>
                  <w:vAlign w:val="center"/>
                </w:tcPr>
                <w:p w14:paraId="26A5905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序号</w:t>
                  </w:r>
                </w:p>
              </w:tc>
              <w:tc>
                <w:tcPr>
                  <w:tcW w:w="556" w:type="pct"/>
                  <w:tcBorders>
                    <w:tl2br w:val="nil"/>
                    <w:tr2bl w:val="nil"/>
                  </w:tcBorders>
                  <w:shd w:val="clear" w:color="auto" w:fill="auto"/>
                  <w:vAlign w:val="center"/>
                </w:tcPr>
                <w:p w14:paraId="0CC4E46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固体废物种类</w:t>
                  </w:r>
                </w:p>
              </w:tc>
              <w:tc>
                <w:tcPr>
                  <w:tcW w:w="792" w:type="pct"/>
                  <w:tcBorders>
                    <w:tl2br w:val="nil"/>
                    <w:tr2bl w:val="nil"/>
                  </w:tcBorders>
                  <w:shd w:val="clear" w:color="auto" w:fill="auto"/>
                  <w:vAlign w:val="center"/>
                </w:tcPr>
                <w:p w14:paraId="1803EA7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名称</w:t>
                  </w:r>
                </w:p>
              </w:tc>
              <w:tc>
                <w:tcPr>
                  <w:tcW w:w="521" w:type="pct"/>
                  <w:tcBorders>
                    <w:tl2br w:val="nil"/>
                    <w:tr2bl w:val="nil"/>
                  </w:tcBorders>
                  <w:shd w:val="clear" w:color="auto" w:fill="auto"/>
                  <w:vAlign w:val="center"/>
                </w:tcPr>
                <w:p w14:paraId="38B33B0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废物类别</w:t>
                  </w:r>
                </w:p>
              </w:tc>
              <w:tc>
                <w:tcPr>
                  <w:tcW w:w="816" w:type="pct"/>
                  <w:tcBorders>
                    <w:tl2br w:val="nil"/>
                    <w:tr2bl w:val="nil"/>
                  </w:tcBorders>
                  <w:shd w:val="clear" w:color="auto" w:fill="auto"/>
                  <w:vAlign w:val="center"/>
                </w:tcPr>
                <w:p w14:paraId="22E67E2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废物代码</w:t>
                  </w:r>
                </w:p>
              </w:tc>
              <w:tc>
                <w:tcPr>
                  <w:tcW w:w="532" w:type="pct"/>
                  <w:tcBorders>
                    <w:tl2br w:val="nil"/>
                    <w:tr2bl w:val="nil"/>
                  </w:tcBorders>
                  <w:shd w:val="clear" w:color="auto" w:fill="auto"/>
                  <w:vAlign w:val="center"/>
                </w:tcPr>
                <w:p w14:paraId="4DB21F4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实际产生量</w:t>
                  </w:r>
                </w:p>
              </w:tc>
              <w:tc>
                <w:tcPr>
                  <w:tcW w:w="1455" w:type="pct"/>
                  <w:tcBorders>
                    <w:tl2br w:val="nil"/>
                    <w:tr2bl w:val="nil"/>
                  </w:tcBorders>
                  <w:shd w:val="clear" w:color="auto" w:fill="auto"/>
                  <w:vAlign w:val="center"/>
                </w:tcPr>
                <w:p w14:paraId="7FB4EEA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处理处置措施</w:t>
                  </w:r>
                </w:p>
              </w:tc>
            </w:tr>
            <w:tr w14:paraId="1D79F2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1" w:hRule="atLeast"/>
              </w:trPr>
              <w:tc>
                <w:tcPr>
                  <w:tcW w:w="326" w:type="pct"/>
                  <w:tcBorders>
                    <w:tl2br w:val="nil"/>
                    <w:tr2bl w:val="nil"/>
                  </w:tcBorders>
                  <w:shd w:val="clear" w:color="auto" w:fill="auto"/>
                  <w:vAlign w:val="center"/>
                </w:tcPr>
                <w:p w14:paraId="440F3D40">
                  <w:pPr>
                    <w:keepNext w:val="0"/>
                    <w:keepLines w:val="0"/>
                    <w:widowControl w:val="0"/>
                    <w:suppressLineNumbers w:val="0"/>
                    <w:adjustRightInd w:val="0"/>
                    <w:snapToGrid w:val="0"/>
                    <w:spacing w:before="0" w:beforeAutospacing="0" w:after="0" w:afterAutospacing="0"/>
                    <w:ind w:left="0" w:right="0"/>
                    <w:jc w:val="center"/>
                    <w:rPr>
                      <w:rFonts w:hint="default" w:cs="Times New Roman"/>
                      <w:kern w:val="2"/>
                      <w:sz w:val="21"/>
                      <w:szCs w:val="21"/>
                      <w:lang w:val="en-US" w:eastAsia="zh-CN" w:bidi="ar"/>
                    </w:rPr>
                  </w:pPr>
                  <w:r>
                    <w:rPr>
                      <w:rFonts w:hint="eastAsia" w:cs="Times New Roman"/>
                      <w:kern w:val="2"/>
                      <w:sz w:val="21"/>
                      <w:szCs w:val="21"/>
                      <w:lang w:val="en-US" w:eastAsia="zh-CN" w:bidi="ar"/>
                    </w:rPr>
                    <w:t>1</w:t>
                  </w:r>
                </w:p>
              </w:tc>
              <w:tc>
                <w:tcPr>
                  <w:tcW w:w="556" w:type="pct"/>
                  <w:vMerge w:val="restart"/>
                  <w:tcBorders>
                    <w:tl2br w:val="nil"/>
                    <w:tr2bl w:val="nil"/>
                  </w:tcBorders>
                  <w:shd w:val="clear" w:color="auto" w:fill="auto"/>
                  <w:vAlign w:val="center"/>
                </w:tcPr>
                <w:p w14:paraId="79D582F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一般固废</w:t>
                  </w:r>
                </w:p>
              </w:tc>
              <w:tc>
                <w:tcPr>
                  <w:tcW w:w="792" w:type="pct"/>
                  <w:tcBorders>
                    <w:tl2br w:val="nil"/>
                    <w:tr2bl w:val="nil"/>
                  </w:tcBorders>
                  <w:shd w:val="clear" w:color="auto" w:fill="auto"/>
                  <w:vAlign w:val="center"/>
                </w:tcPr>
                <w:p w14:paraId="6AA3FB24">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废包装材料</w:t>
                  </w:r>
                </w:p>
              </w:tc>
              <w:tc>
                <w:tcPr>
                  <w:tcW w:w="521" w:type="pct"/>
                  <w:tcBorders>
                    <w:tl2br w:val="nil"/>
                    <w:tr2bl w:val="nil"/>
                  </w:tcBorders>
                  <w:shd w:val="clear" w:color="auto" w:fill="auto"/>
                  <w:vAlign w:val="center"/>
                </w:tcPr>
                <w:p w14:paraId="4085283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SW17</w:t>
                  </w:r>
                </w:p>
              </w:tc>
              <w:tc>
                <w:tcPr>
                  <w:tcW w:w="816" w:type="pct"/>
                  <w:tcBorders>
                    <w:tl2br w:val="nil"/>
                    <w:tr2bl w:val="nil"/>
                  </w:tcBorders>
                  <w:shd w:val="clear" w:color="auto" w:fill="auto"/>
                  <w:vAlign w:val="center"/>
                </w:tcPr>
                <w:p w14:paraId="1C247C8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00-099-S17</w:t>
                  </w:r>
                </w:p>
              </w:tc>
              <w:tc>
                <w:tcPr>
                  <w:tcW w:w="532" w:type="pct"/>
                  <w:tcBorders>
                    <w:tl2br w:val="nil"/>
                    <w:tr2bl w:val="nil"/>
                  </w:tcBorders>
                  <w:shd w:val="clear" w:color="auto" w:fill="auto"/>
                  <w:vAlign w:val="center"/>
                </w:tcPr>
                <w:p w14:paraId="1450B66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30</w:t>
                  </w:r>
                </w:p>
              </w:tc>
              <w:tc>
                <w:tcPr>
                  <w:tcW w:w="1455" w:type="pct"/>
                  <w:tcBorders>
                    <w:tl2br w:val="nil"/>
                    <w:tr2bl w:val="nil"/>
                  </w:tcBorders>
                  <w:shd w:val="clear" w:color="auto" w:fill="auto"/>
                  <w:vAlign w:val="center"/>
                </w:tcPr>
                <w:p w14:paraId="3816A9D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暂存于一般固废库，定期外售给物资回收公司</w:t>
                  </w:r>
                </w:p>
              </w:tc>
            </w:tr>
            <w:tr w14:paraId="3185D8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1" w:hRule="atLeast"/>
              </w:trPr>
              <w:tc>
                <w:tcPr>
                  <w:tcW w:w="326" w:type="pct"/>
                  <w:tcBorders>
                    <w:tl2br w:val="nil"/>
                    <w:tr2bl w:val="nil"/>
                  </w:tcBorders>
                  <w:shd w:val="clear" w:color="auto" w:fill="auto"/>
                  <w:vAlign w:val="center"/>
                </w:tcPr>
                <w:p w14:paraId="018E7463">
                  <w:pPr>
                    <w:keepNext w:val="0"/>
                    <w:keepLines w:val="0"/>
                    <w:widowControl w:val="0"/>
                    <w:suppressLineNumbers w:val="0"/>
                    <w:adjustRightInd w:val="0"/>
                    <w:snapToGrid w:val="0"/>
                    <w:spacing w:before="0" w:beforeAutospacing="0" w:after="0" w:afterAutospacing="0"/>
                    <w:ind w:left="0" w:right="0"/>
                    <w:jc w:val="center"/>
                    <w:rPr>
                      <w:rFonts w:hint="default" w:cs="Times New Roman"/>
                      <w:kern w:val="2"/>
                      <w:sz w:val="21"/>
                      <w:szCs w:val="21"/>
                      <w:lang w:val="en-US" w:eastAsia="zh-CN" w:bidi="ar"/>
                    </w:rPr>
                  </w:pPr>
                  <w:r>
                    <w:rPr>
                      <w:rFonts w:hint="eastAsia" w:cs="Times New Roman"/>
                      <w:kern w:val="2"/>
                      <w:sz w:val="21"/>
                      <w:szCs w:val="21"/>
                      <w:lang w:val="en-US" w:eastAsia="zh-CN" w:bidi="ar"/>
                    </w:rPr>
                    <w:t>2</w:t>
                  </w:r>
                </w:p>
              </w:tc>
              <w:tc>
                <w:tcPr>
                  <w:tcW w:w="556" w:type="pct"/>
                  <w:vMerge w:val="continue"/>
                  <w:tcBorders>
                    <w:tl2br w:val="nil"/>
                    <w:tr2bl w:val="nil"/>
                  </w:tcBorders>
                  <w:shd w:val="clear" w:color="auto" w:fill="auto"/>
                  <w:vAlign w:val="center"/>
                </w:tcPr>
                <w:p w14:paraId="6B062FF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792" w:type="pct"/>
                  <w:tcBorders>
                    <w:tl2br w:val="nil"/>
                    <w:tr2bl w:val="nil"/>
                  </w:tcBorders>
                  <w:shd w:val="clear" w:color="auto" w:fill="auto"/>
                  <w:vAlign w:val="center"/>
                </w:tcPr>
                <w:p w14:paraId="6D7A9225">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杂质</w:t>
                  </w:r>
                </w:p>
              </w:tc>
              <w:tc>
                <w:tcPr>
                  <w:tcW w:w="521" w:type="pct"/>
                  <w:tcBorders>
                    <w:tl2br w:val="nil"/>
                    <w:tr2bl w:val="nil"/>
                  </w:tcBorders>
                  <w:shd w:val="clear" w:color="auto" w:fill="auto"/>
                  <w:vAlign w:val="center"/>
                </w:tcPr>
                <w:p w14:paraId="3C15EB0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SW59</w:t>
                  </w:r>
                </w:p>
              </w:tc>
              <w:tc>
                <w:tcPr>
                  <w:tcW w:w="816" w:type="pct"/>
                  <w:tcBorders>
                    <w:tl2br w:val="nil"/>
                    <w:tr2bl w:val="nil"/>
                  </w:tcBorders>
                  <w:shd w:val="clear" w:color="auto" w:fill="auto"/>
                  <w:vAlign w:val="center"/>
                </w:tcPr>
                <w:p w14:paraId="4434C43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900-099-S59</w:t>
                  </w:r>
                </w:p>
              </w:tc>
              <w:tc>
                <w:tcPr>
                  <w:tcW w:w="532" w:type="pct"/>
                  <w:tcBorders>
                    <w:tl2br w:val="nil"/>
                    <w:tr2bl w:val="nil"/>
                  </w:tcBorders>
                  <w:shd w:val="clear" w:color="auto" w:fill="auto"/>
                  <w:vAlign w:val="center"/>
                </w:tcPr>
                <w:p w14:paraId="795937D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06</w:t>
                  </w:r>
                </w:p>
              </w:tc>
              <w:tc>
                <w:tcPr>
                  <w:tcW w:w="1455" w:type="pct"/>
                  <w:tcBorders>
                    <w:tl2br w:val="nil"/>
                    <w:tr2bl w:val="nil"/>
                  </w:tcBorders>
                  <w:shd w:val="clear" w:color="auto" w:fill="auto"/>
                  <w:vAlign w:val="center"/>
                </w:tcPr>
                <w:p w14:paraId="1E89662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暂存于一般固废库，定期外售给饲料生产公司</w:t>
                  </w:r>
                </w:p>
              </w:tc>
            </w:tr>
            <w:tr w14:paraId="10F390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1" w:hRule="atLeast"/>
              </w:trPr>
              <w:tc>
                <w:tcPr>
                  <w:tcW w:w="326" w:type="pct"/>
                  <w:tcBorders>
                    <w:tl2br w:val="nil"/>
                    <w:tr2bl w:val="nil"/>
                  </w:tcBorders>
                  <w:shd w:val="clear" w:color="auto" w:fill="auto"/>
                  <w:vAlign w:val="center"/>
                </w:tcPr>
                <w:p w14:paraId="25AA72AD">
                  <w:pPr>
                    <w:keepNext w:val="0"/>
                    <w:keepLines w:val="0"/>
                    <w:widowControl w:val="0"/>
                    <w:suppressLineNumbers w:val="0"/>
                    <w:adjustRightInd w:val="0"/>
                    <w:snapToGrid w:val="0"/>
                    <w:spacing w:before="0" w:beforeAutospacing="0" w:after="0" w:afterAutospacing="0"/>
                    <w:ind w:left="0" w:leftChars="0" w:right="0" w:rightChars="0"/>
                    <w:jc w:val="center"/>
                    <w:rPr>
                      <w:rFonts w:hint="eastAsia" w:cs="Times New Roman"/>
                      <w:kern w:val="2"/>
                      <w:sz w:val="21"/>
                      <w:szCs w:val="21"/>
                      <w:lang w:val="en-US" w:eastAsia="zh-CN" w:bidi="ar"/>
                    </w:rPr>
                  </w:pPr>
                  <w:r>
                    <w:rPr>
                      <w:rFonts w:hint="eastAsia" w:cs="Times New Roman"/>
                      <w:kern w:val="2"/>
                      <w:sz w:val="21"/>
                      <w:szCs w:val="21"/>
                      <w:lang w:val="en-US" w:eastAsia="zh-CN" w:bidi="ar"/>
                    </w:rPr>
                    <w:t>3</w:t>
                  </w:r>
                </w:p>
              </w:tc>
              <w:tc>
                <w:tcPr>
                  <w:tcW w:w="556" w:type="pct"/>
                  <w:vMerge w:val="continue"/>
                  <w:tcBorders>
                    <w:tl2br w:val="nil"/>
                    <w:tr2bl w:val="nil"/>
                  </w:tcBorders>
                  <w:shd w:val="clear" w:color="auto" w:fill="auto"/>
                  <w:vAlign w:val="center"/>
                </w:tcPr>
                <w:p w14:paraId="2F5FF37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792" w:type="pct"/>
                  <w:tcBorders>
                    <w:tl2br w:val="nil"/>
                    <w:tr2bl w:val="nil"/>
                  </w:tcBorders>
                  <w:shd w:val="clear" w:color="auto" w:fill="auto"/>
                  <w:vAlign w:val="center"/>
                </w:tcPr>
                <w:p w14:paraId="54C79B6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过筛物料</w:t>
                  </w:r>
                </w:p>
              </w:tc>
              <w:tc>
                <w:tcPr>
                  <w:tcW w:w="521" w:type="pct"/>
                  <w:tcBorders>
                    <w:tl2br w:val="nil"/>
                    <w:tr2bl w:val="nil"/>
                  </w:tcBorders>
                  <w:shd w:val="clear" w:color="auto" w:fill="auto"/>
                  <w:vAlign w:val="center"/>
                </w:tcPr>
                <w:p w14:paraId="78E92C5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w:t>
                  </w:r>
                </w:p>
              </w:tc>
              <w:tc>
                <w:tcPr>
                  <w:tcW w:w="816" w:type="pct"/>
                  <w:tcBorders>
                    <w:tl2br w:val="nil"/>
                    <w:tr2bl w:val="nil"/>
                  </w:tcBorders>
                  <w:shd w:val="clear" w:color="auto" w:fill="auto"/>
                  <w:vAlign w:val="center"/>
                </w:tcPr>
                <w:p w14:paraId="40AD382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900-999-99</w:t>
                  </w:r>
                </w:p>
              </w:tc>
              <w:tc>
                <w:tcPr>
                  <w:tcW w:w="532" w:type="pct"/>
                  <w:tcBorders>
                    <w:tl2br w:val="nil"/>
                    <w:tr2bl w:val="nil"/>
                  </w:tcBorders>
                  <w:shd w:val="clear" w:color="auto" w:fill="auto"/>
                  <w:vAlign w:val="center"/>
                </w:tcPr>
                <w:p w14:paraId="1A5FE60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0.5</w:t>
                  </w:r>
                </w:p>
              </w:tc>
              <w:tc>
                <w:tcPr>
                  <w:tcW w:w="1455" w:type="pct"/>
                  <w:tcBorders>
                    <w:tl2br w:val="nil"/>
                    <w:tr2bl w:val="nil"/>
                  </w:tcBorders>
                  <w:shd w:val="clear" w:color="auto" w:fill="auto"/>
                  <w:vAlign w:val="center"/>
                </w:tcPr>
                <w:p w14:paraId="023DB11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cs="宋体"/>
                      <w:szCs w:val="21"/>
                      <w:lang w:bidi="ar"/>
                    </w:rPr>
                    <w:t>统一收集后回用于生产线</w:t>
                  </w:r>
                </w:p>
              </w:tc>
            </w:tr>
            <w:tr w14:paraId="5BC08A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1" w:hRule="atLeast"/>
              </w:trPr>
              <w:tc>
                <w:tcPr>
                  <w:tcW w:w="326" w:type="pct"/>
                  <w:tcBorders>
                    <w:tl2br w:val="nil"/>
                    <w:tr2bl w:val="nil"/>
                  </w:tcBorders>
                  <w:shd w:val="clear" w:color="auto" w:fill="auto"/>
                  <w:vAlign w:val="center"/>
                </w:tcPr>
                <w:p w14:paraId="11592F81">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Times New Roman"/>
                      <w:kern w:val="2"/>
                      <w:sz w:val="21"/>
                      <w:szCs w:val="21"/>
                      <w:lang w:val="en-US" w:eastAsia="zh-CN" w:bidi="ar"/>
                    </w:rPr>
                  </w:pPr>
                  <w:r>
                    <w:rPr>
                      <w:rFonts w:hint="eastAsia" w:cs="Times New Roman"/>
                      <w:kern w:val="2"/>
                      <w:sz w:val="21"/>
                      <w:szCs w:val="21"/>
                      <w:lang w:val="en-US" w:eastAsia="zh-CN" w:bidi="ar"/>
                    </w:rPr>
                    <w:t>4</w:t>
                  </w:r>
                </w:p>
              </w:tc>
              <w:tc>
                <w:tcPr>
                  <w:tcW w:w="556" w:type="pct"/>
                  <w:vMerge w:val="continue"/>
                  <w:tcBorders>
                    <w:tl2br w:val="nil"/>
                    <w:tr2bl w:val="nil"/>
                  </w:tcBorders>
                  <w:shd w:val="clear" w:color="auto" w:fill="auto"/>
                  <w:vAlign w:val="center"/>
                </w:tcPr>
                <w:p w14:paraId="1B3C6BF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792" w:type="pct"/>
                  <w:tcBorders>
                    <w:tl2br w:val="nil"/>
                    <w:tr2bl w:val="nil"/>
                  </w:tcBorders>
                  <w:shd w:val="clear" w:color="auto" w:fill="auto"/>
                  <w:vAlign w:val="center"/>
                </w:tcPr>
                <w:p w14:paraId="622BD2A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废油</w:t>
                  </w:r>
                  <w:r>
                    <w:rPr>
                      <w:rFonts w:hint="eastAsia" w:ascii="宋体" w:hAnsi="宋体" w:cs="宋体"/>
                      <w:kern w:val="2"/>
                      <w:sz w:val="21"/>
                      <w:szCs w:val="21"/>
                      <w:lang w:val="en-US" w:eastAsia="zh-CN" w:bidi="ar"/>
                    </w:rPr>
                    <w:t>物</w:t>
                  </w:r>
                </w:p>
              </w:tc>
              <w:tc>
                <w:tcPr>
                  <w:tcW w:w="521" w:type="pct"/>
                  <w:tcBorders>
                    <w:tl2br w:val="nil"/>
                    <w:tr2bl w:val="nil"/>
                  </w:tcBorders>
                  <w:shd w:val="clear" w:color="auto" w:fill="auto"/>
                  <w:vAlign w:val="center"/>
                </w:tcPr>
                <w:p w14:paraId="647EFE6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SW61</w:t>
                  </w:r>
                </w:p>
              </w:tc>
              <w:tc>
                <w:tcPr>
                  <w:tcW w:w="816" w:type="pct"/>
                  <w:tcBorders>
                    <w:tl2br w:val="nil"/>
                    <w:tr2bl w:val="nil"/>
                  </w:tcBorders>
                  <w:shd w:val="clear" w:color="auto" w:fill="auto"/>
                  <w:vAlign w:val="center"/>
                </w:tcPr>
                <w:p w14:paraId="10BE1A5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900-002-S61</w:t>
                  </w:r>
                </w:p>
              </w:tc>
              <w:tc>
                <w:tcPr>
                  <w:tcW w:w="532" w:type="pct"/>
                  <w:tcBorders>
                    <w:tl2br w:val="nil"/>
                    <w:tr2bl w:val="nil"/>
                  </w:tcBorders>
                  <w:shd w:val="clear" w:color="auto" w:fill="auto"/>
                  <w:vAlign w:val="center"/>
                </w:tcPr>
                <w:p w14:paraId="6FCE70E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0.05</w:t>
                  </w:r>
                </w:p>
              </w:tc>
              <w:tc>
                <w:tcPr>
                  <w:tcW w:w="1455" w:type="pct"/>
                  <w:tcBorders>
                    <w:tl2br w:val="nil"/>
                    <w:tr2bl w:val="nil"/>
                  </w:tcBorders>
                  <w:shd w:val="clear" w:color="auto" w:fill="auto"/>
                  <w:vAlign w:val="center"/>
                </w:tcPr>
                <w:p w14:paraId="1BCB9192">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暂存于一般固废库，委托环卫部门定期清运</w:t>
                  </w:r>
                </w:p>
              </w:tc>
            </w:tr>
            <w:tr w14:paraId="129013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trPr>
              <w:tc>
                <w:tcPr>
                  <w:tcW w:w="326" w:type="pct"/>
                  <w:tcBorders>
                    <w:tl2br w:val="nil"/>
                    <w:tr2bl w:val="nil"/>
                  </w:tcBorders>
                  <w:shd w:val="clear" w:color="auto" w:fill="auto"/>
                  <w:vAlign w:val="center"/>
                </w:tcPr>
                <w:p w14:paraId="0909E8D3">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rPr>
                  </w:pPr>
                  <w:r>
                    <w:rPr>
                      <w:rFonts w:hint="eastAsia" w:cs="Times New Roman"/>
                      <w:kern w:val="2"/>
                      <w:sz w:val="21"/>
                      <w:szCs w:val="21"/>
                      <w:lang w:val="en-US" w:eastAsia="zh-CN" w:bidi="ar"/>
                    </w:rPr>
                    <w:t>5</w:t>
                  </w:r>
                </w:p>
              </w:tc>
              <w:tc>
                <w:tcPr>
                  <w:tcW w:w="556" w:type="pct"/>
                  <w:vMerge w:val="continue"/>
                  <w:tcBorders>
                    <w:tl2br w:val="nil"/>
                    <w:tr2bl w:val="nil"/>
                  </w:tcBorders>
                  <w:shd w:val="clear" w:color="auto" w:fill="auto"/>
                  <w:vAlign w:val="center"/>
                </w:tcPr>
                <w:p w14:paraId="72D03C2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792" w:type="pct"/>
                  <w:tcBorders>
                    <w:tl2br w:val="nil"/>
                    <w:tr2bl w:val="nil"/>
                  </w:tcBorders>
                  <w:shd w:val="clear" w:color="auto" w:fill="auto"/>
                  <w:vAlign w:val="center"/>
                </w:tcPr>
                <w:p w14:paraId="6401C595">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不合格品</w:t>
                  </w:r>
                </w:p>
              </w:tc>
              <w:tc>
                <w:tcPr>
                  <w:tcW w:w="521" w:type="pct"/>
                  <w:tcBorders>
                    <w:tl2br w:val="nil"/>
                    <w:tr2bl w:val="nil"/>
                  </w:tcBorders>
                  <w:shd w:val="clear" w:color="auto" w:fill="auto"/>
                  <w:vAlign w:val="center"/>
                </w:tcPr>
                <w:p w14:paraId="0EFD334E">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w:t>
                  </w:r>
                </w:p>
              </w:tc>
              <w:tc>
                <w:tcPr>
                  <w:tcW w:w="816" w:type="pct"/>
                  <w:tcBorders>
                    <w:tl2br w:val="nil"/>
                    <w:tr2bl w:val="nil"/>
                  </w:tcBorders>
                  <w:shd w:val="clear" w:color="auto" w:fill="auto"/>
                  <w:vAlign w:val="center"/>
                </w:tcPr>
                <w:p w14:paraId="0D5ADCBB">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900-999-99</w:t>
                  </w:r>
                </w:p>
              </w:tc>
              <w:tc>
                <w:tcPr>
                  <w:tcW w:w="532" w:type="pct"/>
                  <w:tcBorders>
                    <w:tl2br w:val="nil"/>
                    <w:tr2bl w:val="nil"/>
                  </w:tcBorders>
                  <w:shd w:val="clear" w:color="auto" w:fill="auto"/>
                  <w:vAlign w:val="center"/>
                </w:tcPr>
                <w:p w14:paraId="2E7D3E1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25</w:t>
                  </w:r>
                </w:p>
              </w:tc>
              <w:tc>
                <w:tcPr>
                  <w:tcW w:w="1455" w:type="pct"/>
                  <w:tcBorders>
                    <w:tl2br w:val="nil"/>
                    <w:tr2bl w:val="nil"/>
                  </w:tcBorders>
                  <w:shd w:val="clear" w:color="auto" w:fill="auto"/>
                  <w:vAlign w:val="center"/>
                </w:tcPr>
                <w:p w14:paraId="02EE56C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暂存于一般固废库，定期外售给饲料生产公司</w:t>
                  </w:r>
                </w:p>
              </w:tc>
            </w:tr>
            <w:tr w14:paraId="44E39C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1" w:hRule="atLeast"/>
              </w:trPr>
              <w:tc>
                <w:tcPr>
                  <w:tcW w:w="326" w:type="pct"/>
                  <w:tcBorders>
                    <w:tl2br w:val="nil"/>
                    <w:tr2bl w:val="nil"/>
                  </w:tcBorders>
                  <w:shd w:val="clear" w:color="auto" w:fill="auto"/>
                  <w:vAlign w:val="center"/>
                </w:tcPr>
                <w:p w14:paraId="621D12DA">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rPr>
                  </w:pPr>
                  <w:r>
                    <w:rPr>
                      <w:rFonts w:hint="eastAsia" w:cs="Times New Roman"/>
                      <w:kern w:val="2"/>
                      <w:sz w:val="21"/>
                      <w:szCs w:val="21"/>
                      <w:lang w:val="en-US" w:eastAsia="zh-CN" w:bidi="ar"/>
                    </w:rPr>
                    <w:t>6</w:t>
                  </w:r>
                </w:p>
              </w:tc>
              <w:tc>
                <w:tcPr>
                  <w:tcW w:w="556" w:type="pct"/>
                  <w:vMerge w:val="continue"/>
                  <w:tcBorders>
                    <w:tl2br w:val="nil"/>
                    <w:tr2bl w:val="nil"/>
                  </w:tcBorders>
                  <w:shd w:val="clear" w:color="auto" w:fill="auto"/>
                  <w:vAlign w:val="center"/>
                </w:tcPr>
                <w:p w14:paraId="43A929B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92" w:type="pct"/>
                  <w:tcBorders>
                    <w:tl2br w:val="nil"/>
                    <w:tr2bl w:val="nil"/>
                  </w:tcBorders>
                  <w:shd w:val="clear" w:color="auto" w:fill="auto"/>
                  <w:vAlign w:val="center"/>
                </w:tcPr>
                <w:p w14:paraId="318EE6A8">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eastAsia" w:ascii="宋体" w:hAnsi="宋体" w:cs="宋体"/>
                      <w:kern w:val="2"/>
                      <w:sz w:val="21"/>
                      <w:szCs w:val="21"/>
                      <w:lang w:val="en-US" w:eastAsia="zh-CN" w:bidi="ar"/>
                    </w:rPr>
                    <w:t>地面清扫粉尘</w:t>
                  </w:r>
                </w:p>
              </w:tc>
              <w:tc>
                <w:tcPr>
                  <w:tcW w:w="521" w:type="pct"/>
                  <w:tcBorders>
                    <w:tl2br w:val="nil"/>
                    <w:tr2bl w:val="nil"/>
                  </w:tcBorders>
                  <w:shd w:val="clear" w:color="auto" w:fill="auto"/>
                  <w:vAlign w:val="center"/>
                </w:tcPr>
                <w:p w14:paraId="6C25031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SW17</w:t>
                  </w:r>
                </w:p>
              </w:tc>
              <w:tc>
                <w:tcPr>
                  <w:tcW w:w="816" w:type="pct"/>
                  <w:tcBorders>
                    <w:tl2br w:val="nil"/>
                    <w:tr2bl w:val="nil"/>
                  </w:tcBorders>
                  <w:shd w:val="clear" w:color="auto" w:fill="auto"/>
                  <w:vAlign w:val="center"/>
                </w:tcPr>
                <w:p w14:paraId="1D4B7146">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900-099-S17</w:t>
                  </w:r>
                </w:p>
              </w:tc>
              <w:tc>
                <w:tcPr>
                  <w:tcW w:w="532" w:type="pct"/>
                  <w:tcBorders>
                    <w:tl2br w:val="nil"/>
                    <w:tr2bl w:val="nil"/>
                  </w:tcBorders>
                  <w:shd w:val="clear" w:color="auto" w:fill="auto"/>
                  <w:vAlign w:val="center"/>
                </w:tcPr>
                <w:p w14:paraId="6C0C425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0.006</w:t>
                  </w:r>
                </w:p>
              </w:tc>
              <w:tc>
                <w:tcPr>
                  <w:tcW w:w="1455" w:type="pct"/>
                  <w:tcBorders>
                    <w:tl2br w:val="nil"/>
                    <w:tr2bl w:val="nil"/>
                  </w:tcBorders>
                  <w:shd w:val="clear" w:color="auto" w:fill="auto"/>
                  <w:vAlign w:val="center"/>
                </w:tcPr>
                <w:p w14:paraId="3BBA93B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暂存于一般固废库，定期外售给饲料生产公司</w:t>
                  </w:r>
                </w:p>
              </w:tc>
            </w:tr>
            <w:tr w14:paraId="46B50E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trPr>
              <w:tc>
                <w:tcPr>
                  <w:tcW w:w="326" w:type="pct"/>
                  <w:tcBorders>
                    <w:tl2br w:val="nil"/>
                    <w:tr2bl w:val="nil"/>
                  </w:tcBorders>
                  <w:shd w:val="clear" w:color="auto" w:fill="auto"/>
                  <w:vAlign w:val="center"/>
                </w:tcPr>
                <w:p w14:paraId="51DACD3F">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rPr>
                  </w:pPr>
                  <w:r>
                    <w:rPr>
                      <w:rFonts w:hint="eastAsia" w:cs="Times New Roman"/>
                      <w:kern w:val="2"/>
                      <w:sz w:val="21"/>
                      <w:szCs w:val="21"/>
                      <w:lang w:val="en-US" w:eastAsia="zh-CN" w:bidi="ar"/>
                    </w:rPr>
                    <w:t>7</w:t>
                  </w:r>
                </w:p>
              </w:tc>
              <w:tc>
                <w:tcPr>
                  <w:tcW w:w="556" w:type="pct"/>
                  <w:vMerge w:val="continue"/>
                  <w:tcBorders>
                    <w:tl2br w:val="nil"/>
                    <w:tr2bl w:val="nil"/>
                  </w:tcBorders>
                  <w:shd w:val="clear" w:color="auto" w:fill="auto"/>
                  <w:vAlign w:val="center"/>
                </w:tcPr>
                <w:p w14:paraId="3D29ED5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92" w:type="pct"/>
                  <w:tcBorders>
                    <w:tl2br w:val="nil"/>
                    <w:tr2bl w:val="nil"/>
                  </w:tcBorders>
                  <w:shd w:val="clear" w:color="auto" w:fill="auto"/>
                  <w:vAlign w:val="center"/>
                </w:tcPr>
                <w:p w14:paraId="653AD645">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污泥</w:t>
                  </w:r>
                </w:p>
              </w:tc>
              <w:tc>
                <w:tcPr>
                  <w:tcW w:w="521" w:type="pct"/>
                  <w:tcBorders>
                    <w:tl2br w:val="nil"/>
                    <w:tr2bl w:val="nil"/>
                  </w:tcBorders>
                  <w:shd w:val="clear" w:color="auto" w:fill="auto"/>
                  <w:vAlign w:val="center"/>
                </w:tcPr>
                <w:p w14:paraId="6FF4B238">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SW07 </w:t>
                  </w:r>
                </w:p>
              </w:tc>
              <w:tc>
                <w:tcPr>
                  <w:tcW w:w="816" w:type="pct"/>
                  <w:tcBorders>
                    <w:tl2br w:val="nil"/>
                    <w:tr2bl w:val="nil"/>
                  </w:tcBorders>
                  <w:shd w:val="clear" w:color="auto" w:fill="auto"/>
                  <w:vAlign w:val="center"/>
                </w:tcPr>
                <w:p w14:paraId="389F5A13">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140-001-S07</w:t>
                  </w:r>
                </w:p>
              </w:tc>
              <w:tc>
                <w:tcPr>
                  <w:tcW w:w="532" w:type="pct"/>
                  <w:tcBorders>
                    <w:tl2br w:val="nil"/>
                    <w:tr2bl w:val="nil"/>
                  </w:tcBorders>
                  <w:shd w:val="clear" w:color="auto" w:fill="auto"/>
                  <w:vAlign w:val="center"/>
                </w:tcPr>
                <w:p w14:paraId="6A02BF8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0.05</w:t>
                  </w:r>
                </w:p>
              </w:tc>
              <w:tc>
                <w:tcPr>
                  <w:tcW w:w="1455" w:type="pct"/>
                  <w:tcBorders>
                    <w:tl2br w:val="nil"/>
                    <w:tr2bl w:val="nil"/>
                  </w:tcBorders>
                  <w:shd w:val="clear" w:color="auto" w:fill="auto"/>
                  <w:vAlign w:val="center"/>
                </w:tcPr>
                <w:p w14:paraId="6EB4425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委托环卫部门定期清运</w:t>
                  </w:r>
                </w:p>
              </w:tc>
            </w:tr>
            <w:tr w14:paraId="78FB89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1" w:hRule="atLeast"/>
              </w:trPr>
              <w:tc>
                <w:tcPr>
                  <w:tcW w:w="326" w:type="pct"/>
                  <w:tcBorders>
                    <w:tl2br w:val="nil"/>
                    <w:tr2bl w:val="nil"/>
                  </w:tcBorders>
                  <w:shd w:val="clear" w:color="auto" w:fill="auto"/>
                  <w:vAlign w:val="center"/>
                </w:tcPr>
                <w:p w14:paraId="5FA5C8F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8</w:t>
                  </w:r>
                </w:p>
              </w:tc>
              <w:tc>
                <w:tcPr>
                  <w:tcW w:w="556" w:type="pct"/>
                  <w:vMerge w:val="restart"/>
                  <w:tcBorders>
                    <w:tl2br w:val="nil"/>
                    <w:tr2bl w:val="nil"/>
                  </w:tcBorders>
                  <w:shd w:val="clear" w:color="auto" w:fill="auto"/>
                  <w:vAlign w:val="center"/>
                </w:tcPr>
                <w:p w14:paraId="0A1F01E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生活垃圾</w:t>
                  </w:r>
                </w:p>
              </w:tc>
              <w:tc>
                <w:tcPr>
                  <w:tcW w:w="792" w:type="pct"/>
                  <w:tcBorders>
                    <w:tl2br w:val="nil"/>
                    <w:tr2bl w:val="nil"/>
                  </w:tcBorders>
                  <w:shd w:val="clear" w:color="auto" w:fill="auto"/>
                  <w:vAlign w:val="center"/>
                </w:tcPr>
                <w:p w14:paraId="5C22EAB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废毛巾</w:t>
                  </w:r>
                </w:p>
              </w:tc>
              <w:tc>
                <w:tcPr>
                  <w:tcW w:w="521" w:type="pct"/>
                  <w:tcBorders>
                    <w:tl2br w:val="nil"/>
                    <w:tr2bl w:val="nil"/>
                  </w:tcBorders>
                  <w:shd w:val="clear" w:color="auto" w:fill="auto"/>
                  <w:vAlign w:val="center"/>
                </w:tcPr>
                <w:p w14:paraId="5CE2D534">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SW64</w:t>
                  </w:r>
                </w:p>
              </w:tc>
              <w:tc>
                <w:tcPr>
                  <w:tcW w:w="816" w:type="pct"/>
                  <w:tcBorders>
                    <w:tl2br w:val="nil"/>
                    <w:tr2bl w:val="nil"/>
                  </w:tcBorders>
                  <w:shd w:val="clear" w:color="auto" w:fill="auto"/>
                  <w:vAlign w:val="center"/>
                </w:tcPr>
                <w:p w14:paraId="52DA08C5">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900-099-S64</w:t>
                  </w:r>
                </w:p>
              </w:tc>
              <w:tc>
                <w:tcPr>
                  <w:tcW w:w="532" w:type="pct"/>
                  <w:tcBorders>
                    <w:tl2br w:val="nil"/>
                    <w:tr2bl w:val="nil"/>
                  </w:tcBorders>
                  <w:shd w:val="clear" w:color="auto" w:fill="auto"/>
                  <w:vAlign w:val="center"/>
                </w:tcPr>
                <w:p w14:paraId="6EFB0F8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0.03</w:t>
                  </w:r>
                </w:p>
              </w:tc>
              <w:tc>
                <w:tcPr>
                  <w:tcW w:w="1455" w:type="pct"/>
                  <w:tcBorders>
                    <w:tl2br w:val="nil"/>
                    <w:tr2bl w:val="nil"/>
                  </w:tcBorders>
                  <w:shd w:val="clear" w:color="auto" w:fill="auto"/>
                  <w:vAlign w:val="center"/>
                </w:tcPr>
                <w:p w14:paraId="14AB8F8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暂存于一般固废库，委托环卫部门定期清运</w:t>
                  </w:r>
                </w:p>
              </w:tc>
            </w:tr>
            <w:tr w14:paraId="565BB0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1" w:hRule="atLeast"/>
              </w:trPr>
              <w:tc>
                <w:tcPr>
                  <w:tcW w:w="326" w:type="pct"/>
                  <w:tcBorders>
                    <w:tl2br w:val="nil"/>
                    <w:tr2bl w:val="nil"/>
                  </w:tcBorders>
                  <w:shd w:val="clear" w:color="auto" w:fill="auto"/>
                  <w:vAlign w:val="center"/>
                </w:tcPr>
                <w:p w14:paraId="2BF09D0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9</w:t>
                  </w:r>
                </w:p>
              </w:tc>
              <w:tc>
                <w:tcPr>
                  <w:tcW w:w="556" w:type="pct"/>
                  <w:vMerge w:val="continue"/>
                  <w:tcBorders>
                    <w:tl2br w:val="nil"/>
                    <w:tr2bl w:val="nil"/>
                  </w:tcBorders>
                  <w:shd w:val="clear" w:color="auto" w:fill="auto"/>
                  <w:vAlign w:val="center"/>
                </w:tcPr>
                <w:p w14:paraId="701E37D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92" w:type="pct"/>
                  <w:tcBorders>
                    <w:tl2br w:val="nil"/>
                    <w:tr2bl w:val="nil"/>
                  </w:tcBorders>
                  <w:shd w:val="clear" w:color="auto" w:fill="auto"/>
                  <w:vAlign w:val="center"/>
                </w:tcPr>
                <w:p w14:paraId="36DADEDB">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生活垃圾</w:t>
                  </w:r>
                </w:p>
              </w:tc>
              <w:tc>
                <w:tcPr>
                  <w:tcW w:w="521" w:type="pct"/>
                  <w:tcBorders>
                    <w:tl2br w:val="nil"/>
                    <w:tr2bl w:val="nil"/>
                  </w:tcBorders>
                  <w:shd w:val="clear" w:color="auto" w:fill="auto"/>
                  <w:vAlign w:val="center"/>
                </w:tcPr>
                <w:p w14:paraId="5BAAE40E">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SW64</w:t>
                  </w:r>
                </w:p>
              </w:tc>
              <w:tc>
                <w:tcPr>
                  <w:tcW w:w="816" w:type="pct"/>
                  <w:tcBorders>
                    <w:tl2br w:val="nil"/>
                    <w:tr2bl w:val="nil"/>
                  </w:tcBorders>
                  <w:shd w:val="clear" w:color="auto" w:fill="auto"/>
                  <w:vAlign w:val="center"/>
                </w:tcPr>
                <w:p w14:paraId="68328965">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900-099-S64</w:t>
                  </w:r>
                </w:p>
              </w:tc>
              <w:tc>
                <w:tcPr>
                  <w:tcW w:w="532" w:type="pct"/>
                  <w:tcBorders>
                    <w:tl2br w:val="nil"/>
                    <w:tr2bl w:val="nil"/>
                  </w:tcBorders>
                  <w:shd w:val="clear" w:color="auto" w:fill="auto"/>
                  <w:vAlign w:val="center"/>
                </w:tcPr>
                <w:p w14:paraId="7320F04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9.375</w:t>
                  </w:r>
                </w:p>
              </w:tc>
              <w:tc>
                <w:tcPr>
                  <w:tcW w:w="1455" w:type="pct"/>
                  <w:tcBorders>
                    <w:tl2br w:val="nil"/>
                    <w:tr2bl w:val="nil"/>
                  </w:tcBorders>
                  <w:shd w:val="clear" w:color="auto" w:fill="auto"/>
                  <w:vAlign w:val="center"/>
                </w:tcPr>
                <w:p w14:paraId="5211A1F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暂存于一般固废库，委托环卫部门定期清运</w:t>
                  </w:r>
                </w:p>
              </w:tc>
            </w:tr>
          </w:tbl>
          <w:p w14:paraId="6A2A69D9">
            <w:pPr>
              <w:keepNext w:val="0"/>
              <w:keepLines w:val="0"/>
              <w:suppressLineNumbers w:val="0"/>
              <w:tabs>
                <w:tab w:val="left" w:pos="8945"/>
              </w:tabs>
              <w:adjustRightInd w:val="0"/>
              <w:snapToGrid w:val="0"/>
              <w:spacing w:before="0" w:beforeAutospacing="0" w:after="0" w:afterAutospacing="0"/>
              <w:ind w:left="0" w:right="0"/>
              <w:jc w:val="center"/>
              <w:rPr>
                <w:rFonts w:hint="default"/>
                <w:b/>
                <w:bCs/>
                <w:sz w:val="24"/>
              </w:rPr>
            </w:pPr>
          </w:p>
          <w:p w14:paraId="17ACA9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sz w:val="24"/>
                <w:szCs w:val="24"/>
                <w:lang w:val="en-US"/>
              </w:rPr>
            </w:pPr>
            <w:r>
              <w:rPr>
                <w:rFonts w:hint="eastAsia" w:ascii="Times New Roman" w:hAnsi="Times New Roman" w:cs="Times New Roman"/>
                <w:b/>
                <w:bCs/>
                <w:color w:val="000000"/>
                <w:sz w:val="24"/>
                <w:szCs w:val="24"/>
                <w:lang w:val="en-US" w:eastAsia="zh-CN"/>
              </w:rPr>
              <w:t>3</w:t>
            </w:r>
            <w:r>
              <w:rPr>
                <w:rFonts w:hint="default" w:ascii="Times New Roman" w:hAnsi="Times New Roman" w:cs="Times New Roman"/>
                <w:b/>
                <w:bCs/>
                <w:color w:val="000000"/>
                <w:sz w:val="24"/>
                <w:szCs w:val="24"/>
                <w:lang w:val="en-US" w:eastAsia="zh-CN"/>
              </w:rPr>
              <w:t>、</w:t>
            </w:r>
            <w:r>
              <w:rPr>
                <w:rFonts w:hint="default" w:ascii="Times New Roman" w:hAnsi="Times New Roman" w:cs="Times New Roman"/>
                <w:b/>
                <w:bCs/>
                <w:color w:val="000000"/>
                <w:sz w:val="24"/>
                <w:szCs w:val="24"/>
              </w:rPr>
              <w:t>现有工程存在的环境问题</w:t>
            </w:r>
            <w:r>
              <w:rPr>
                <w:rFonts w:hint="default" w:ascii="Times New Roman" w:hAnsi="Times New Roman" w:cs="Times New Roman"/>
                <w:b/>
                <w:bCs/>
                <w:color w:val="000000"/>
                <w:sz w:val="24"/>
                <w:szCs w:val="24"/>
                <w:lang w:eastAsia="zh-CN"/>
              </w:rPr>
              <w:t>及整改措施</w:t>
            </w:r>
          </w:p>
          <w:p w14:paraId="6250BE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现有环境问题</w:t>
            </w:r>
            <w:r>
              <w:rPr>
                <w:rFonts w:hint="default" w:ascii="Times New Roman" w:hAnsi="Times New Roman" w:cs="Times New Roman"/>
                <w:sz w:val="24"/>
                <w:szCs w:val="24"/>
                <w:lang w:val="en-US" w:eastAsia="zh-CN"/>
              </w:rPr>
              <w:t>：</w:t>
            </w:r>
          </w:p>
          <w:p w14:paraId="42EE50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000000"/>
                <w:sz w:val="24"/>
                <w:szCs w:val="24"/>
                <w:lang w:val="en-US" w:eastAsia="zh-CN"/>
              </w:rPr>
            </w:pPr>
            <w:r>
              <w:rPr>
                <w:rFonts w:hint="eastAsia" w:cs="Times New Roman"/>
                <w:b w:val="0"/>
                <w:bCs w:val="0"/>
                <w:color w:val="000000"/>
                <w:sz w:val="24"/>
                <w:szCs w:val="24"/>
                <w:lang w:val="en-US" w:eastAsia="zh-CN"/>
              </w:rPr>
              <w:t>（1）</w:t>
            </w:r>
            <w:r>
              <w:rPr>
                <w:rFonts w:hint="default" w:ascii="Times New Roman" w:hAnsi="Times New Roman" w:cs="Times New Roman"/>
                <w:color w:val="000000"/>
                <w:sz w:val="24"/>
              </w:rPr>
              <w:t>现有工程未按照《排污单位自行监测技术指南 食品制造》（HJ1084-2020）</w:t>
            </w:r>
            <w:r>
              <w:rPr>
                <w:rFonts w:hint="eastAsia" w:cs="Times New Roman"/>
                <w:color w:val="000000"/>
                <w:sz w:val="24"/>
                <w:lang w:val="en-US" w:eastAsia="zh-CN"/>
              </w:rPr>
              <w:t>要求</w:t>
            </w:r>
            <w:r>
              <w:rPr>
                <w:rFonts w:hint="eastAsia" w:ascii="Times New Roman" w:hAnsi="Times New Roman" w:cs="Times New Roman"/>
                <w:color w:val="000000"/>
                <w:sz w:val="24"/>
                <w:lang w:val="en-US" w:eastAsia="zh-CN"/>
              </w:rPr>
              <w:t>进行</w:t>
            </w:r>
            <w:r>
              <w:rPr>
                <w:rFonts w:hint="default" w:ascii="Times New Roman" w:hAnsi="Times New Roman" w:cs="Times New Roman"/>
                <w:color w:val="000000"/>
                <w:sz w:val="24"/>
              </w:rPr>
              <w:t>例行监测</w:t>
            </w:r>
            <w:r>
              <w:rPr>
                <w:rFonts w:hint="eastAsia" w:ascii="Times New Roman" w:hAnsi="Times New Roman" w:cs="Times New Roman"/>
                <w:color w:val="000000"/>
                <w:sz w:val="24"/>
                <w:lang w:eastAsia="zh-CN"/>
              </w:rPr>
              <w:t>；</w:t>
            </w:r>
          </w:p>
          <w:p w14:paraId="63104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sz w:val="24"/>
                <w:lang w:val="en-US" w:eastAsia="zh-CN"/>
              </w:rPr>
            </w:pPr>
            <w:r>
              <w:rPr>
                <w:rFonts w:hint="default" w:ascii="Times New Roman" w:hAnsi="Times New Roman" w:cs="Times New Roman"/>
                <w:sz w:val="24"/>
                <w:lang w:eastAsia="zh-CN"/>
              </w:rPr>
              <w:t>（</w:t>
            </w:r>
            <w:r>
              <w:rPr>
                <w:rFonts w:hint="eastAsia" w:cs="Times New Roman"/>
                <w:sz w:val="24"/>
                <w:lang w:val="en-US" w:eastAsia="zh-CN"/>
              </w:rPr>
              <w:t>2</w:t>
            </w:r>
            <w:r>
              <w:rPr>
                <w:rFonts w:hint="default" w:ascii="Times New Roman" w:hAnsi="Times New Roman" w:cs="Times New Roman"/>
                <w:sz w:val="24"/>
                <w:lang w:val="en-US" w:eastAsia="zh-CN"/>
              </w:rPr>
              <w:t>）</w:t>
            </w:r>
            <w:r>
              <w:rPr>
                <w:rFonts w:hint="eastAsia" w:cs="Times New Roman"/>
                <w:sz w:val="24"/>
                <w:lang w:val="en-US" w:eastAsia="zh-CN"/>
              </w:rPr>
              <w:t>一般固废库</w:t>
            </w:r>
            <w:r>
              <w:rPr>
                <w:rFonts w:hint="default" w:ascii="Times New Roman" w:hAnsi="Times New Roman" w:cs="Times New Roman"/>
                <w:sz w:val="24"/>
                <w:lang w:val="en-US" w:eastAsia="zh-CN"/>
              </w:rPr>
              <w:t>未设置标识标牌</w:t>
            </w:r>
            <w:r>
              <w:rPr>
                <w:rFonts w:hint="eastAsia" w:ascii="Times New Roman" w:hAnsi="Times New Roman" w:cs="Times New Roman"/>
                <w:sz w:val="24"/>
                <w:lang w:val="en-US" w:eastAsia="zh-CN"/>
              </w:rPr>
              <w:t>；</w:t>
            </w:r>
          </w:p>
          <w:p w14:paraId="2E1353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sz w:val="24"/>
                <w:lang w:val="en-US" w:eastAsia="zh-CN"/>
              </w:rPr>
            </w:pPr>
            <w:r>
              <w:rPr>
                <w:rFonts w:hint="default" w:ascii="Times New Roman" w:hAnsi="Times New Roman" w:cs="Times New Roman"/>
                <w:sz w:val="24"/>
                <w:lang w:val="en-US" w:eastAsia="zh-CN"/>
              </w:rPr>
              <w:t>（</w:t>
            </w:r>
            <w:r>
              <w:rPr>
                <w:rFonts w:hint="eastAsia" w:cs="Times New Roman"/>
                <w:sz w:val="24"/>
                <w:lang w:val="en-US" w:eastAsia="zh-CN"/>
              </w:rPr>
              <w:t>3</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企业</w:t>
            </w:r>
            <w:r>
              <w:rPr>
                <w:rFonts w:hint="default" w:ascii="Times New Roman" w:hAnsi="Times New Roman" w:cs="Times New Roman"/>
                <w:sz w:val="24"/>
                <w:lang w:val="en-US" w:eastAsia="zh-CN"/>
              </w:rPr>
              <w:t>相关台账内容</w:t>
            </w:r>
            <w:r>
              <w:rPr>
                <w:rFonts w:hint="eastAsia" w:ascii="Times New Roman" w:hAnsi="Times New Roman" w:cs="Times New Roman"/>
                <w:sz w:val="24"/>
                <w:lang w:val="en-US" w:eastAsia="zh-CN"/>
              </w:rPr>
              <w:t>不完善；</w:t>
            </w:r>
          </w:p>
          <w:p w14:paraId="7AA92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w:t>
            </w:r>
            <w:r>
              <w:rPr>
                <w:rFonts w:hint="eastAsia" w:cs="Times New Roman"/>
                <w:sz w:val="24"/>
                <w:lang w:val="en-US" w:eastAsia="zh-CN"/>
              </w:rPr>
              <w:t>4</w:t>
            </w:r>
            <w:r>
              <w:rPr>
                <w:rFonts w:hint="eastAsia" w:ascii="Times New Roman" w:hAnsi="Times New Roman" w:cs="Times New Roman"/>
                <w:sz w:val="24"/>
                <w:lang w:val="en-US" w:eastAsia="zh-CN"/>
              </w:rPr>
              <w:t>）现有实验室已于2023年被</w:t>
            </w:r>
            <w:r>
              <w:rPr>
                <w:rFonts w:hint="eastAsia" w:ascii="Times New Roman" w:hAnsi="Times New Roman" w:cs="Times New Roman"/>
                <w:sz w:val="24"/>
              </w:rPr>
              <w:t>淮北雷曼检验检测服务有限公司</w:t>
            </w:r>
            <w:r>
              <w:rPr>
                <w:rFonts w:hint="eastAsia" w:ascii="Times New Roman" w:hAnsi="Times New Roman" w:cs="Times New Roman"/>
                <w:sz w:val="24"/>
                <w:lang w:val="en-US" w:eastAsia="zh-CN"/>
              </w:rPr>
              <w:t>收购，独立经营，企业未及时开展应急预案修编工作。</w:t>
            </w:r>
          </w:p>
          <w:p w14:paraId="2201E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本环评将针对现有工程存在的环境问题提出以下整改要求：</w:t>
            </w:r>
          </w:p>
          <w:p w14:paraId="31747DFF">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sz w:val="24"/>
                <w:szCs w:val="24"/>
                <w:lang w:val="en-US" w:eastAsia="zh-CN"/>
              </w:rPr>
            </w:pPr>
            <w:r>
              <w:rPr>
                <w:rFonts w:hint="eastAsia" w:ascii="Times New Roman" w:hAnsi="Times New Roman" w:cs="Times New Roman"/>
                <w:sz w:val="24"/>
                <w:szCs w:val="24"/>
                <w:lang w:val="en-US" w:eastAsia="zh-CN"/>
              </w:rPr>
              <w:t>环评要求按照《排污单位自行监测技术指南 食品制造》完善例行监测</w:t>
            </w:r>
            <w:r>
              <w:rPr>
                <w:rFonts w:hint="eastAsia" w:cs="Times New Roman"/>
                <w:sz w:val="24"/>
                <w:szCs w:val="24"/>
                <w:lang w:val="en-US" w:eastAsia="zh-CN"/>
              </w:rPr>
              <w:t>；</w:t>
            </w:r>
          </w:p>
          <w:p w14:paraId="4B0A424D">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一般</w:t>
            </w:r>
            <w:r>
              <w:rPr>
                <w:rFonts w:hint="eastAsia" w:cs="Times New Roman"/>
                <w:sz w:val="24"/>
                <w:szCs w:val="24"/>
                <w:lang w:val="en-US" w:eastAsia="zh-CN"/>
              </w:rPr>
              <w:t>固废库需</w:t>
            </w:r>
            <w:r>
              <w:rPr>
                <w:rFonts w:hint="default" w:ascii="Times New Roman" w:hAnsi="Times New Roman" w:cs="Times New Roman"/>
                <w:sz w:val="24"/>
                <w:szCs w:val="24"/>
                <w:lang w:val="en-US" w:eastAsia="zh-CN"/>
              </w:rPr>
              <w:t>设置环保标识标牌</w:t>
            </w:r>
            <w:r>
              <w:rPr>
                <w:rFonts w:hint="eastAsia" w:cs="Times New Roman"/>
                <w:sz w:val="24"/>
                <w:szCs w:val="24"/>
                <w:lang w:val="en-US" w:eastAsia="zh-CN"/>
              </w:rPr>
              <w:t>；</w:t>
            </w:r>
          </w:p>
          <w:p w14:paraId="3B9EADF8">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完善电子台账及纸质台账记录</w:t>
            </w:r>
            <w:r>
              <w:rPr>
                <w:rFonts w:hint="eastAsia" w:cs="Times New Roman"/>
                <w:sz w:val="24"/>
                <w:szCs w:val="24"/>
                <w:lang w:val="en-US" w:eastAsia="zh-CN"/>
              </w:rPr>
              <w:t>；</w:t>
            </w:r>
          </w:p>
          <w:p w14:paraId="72E7A0F6">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本项目完成后应进行全厂排污许可登记，并及时修编应急预案。</w:t>
            </w:r>
          </w:p>
          <w:p w14:paraId="0F77185F">
            <w:pPr>
              <w:keepNext w:val="0"/>
              <w:keepLines w:val="0"/>
              <w:suppressLineNumbers w:val="0"/>
              <w:tabs>
                <w:tab w:val="left" w:pos="8945"/>
              </w:tabs>
              <w:adjustRightInd w:val="0"/>
              <w:snapToGrid w:val="0"/>
              <w:spacing w:before="0" w:beforeAutospacing="0" w:after="0" w:afterAutospacing="0"/>
              <w:ind w:left="0" w:right="0"/>
              <w:jc w:val="center"/>
              <w:rPr>
                <w:rFonts w:hint="default"/>
                <w:b/>
                <w:bCs/>
                <w:sz w:val="24"/>
              </w:rPr>
            </w:pPr>
            <w:r>
              <w:rPr>
                <w:rFonts w:hint="default"/>
                <w:b/>
                <w:bCs/>
                <w:sz w:val="24"/>
              </w:rPr>
              <w:t>表</w:t>
            </w:r>
            <w:r>
              <w:rPr>
                <w:rFonts w:hint="eastAsia"/>
                <w:b/>
                <w:bCs/>
                <w:sz w:val="24"/>
              </w:rPr>
              <w:t>2</w:t>
            </w:r>
            <w:r>
              <w:rPr>
                <w:rFonts w:hint="default"/>
                <w:b/>
                <w:bCs/>
                <w:sz w:val="24"/>
              </w:rPr>
              <w:t>-</w:t>
            </w:r>
            <w:r>
              <w:rPr>
                <w:rFonts w:hint="eastAsia"/>
                <w:b/>
                <w:bCs/>
                <w:sz w:val="24"/>
                <w:lang w:val="en-US" w:eastAsia="zh-CN"/>
              </w:rPr>
              <w:t xml:space="preserve">12  </w:t>
            </w:r>
            <w:r>
              <w:rPr>
                <w:rFonts w:hint="default"/>
                <w:b/>
                <w:bCs/>
                <w:sz w:val="24"/>
              </w:rPr>
              <w:t>现有</w:t>
            </w:r>
            <w:r>
              <w:rPr>
                <w:rFonts w:hint="eastAsia"/>
                <w:b/>
                <w:bCs/>
                <w:sz w:val="24"/>
                <w:lang w:val="en-US" w:eastAsia="zh-CN"/>
              </w:rPr>
              <w:t>工程存在环境问题及整改情况</w:t>
            </w:r>
            <w:r>
              <w:rPr>
                <w:rFonts w:hint="default"/>
                <w:b/>
                <w:bCs/>
                <w:sz w:val="24"/>
              </w:rPr>
              <w:t>一览表 (t/a)</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20"/>
              <w:gridCol w:w="3167"/>
              <w:gridCol w:w="2760"/>
              <w:gridCol w:w="1382"/>
            </w:tblGrid>
            <w:tr w14:paraId="3366E3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4" w:type="pct"/>
                  <w:tcBorders>
                    <w:tl2br w:val="nil"/>
                    <w:tr2bl w:val="nil"/>
                  </w:tcBorders>
                  <w:vAlign w:val="center"/>
                </w:tcPr>
                <w:p w14:paraId="306F3609">
                  <w:pPr>
                    <w:pStyle w:val="35"/>
                    <w:keepNext w:val="0"/>
                    <w:keepLines w:val="0"/>
                    <w:suppressLineNumbers w:val="0"/>
                    <w:spacing w:beforeAutospacing="0" w:afterAutospacing="0"/>
                    <w:ind w:left="0"/>
                    <w:jc w:val="center"/>
                    <w:rPr>
                      <w:rFonts w:hint="default"/>
                      <w:b/>
                      <w:bCs/>
                      <w:vertAlign w:val="baseline"/>
                      <w:lang w:val="en-US" w:eastAsia="zh-CN"/>
                    </w:rPr>
                  </w:pPr>
                  <w:r>
                    <w:rPr>
                      <w:rFonts w:hint="eastAsia"/>
                      <w:b/>
                      <w:bCs/>
                      <w:vertAlign w:val="baseline"/>
                      <w:lang w:val="en-US" w:eastAsia="zh-CN"/>
                    </w:rPr>
                    <w:t>序号</w:t>
                  </w:r>
                </w:p>
              </w:tc>
              <w:tc>
                <w:tcPr>
                  <w:tcW w:w="1947" w:type="pct"/>
                  <w:tcBorders>
                    <w:tl2br w:val="nil"/>
                    <w:tr2bl w:val="nil"/>
                  </w:tcBorders>
                  <w:vAlign w:val="center"/>
                </w:tcPr>
                <w:p w14:paraId="29F9C8BC">
                  <w:pPr>
                    <w:pStyle w:val="35"/>
                    <w:keepNext w:val="0"/>
                    <w:keepLines w:val="0"/>
                    <w:suppressLineNumbers w:val="0"/>
                    <w:spacing w:beforeAutospacing="0" w:afterAutospacing="0"/>
                    <w:ind w:left="0"/>
                    <w:jc w:val="center"/>
                    <w:rPr>
                      <w:rFonts w:hint="default"/>
                      <w:b/>
                      <w:bCs/>
                      <w:vertAlign w:val="baseline"/>
                      <w:lang w:val="en-US" w:eastAsia="zh-CN"/>
                    </w:rPr>
                  </w:pPr>
                  <w:r>
                    <w:rPr>
                      <w:rFonts w:hint="eastAsia"/>
                      <w:b/>
                      <w:bCs/>
                      <w:vertAlign w:val="baseline"/>
                      <w:lang w:val="en-US" w:eastAsia="zh-CN"/>
                    </w:rPr>
                    <w:t>环境问题</w:t>
                  </w:r>
                </w:p>
              </w:tc>
              <w:tc>
                <w:tcPr>
                  <w:tcW w:w="1697" w:type="pct"/>
                  <w:tcBorders>
                    <w:tl2br w:val="nil"/>
                    <w:tr2bl w:val="nil"/>
                  </w:tcBorders>
                  <w:vAlign w:val="center"/>
                </w:tcPr>
                <w:p w14:paraId="125C1C4A">
                  <w:pPr>
                    <w:pStyle w:val="35"/>
                    <w:keepNext w:val="0"/>
                    <w:keepLines w:val="0"/>
                    <w:suppressLineNumbers w:val="0"/>
                    <w:spacing w:beforeAutospacing="0" w:afterAutospacing="0"/>
                    <w:ind w:left="0"/>
                    <w:jc w:val="center"/>
                    <w:rPr>
                      <w:rFonts w:hint="default"/>
                      <w:b/>
                      <w:bCs/>
                      <w:vertAlign w:val="baseline"/>
                      <w:lang w:val="en-US" w:eastAsia="zh-CN"/>
                    </w:rPr>
                  </w:pPr>
                  <w:r>
                    <w:rPr>
                      <w:rFonts w:hint="eastAsia"/>
                      <w:b/>
                      <w:bCs/>
                      <w:vertAlign w:val="baseline"/>
                      <w:lang w:val="en-US" w:eastAsia="zh-CN"/>
                    </w:rPr>
                    <w:t>整改要求</w:t>
                  </w:r>
                </w:p>
              </w:tc>
              <w:tc>
                <w:tcPr>
                  <w:tcW w:w="850" w:type="pct"/>
                  <w:tcBorders>
                    <w:tl2br w:val="nil"/>
                    <w:tr2bl w:val="nil"/>
                  </w:tcBorders>
                  <w:vAlign w:val="center"/>
                </w:tcPr>
                <w:p w14:paraId="037D43EE">
                  <w:pPr>
                    <w:pStyle w:val="35"/>
                    <w:keepNext w:val="0"/>
                    <w:keepLines w:val="0"/>
                    <w:suppressLineNumbers w:val="0"/>
                    <w:spacing w:beforeAutospacing="0" w:afterAutospacing="0"/>
                    <w:ind w:left="0"/>
                    <w:jc w:val="center"/>
                    <w:rPr>
                      <w:rFonts w:hint="default"/>
                      <w:b/>
                      <w:bCs/>
                      <w:vertAlign w:val="baseline"/>
                      <w:lang w:val="en-US" w:eastAsia="zh-CN"/>
                    </w:rPr>
                  </w:pPr>
                  <w:r>
                    <w:rPr>
                      <w:rFonts w:hint="eastAsia"/>
                      <w:b/>
                      <w:bCs/>
                      <w:vertAlign w:val="baseline"/>
                      <w:lang w:val="en-US" w:eastAsia="zh-CN"/>
                    </w:rPr>
                    <w:t>整改期限</w:t>
                  </w:r>
                </w:p>
              </w:tc>
            </w:tr>
            <w:tr w14:paraId="7E3D68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4" w:type="pct"/>
                  <w:tcBorders>
                    <w:tl2br w:val="nil"/>
                    <w:tr2bl w:val="nil"/>
                  </w:tcBorders>
                  <w:vAlign w:val="center"/>
                </w:tcPr>
                <w:p w14:paraId="41476A75">
                  <w:pPr>
                    <w:pStyle w:val="35"/>
                    <w:keepNext w:val="0"/>
                    <w:keepLines w:val="0"/>
                    <w:suppressLineNumbers w:val="0"/>
                    <w:spacing w:beforeAutospacing="0" w:afterAutospacing="0"/>
                    <w:ind w:left="0"/>
                    <w:jc w:val="center"/>
                    <w:rPr>
                      <w:rFonts w:hint="default"/>
                      <w:vertAlign w:val="baseline"/>
                      <w:lang w:val="en-US" w:eastAsia="zh-CN"/>
                    </w:rPr>
                  </w:pPr>
                  <w:r>
                    <w:rPr>
                      <w:rFonts w:hint="eastAsia"/>
                      <w:vertAlign w:val="baseline"/>
                      <w:lang w:val="en-US" w:eastAsia="zh-CN"/>
                    </w:rPr>
                    <w:t>1</w:t>
                  </w:r>
                </w:p>
              </w:tc>
              <w:tc>
                <w:tcPr>
                  <w:tcW w:w="1947" w:type="pct"/>
                  <w:tcBorders>
                    <w:tl2br w:val="nil"/>
                    <w:tr2bl w:val="nil"/>
                  </w:tcBorders>
                  <w:vAlign w:val="center"/>
                </w:tcPr>
                <w:p w14:paraId="14B8C0E5">
                  <w:pPr>
                    <w:pStyle w:val="35"/>
                    <w:keepNext w:val="0"/>
                    <w:keepLines w:val="0"/>
                    <w:suppressLineNumbers w:val="0"/>
                    <w:spacing w:beforeAutospacing="0" w:afterAutospacing="0"/>
                    <w:ind w:left="0"/>
                    <w:jc w:val="center"/>
                    <w:rPr>
                      <w:rFonts w:hint="default"/>
                      <w:vertAlign w:val="baseline"/>
                      <w:lang w:val="en-US" w:eastAsia="zh-CN"/>
                    </w:rPr>
                  </w:pPr>
                  <w:r>
                    <w:rPr>
                      <w:rFonts w:hint="eastAsia"/>
                    </w:rPr>
                    <w:t>现有工程未按照《排污单位自行监测技术指南 食品制造》（HJ1084-2020）要求进行例行监测</w:t>
                  </w:r>
                </w:p>
              </w:tc>
              <w:tc>
                <w:tcPr>
                  <w:tcW w:w="1697" w:type="pct"/>
                  <w:tcBorders>
                    <w:tl2br w:val="nil"/>
                    <w:tr2bl w:val="nil"/>
                  </w:tcBorders>
                  <w:vAlign w:val="center"/>
                </w:tcPr>
                <w:p w14:paraId="421CB21D">
                  <w:pPr>
                    <w:pStyle w:val="35"/>
                    <w:keepNext w:val="0"/>
                    <w:keepLines w:val="0"/>
                    <w:suppressLineNumbers w:val="0"/>
                    <w:spacing w:beforeAutospacing="0" w:afterAutospacing="0"/>
                    <w:ind w:left="0"/>
                    <w:jc w:val="center"/>
                    <w:rPr>
                      <w:rFonts w:hint="default"/>
                      <w:vertAlign w:val="baseline"/>
                      <w:lang w:val="en-US" w:eastAsia="zh-CN"/>
                    </w:rPr>
                  </w:pPr>
                  <w:r>
                    <w:rPr>
                      <w:rFonts w:hint="eastAsia"/>
                    </w:rPr>
                    <w:t>环评要求按照《排污单位自行监测技术指南 食品制造》完善例行监测</w:t>
                  </w:r>
                </w:p>
              </w:tc>
              <w:tc>
                <w:tcPr>
                  <w:tcW w:w="850" w:type="pct"/>
                  <w:tcBorders>
                    <w:tl2br w:val="nil"/>
                    <w:tr2bl w:val="nil"/>
                  </w:tcBorders>
                  <w:vAlign w:val="center"/>
                </w:tcPr>
                <w:p w14:paraId="3E41F77A">
                  <w:pPr>
                    <w:pStyle w:val="35"/>
                    <w:keepNext w:val="0"/>
                    <w:keepLines w:val="0"/>
                    <w:suppressLineNumbers w:val="0"/>
                    <w:spacing w:beforeAutospacing="0" w:afterAutospacing="0"/>
                    <w:ind w:left="0"/>
                    <w:jc w:val="center"/>
                    <w:rPr>
                      <w:rFonts w:hint="default"/>
                      <w:vertAlign w:val="baseline"/>
                      <w:lang w:val="en-US" w:eastAsia="zh-CN"/>
                    </w:rPr>
                  </w:pPr>
                  <w:r>
                    <w:rPr>
                      <w:rFonts w:hint="eastAsia"/>
                      <w:vertAlign w:val="baseline"/>
                      <w:lang w:val="en-US" w:eastAsia="zh-CN"/>
                    </w:rPr>
                    <w:t>长期执行</w:t>
                  </w:r>
                </w:p>
              </w:tc>
            </w:tr>
            <w:tr w14:paraId="5B802B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4" w:type="pct"/>
                  <w:tcBorders>
                    <w:tl2br w:val="nil"/>
                    <w:tr2bl w:val="nil"/>
                  </w:tcBorders>
                  <w:vAlign w:val="center"/>
                </w:tcPr>
                <w:p w14:paraId="43E8DD35">
                  <w:pPr>
                    <w:pStyle w:val="35"/>
                    <w:keepNext w:val="0"/>
                    <w:keepLines w:val="0"/>
                    <w:suppressLineNumbers w:val="0"/>
                    <w:spacing w:beforeAutospacing="0" w:afterAutospacing="0"/>
                    <w:ind w:left="0"/>
                    <w:jc w:val="center"/>
                    <w:rPr>
                      <w:rFonts w:hint="default"/>
                      <w:vertAlign w:val="baseline"/>
                      <w:lang w:val="en-US" w:eastAsia="zh-CN"/>
                    </w:rPr>
                  </w:pPr>
                  <w:r>
                    <w:rPr>
                      <w:rFonts w:hint="eastAsia"/>
                      <w:vertAlign w:val="baseline"/>
                      <w:lang w:val="en-US" w:eastAsia="zh-CN"/>
                    </w:rPr>
                    <w:t>2</w:t>
                  </w:r>
                </w:p>
              </w:tc>
              <w:tc>
                <w:tcPr>
                  <w:tcW w:w="1947" w:type="pct"/>
                  <w:tcBorders>
                    <w:tl2br w:val="nil"/>
                    <w:tr2bl w:val="nil"/>
                  </w:tcBorders>
                  <w:vAlign w:val="center"/>
                </w:tcPr>
                <w:p w14:paraId="3C586BFE">
                  <w:pPr>
                    <w:pStyle w:val="35"/>
                    <w:keepNext w:val="0"/>
                    <w:keepLines w:val="0"/>
                    <w:suppressLineNumbers w:val="0"/>
                    <w:spacing w:beforeAutospacing="0" w:afterAutospacing="0"/>
                    <w:ind w:left="0"/>
                    <w:jc w:val="center"/>
                    <w:rPr>
                      <w:rFonts w:hint="default"/>
                      <w:vertAlign w:val="baseline"/>
                      <w:lang w:val="en-US" w:eastAsia="zh-CN"/>
                    </w:rPr>
                  </w:pPr>
                  <w:r>
                    <w:rPr>
                      <w:rFonts w:hint="eastAsia"/>
                    </w:rPr>
                    <w:t>一般固废库未设置标识标牌</w:t>
                  </w:r>
                </w:p>
              </w:tc>
              <w:tc>
                <w:tcPr>
                  <w:tcW w:w="1697" w:type="pct"/>
                  <w:tcBorders>
                    <w:tl2br w:val="nil"/>
                    <w:tr2bl w:val="nil"/>
                  </w:tcBorders>
                  <w:vAlign w:val="center"/>
                </w:tcPr>
                <w:p w14:paraId="56DBEB80">
                  <w:pPr>
                    <w:pStyle w:val="35"/>
                    <w:keepNext w:val="0"/>
                    <w:keepLines w:val="0"/>
                    <w:suppressLineNumbers w:val="0"/>
                    <w:spacing w:beforeAutospacing="0" w:afterAutospacing="0"/>
                    <w:ind w:left="0"/>
                    <w:jc w:val="center"/>
                    <w:rPr>
                      <w:rFonts w:hint="default"/>
                      <w:vertAlign w:val="baseline"/>
                      <w:lang w:val="en-US" w:eastAsia="zh-CN"/>
                    </w:rPr>
                  </w:pPr>
                  <w:r>
                    <w:rPr>
                      <w:rFonts w:hint="eastAsia"/>
                    </w:rPr>
                    <w:t>一般固废库需设置环保标识标牌</w:t>
                  </w:r>
                </w:p>
              </w:tc>
              <w:tc>
                <w:tcPr>
                  <w:tcW w:w="850" w:type="pct"/>
                  <w:tcBorders>
                    <w:tl2br w:val="nil"/>
                    <w:tr2bl w:val="nil"/>
                  </w:tcBorders>
                  <w:vAlign w:val="center"/>
                </w:tcPr>
                <w:p w14:paraId="68E40C22">
                  <w:pPr>
                    <w:pStyle w:val="35"/>
                    <w:keepNext w:val="0"/>
                    <w:keepLines w:val="0"/>
                    <w:suppressLineNumbers w:val="0"/>
                    <w:spacing w:beforeAutospacing="0" w:afterAutospacing="0"/>
                    <w:ind w:left="0"/>
                    <w:jc w:val="center"/>
                    <w:rPr>
                      <w:rFonts w:hint="default"/>
                      <w:vertAlign w:val="baseline"/>
                      <w:lang w:val="en-US" w:eastAsia="zh-CN"/>
                    </w:rPr>
                  </w:pPr>
                  <w:r>
                    <w:rPr>
                      <w:rFonts w:hint="eastAsia"/>
                      <w:vertAlign w:val="baseline"/>
                      <w:lang w:val="en-US" w:eastAsia="zh-CN"/>
                    </w:rPr>
                    <w:t>2025年5月</w:t>
                  </w:r>
                </w:p>
              </w:tc>
            </w:tr>
            <w:tr w14:paraId="521947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4" w:type="pct"/>
                  <w:tcBorders>
                    <w:tl2br w:val="nil"/>
                    <w:tr2bl w:val="nil"/>
                  </w:tcBorders>
                  <w:vAlign w:val="center"/>
                </w:tcPr>
                <w:p w14:paraId="4EAFFA53">
                  <w:pPr>
                    <w:pStyle w:val="35"/>
                    <w:keepNext w:val="0"/>
                    <w:keepLines w:val="0"/>
                    <w:suppressLineNumbers w:val="0"/>
                    <w:spacing w:beforeAutospacing="0" w:afterAutospacing="0"/>
                    <w:ind w:left="0"/>
                    <w:jc w:val="center"/>
                    <w:rPr>
                      <w:rFonts w:hint="default"/>
                      <w:vertAlign w:val="baseline"/>
                      <w:lang w:val="en-US" w:eastAsia="zh-CN"/>
                    </w:rPr>
                  </w:pPr>
                  <w:r>
                    <w:rPr>
                      <w:rFonts w:hint="eastAsia"/>
                      <w:vertAlign w:val="baseline"/>
                      <w:lang w:val="en-US" w:eastAsia="zh-CN"/>
                    </w:rPr>
                    <w:t>3</w:t>
                  </w:r>
                </w:p>
              </w:tc>
              <w:tc>
                <w:tcPr>
                  <w:tcW w:w="1947" w:type="pct"/>
                  <w:tcBorders>
                    <w:tl2br w:val="nil"/>
                    <w:tr2bl w:val="nil"/>
                  </w:tcBorders>
                  <w:vAlign w:val="center"/>
                </w:tcPr>
                <w:p w14:paraId="1A20463A">
                  <w:pPr>
                    <w:pStyle w:val="35"/>
                    <w:keepNext w:val="0"/>
                    <w:keepLines w:val="0"/>
                    <w:suppressLineNumbers w:val="0"/>
                    <w:spacing w:beforeAutospacing="0" w:afterAutospacing="0"/>
                    <w:ind w:left="0"/>
                    <w:jc w:val="center"/>
                    <w:rPr>
                      <w:rFonts w:hint="default"/>
                      <w:vertAlign w:val="baseline"/>
                      <w:lang w:val="en-US" w:eastAsia="zh-CN"/>
                    </w:rPr>
                  </w:pPr>
                  <w:r>
                    <w:rPr>
                      <w:rFonts w:hint="eastAsia" w:ascii="Times New Roman" w:hAnsi="Times New Roman" w:cs="Times New Roman"/>
                      <w:sz w:val="21"/>
                      <w:lang w:val="en-US" w:eastAsia="zh-CN"/>
                    </w:rPr>
                    <w:t>企业</w:t>
                  </w:r>
                  <w:r>
                    <w:rPr>
                      <w:rFonts w:hint="default" w:ascii="Times New Roman" w:hAnsi="Times New Roman" w:cs="Times New Roman"/>
                      <w:sz w:val="21"/>
                      <w:lang w:val="en-US" w:eastAsia="zh-CN"/>
                    </w:rPr>
                    <w:t>相关台账内容</w:t>
                  </w:r>
                  <w:r>
                    <w:rPr>
                      <w:rFonts w:hint="eastAsia" w:ascii="Times New Roman" w:hAnsi="Times New Roman" w:cs="Times New Roman"/>
                      <w:sz w:val="21"/>
                      <w:lang w:val="en-US" w:eastAsia="zh-CN"/>
                    </w:rPr>
                    <w:t>不完善</w:t>
                  </w:r>
                </w:p>
              </w:tc>
              <w:tc>
                <w:tcPr>
                  <w:tcW w:w="2760" w:type="dxa"/>
                  <w:tcBorders>
                    <w:tl2br w:val="nil"/>
                    <w:tr2bl w:val="nil"/>
                  </w:tcBorders>
                  <w:vAlign w:val="center"/>
                </w:tcPr>
                <w:p w14:paraId="33956AB0">
                  <w:pPr>
                    <w:pStyle w:val="35"/>
                    <w:keepNext w:val="0"/>
                    <w:keepLines w:val="0"/>
                    <w:suppressLineNumbers w:val="0"/>
                    <w:spacing w:beforeAutospacing="0" w:afterAutospacing="0"/>
                    <w:ind w:left="0" w:right="113" w:rightChars="0" w:firstLine="0" w:firstLineChars="0"/>
                    <w:jc w:val="center"/>
                    <w:rPr>
                      <w:rFonts w:hint="default"/>
                      <w:vertAlign w:val="baseline"/>
                      <w:lang w:val="en-US" w:eastAsia="zh-CN"/>
                    </w:rPr>
                  </w:pPr>
                  <w:r>
                    <w:rPr>
                      <w:rFonts w:hint="eastAsia"/>
                    </w:rPr>
                    <w:t>完善电子台账及纸质台账记录</w:t>
                  </w:r>
                </w:p>
              </w:tc>
              <w:tc>
                <w:tcPr>
                  <w:tcW w:w="850" w:type="pct"/>
                  <w:tcBorders>
                    <w:tl2br w:val="nil"/>
                    <w:tr2bl w:val="nil"/>
                  </w:tcBorders>
                  <w:vAlign w:val="center"/>
                </w:tcPr>
                <w:p w14:paraId="5F2F8D25">
                  <w:pPr>
                    <w:pStyle w:val="35"/>
                    <w:keepNext w:val="0"/>
                    <w:keepLines w:val="0"/>
                    <w:suppressLineNumbers w:val="0"/>
                    <w:spacing w:beforeAutospacing="0" w:afterAutospacing="0"/>
                    <w:ind w:left="0"/>
                    <w:jc w:val="center"/>
                    <w:rPr>
                      <w:rFonts w:hint="default"/>
                      <w:vertAlign w:val="baseline"/>
                      <w:lang w:val="en-US" w:eastAsia="zh-CN"/>
                    </w:rPr>
                  </w:pPr>
                  <w:r>
                    <w:rPr>
                      <w:rFonts w:hint="eastAsia"/>
                      <w:vertAlign w:val="baseline"/>
                      <w:lang w:val="en-US" w:eastAsia="zh-CN"/>
                    </w:rPr>
                    <w:t>长期执行</w:t>
                  </w:r>
                </w:p>
              </w:tc>
            </w:tr>
            <w:tr w14:paraId="138CF2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4" w:type="pct"/>
                  <w:tcBorders>
                    <w:tl2br w:val="nil"/>
                    <w:tr2bl w:val="nil"/>
                  </w:tcBorders>
                  <w:vAlign w:val="center"/>
                </w:tcPr>
                <w:p w14:paraId="5F1CD713">
                  <w:pPr>
                    <w:pStyle w:val="35"/>
                    <w:keepNext w:val="0"/>
                    <w:keepLines w:val="0"/>
                    <w:suppressLineNumbers w:val="0"/>
                    <w:spacing w:beforeAutospacing="0" w:afterAutospacing="0"/>
                    <w:ind w:left="0"/>
                    <w:jc w:val="center"/>
                    <w:rPr>
                      <w:rFonts w:hint="default"/>
                      <w:vertAlign w:val="baseline"/>
                      <w:lang w:val="en-US" w:eastAsia="zh-CN"/>
                    </w:rPr>
                  </w:pPr>
                  <w:r>
                    <w:rPr>
                      <w:rFonts w:hint="eastAsia"/>
                      <w:vertAlign w:val="baseline"/>
                      <w:lang w:val="en-US" w:eastAsia="zh-CN"/>
                    </w:rPr>
                    <w:t>4</w:t>
                  </w:r>
                </w:p>
              </w:tc>
              <w:tc>
                <w:tcPr>
                  <w:tcW w:w="1947" w:type="pct"/>
                  <w:tcBorders>
                    <w:tl2br w:val="nil"/>
                    <w:tr2bl w:val="nil"/>
                  </w:tcBorders>
                  <w:vAlign w:val="center"/>
                </w:tcPr>
                <w:p w14:paraId="65BA2424">
                  <w:pPr>
                    <w:pStyle w:val="35"/>
                    <w:keepNext w:val="0"/>
                    <w:keepLines w:val="0"/>
                    <w:suppressLineNumbers w:val="0"/>
                    <w:spacing w:beforeAutospacing="0" w:afterAutospacing="0"/>
                    <w:ind w:left="0"/>
                    <w:jc w:val="center"/>
                    <w:rPr>
                      <w:rFonts w:hint="default"/>
                      <w:vertAlign w:val="baseline"/>
                      <w:lang w:val="en-US" w:eastAsia="zh-CN"/>
                    </w:rPr>
                  </w:pPr>
                  <w:r>
                    <w:rPr>
                      <w:rFonts w:hint="eastAsia" w:ascii="Times New Roman" w:hAnsi="Times New Roman" w:cs="Times New Roman"/>
                      <w:sz w:val="21"/>
                      <w:lang w:val="en-US" w:eastAsia="zh-CN"/>
                    </w:rPr>
                    <w:t>现有实验室已于2023年被</w:t>
                  </w:r>
                  <w:r>
                    <w:rPr>
                      <w:rFonts w:hint="eastAsia" w:ascii="Times New Roman" w:hAnsi="Times New Roman" w:cs="Times New Roman"/>
                      <w:sz w:val="21"/>
                    </w:rPr>
                    <w:t>淮北雷曼检验检测服务有限公司</w:t>
                  </w:r>
                  <w:r>
                    <w:rPr>
                      <w:rFonts w:hint="eastAsia" w:ascii="Times New Roman" w:hAnsi="Times New Roman" w:cs="Times New Roman"/>
                      <w:sz w:val="21"/>
                      <w:lang w:val="en-US" w:eastAsia="zh-CN"/>
                    </w:rPr>
                    <w:t>收购，独立经营，企业未及时开展应急预案修编工作</w:t>
                  </w:r>
                </w:p>
              </w:tc>
              <w:tc>
                <w:tcPr>
                  <w:tcW w:w="2760" w:type="dxa"/>
                  <w:tcBorders>
                    <w:tl2br w:val="nil"/>
                    <w:tr2bl w:val="nil"/>
                  </w:tcBorders>
                  <w:vAlign w:val="center"/>
                </w:tcPr>
                <w:p w14:paraId="098E6598">
                  <w:pPr>
                    <w:pStyle w:val="35"/>
                    <w:keepNext w:val="0"/>
                    <w:keepLines w:val="0"/>
                    <w:suppressLineNumbers w:val="0"/>
                    <w:spacing w:beforeAutospacing="0" w:afterAutospacing="0"/>
                    <w:ind w:left="0" w:right="113" w:rightChars="0" w:firstLine="0" w:firstLineChars="0"/>
                    <w:jc w:val="center"/>
                    <w:rPr>
                      <w:rFonts w:hint="default"/>
                      <w:vertAlign w:val="baseline"/>
                      <w:lang w:val="en-US" w:eastAsia="zh-CN"/>
                    </w:rPr>
                  </w:pPr>
                  <w:r>
                    <w:rPr>
                      <w:rFonts w:hint="eastAsia"/>
                    </w:rPr>
                    <w:t>本项目完成后应进行全厂排污许可</w:t>
                  </w:r>
                  <w:r>
                    <w:rPr>
                      <w:rFonts w:hint="eastAsia"/>
                      <w:lang w:val="en-US" w:eastAsia="zh-CN"/>
                    </w:rPr>
                    <w:t>登记</w:t>
                  </w:r>
                  <w:r>
                    <w:rPr>
                      <w:rFonts w:hint="eastAsia"/>
                    </w:rPr>
                    <w:t>，并及时修编应急预案</w:t>
                  </w:r>
                </w:p>
              </w:tc>
              <w:tc>
                <w:tcPr>
                  <w:tcW w:w="850" w:type="pct"/>
                  <w:tcBorders>
                    <w:tl2br w:val="nil"/>
                    <w:tr2bl w:val="nil"/>
                  </w:tcBorders>
                  <w:vAlign w:val="center"/>
                </w:tcPr>
                <w:p w14:paraId="73584399">
                  <w:pPr>
                    <w:pStyle w:val="35"/>
                    <w:keepNext w:val="0"/>
                    <w:keepLines w:val="0"/>
                    <w:suppressLineNumbers w:val="0"/>
                    <w:spacing w:beforeAutospacing="0" w:afterAutospacing="0"/>
                    <w:ind w:left="0"/>
                    <w:jc w:val="center"/>
                    <w:rPr>
                      <w:rFonts w:hint="default"/>
                      <w:vertAlign w:val="baseline"/>
                      <w:lang w:val="en-US" w:eastAsia="zh-CN"/>
                    </w:rPr>
                  </w:pPr>
                  <w:r>
                    <w:rPr>
                      <w:rFonts w:hint="eastAsia"/>
                      <w:vertAlign w:val="baseline"/>
                      <w:lang w:val="en-US" w:eastAsia="zh-CN"/>
                    </w:rPr>
                    <w:t>2026年</w:t>
                  </w:r>
                </w:p>
              </w:tc>
            </w:tr>
          </w:tbl>
          <w:p w14:paraId="1C25E820">
            <w:pPr>
              <w:pStyle w:val="35"/>
              <w:keepNext w:val="0"/>
              <w:keepLines w:val="0"/>
              <w:suppressLineNumbers w:val="0"/>
              <w:spacing w:beforeAutospacing="0" w:afterAutospacing="0"/>
              <w:ind w:left="0"/>
              <w:rPr>
                <w:rFonts w:hint="default"/>
                <w:lang w:val="en-US" w:eastAsia="zh-CN"/>
              </w:rPr>
            </w:pPr>
          </w:p>
          <w:p w14:paraId="7D759F35">
            <w:pPr>
              <w:keepNext w:val="0"/>
              <w:keepLines w:val="0"/>
              <w:suppressLineNumbers w:val="0"/>
              <w:spacing w:before="0" w:beforeAutospacing="0" w:after="0" w:afterAutospacing="0"/>
              <w:ind w:left="0" w:right="0"/>
              <w:rPr>
                <w:rFonts w:hint="default" w:ascii="Times New Roman" w:hAnsi="Times New Roman" w:cs="Times New Roman"/>
                <w:sz w:val="24"/>
                <w:szCs w:val="24"/>
                <w:lang w:val="en-US" w:eastAsia="zh-CN"/>
              </w:rPr>
            </w:pPr>
          </w:p>
          <w:p w14:paraId="741F12E7">
            <w:pPr>
              <w:pStyle w:val="4"/>
              <w:suppressLineNumbers w:val="0"/>
              <w:spacing w:beforeAutospacing="0" w:afterAutospacing="0"/>
              <w:ind w:left="0" w:right="0"/>
              <w:rPr>
                <w:rFonts w:hint="default" w:cs="Times New Roman"/>
                <w:lang w:val="en-US"/>
              </w:rPr>
            </w:pPr>
          </w:p>
        </w:tc>
      </w:tr>
    </w:tbl>
    <w:p w14:paraId="3BACC72C">
      <w:pPr>
        <w:pStyle w:val="25"/>
        <w:jc w:val="center"/>
        <w:rPr>
          <w:rFonts w:ascii="黑体" w:hAnsi="黑体" w:eastAsia="黑体"/>
          <w:snapToGrid w:val="0"/>
          <w:sz w:val="36"/>
          <w:szCs w:val="36"/>
        </w:rPr>
        <w:sectPr>
          <w:pgSz w:w="11905" w:h="16838"/>
          <w:pgMar w:top="1701" w:right="1531" w:bottom="1701" w:left="1531" w:header="851" w:footer="850" w:gutter="0"/>
          <w:pgBorders>
            <w:top w:val="none" w:sz="0" w:space="0"/>
            <w:left w:val="none" w:sz="0" w:space="0"/>
            <w:bottom w:val="none" w:sz="0" w:space="0"/>
            <w:right w:val="none" w:sz="0" w:space="0"/>
          </w:pgBorders>
          <w:cols w:space="720" w:num="1"/>
          <w:rtlGutter w:val="0"/>
          <w:docGrid w:linePitch="312" w:charSpace="0"/>
        </w:sectPr>
      </w:pPr>
    </w:p>
    <w:p w14:paraId="035E9A1B">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7FE22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800" w:type="dxa"/>
            <w:noWrap w:val="0"/>
            <w:vAlign w:val="center"/>
          </w:tcPr>
          <w:p w14:paraId="065098A6">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区域</w:t>
            </w:r>
          </w:p>
          <w:p w14:paraId="0756AB8D">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环境</w:t>
            </w:r>
          </w:p>
          <w:p w14:paraId="25AE1E98">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质量</w:t>
            </w:r>
          </w:p>
          <w:p w14:paraId="16E4CAD2">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现状</w:t>
            </w:r>
          </w:p>
        </w:tc>
        <w:tc>
          <w:tcPr>
            <w:tcW w:w="8190" w:type="dxa"/>
            <w:noWrap w:val="0"/>
            <w:vAlign w:val="center"/>
          </w:tcPr>
          <w:p w14:paraId="3D8C17A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b/>
                <w:bCs/>
                <w:sz w:val="24"/>
              </w:rPr>
            </w:pPr>
            <w:r>
              <w:rPr>
                <w:rFonts w:hint="default" w:ascii="Times New Roman" w:hAnsi="Times New Roman" w:cs="Times New Roman"/>
                <w:b/>
                <w:bCs/>
                <w:sz w:val="24"/>
              </w:rPr>
              <w:t>1</w:t>
            </w:r>
            <w:r>
              <w:rPr>
                <w:rFonts w:hint="eastAsia" w:ascii="Times New Roman" w:hAnsi="Times New Roman" w:cs="Times New Roman"/>
                <w:b/>
                <w:bCs/>
                <w:sz w:val="24"/>
                <w:lang w:val="en-US" w:eastAsia="zh-CN"/>
              </w:rPr>
              <w:t xml:space="preserve"> </w:t>
            </w:r>
            <w:r>
              <w:rPr>
                <w:rFonts w:hint="default" w:ascii="Times New Roman" w:hAnsi="Times New Roman" w:cs="Times New Roman"/>
                <w:b/>
                <w:bCs/>
                <w:sz w:val="24"/>
              </w:rPr>
              <w:t>环境空气质量现状</w:t>
            </w:r>
          </w:p>
          <w:p w14:paraId="4FD4C8D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kern w:val="0"/>
                <w:sz w:val="24"/>
              </w:rPr>
            </w:pPr>
            <w:r>
              <w:rPr>
                <w:rFonts w:hint="default" w:ascii="Times New Roman" w:hAnsi="Times New Roman" w:cs="Times New Roman"/>
                <w:b/>
                <w:bCs/>
                <w:sz w:val="24"/>
              </w:rPr>
              <w:t>1.1</w:t>
            </w:r>
            <w:r>
              <w:rPr>
                <w:rFonts w:hint="eastAsia" w:ascii="Times New Roman" w:hAnsi="Times New Roman" w:cs="Times New Roman"/>
                <w:b/>
                <w:bCs/>
                <w:sz w:val="24"/>
                <w:lang w:val="en-US" w:eastAsia="zh-CN"/>
              </w:rPr>
              <w:t xml:space="preserve"> </w:t>
            </w:r>
            <w:r>
              <w:rPr>
                <w:rFonts w:hint="default" w:ascii="Times New Roman" w:hAnsi="Times New Roman" w:cs="Times New Roman"/>
                <w:b/>
                <w:bCs/>
                <w:sz w:val="24"/>
              </w:rPr>
              <w:t>项目环境空气质量现状</w:t>
            </w:r>
          </w:p>
          <w:p w14:paraId="2B4C0E8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Cs w:val="21"/>
              </w:rPr>
            </w:pPr>
            <w:r>
              <w:rPr>
                <w:rFonts w:hint="default" w:ascii="Times New Roman" w:hAnsi="Times New Roman" w:cs="Times New Roman"/>
                <w:sz w:val="24"/>
              </w:rPr>
              <w:t>根据《建设项目环境影响报告表编制技术指南（污染影响类）》要求，大气环境常规污染物引用与建设项目距离近的有效数据，包括近3年的规划环境影响评价的监测数据，国家、地方环境空气质量监测网数据或生态环境主管部门公开发布的质量数据等。</w:t>
            </w:r>
          </w:p>
          <w:p w14:paraId="3CCD26D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本次评价环境空气现状达标情况数据引用</w:t>
            </w:r>
            <w:r>
              <w:rPr>
                <w:rFonts w:hint="default" w:ascii="Times New Roman" w:hAnsi="Times New Roman" w:cs="Times New Roman"/>
                <w:color w:val="000000"/>
                <w:sz w:val="24"/>
              </w:rPr>
              <w:t>淮北市生态环境局于202</w:t>
            </w:r>
            <w:r>
              <w:rPr>
                <w:rFonts w:hint="eastAsia" w:ascii="Times New Roman" w:hAnsi="Times New Roman" w:cs="Times New Roman"/>
                <w:color w:val="000000"/>
                <w:sz w:val="24"/>
                <w:lang w:val="en-US" w:eastAsia="zh-CN"/>
              </w:rPr>
              <w:t>4</w:t>
            </w:r>
            <w:r>
              <w:rPr>
                <w:rFonts w:hint="default" w:ascii="Times New Roman" w:hAnsi="Times New Roman" w:cs="Times New Roman"/>
                <w:color w:val="000000"/>
                <w:sz w:val="24"/>
              </w:rPr>
              <w:t>年6月</w:t>
            </w:r>
            <w:r>
              <w:rPr>
                <w:rFonts w:hint="eastAsia" w:ascii="Times New Roman" w:hAnsi="Times New Roman" w:cs="Times New Roman"/>
                <w:color w:val="000000"/>
                <w:sz w:val="24"/>
                <w:lang w:val="en-US" w:eastAsia="zh-CN"/>
              </w:rPr>
              <w:t>11</w:t>
            </w:r>
            <w:r>
              <w:rPr>
                <w:rFonts w:hint="default" w:ascii="Times New Roman" w:hAnsi="Times New Roman" w:cs="Times New Roman"/>
                <w:color w:val="000000"/>
                <w:sz w:val="24"/>
              </w:rPr>
              <w:t>日发布的《</w:t>
            </w:r>
            <w:r>
              <w:rPr>
                <w:rFonts w:hint="eastAsia" w:ascii="Times New Roman" w:hAnsi="Times New Roman" w:cs="Times New Roman"/>
                <w:color w:val="000000"/>
                <w:sz w:val="24"/>
              </w:rPr>
              <w:t>2023年度淮北市生态环境状况公报</w:t>
            </w:r>
            <w:r>
              <w:rPr>
                <w:rFonts w:hint="default" w:ascii="Times New Roman" w:hAnsi="Times New Roman" w:cs="Times New Roman"/>
                <w:color w:val="000000"/>
                <w:sz w:val="24"/>
              </w:rPr>
              <w:t>》。</w:t>
            </w:r>
          </w:p>
          <w:p w14:paraId="786189B5">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表3-1</w:t>
            </w:r>
            <w:r>
              <w:rPr>
                <w:rFonts w:hint="eastAsia" w:ascii="Times New Roman" w:hAnsi="Times New Roman" w:cs="Times New Roman"/>
                <w:b/>
                <w:bCs/>
                <w:sz w:val="24"/>
                <w:szCs w:val="24"/>
              </w:rPr>
              <w:t xml:space="preserve">  </w:t>
            </w:r>
            <w:r>
              <w:rPr>
                <w:rFonts w:hint="default" w:ascii="Times New Roman" w:hAnsi="Times New Roman" w:cs="Times New Roman"/>
                <w:b/>
                <w:bCs/>
                <w:sz w:val="24"/>
                <w:szCs w:val="24"/>
              </w:rPr>
              <w:t>202</w:t>
            </w: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rPr>
              <w:t>年淮北市环境空气质量情况  单位：</w:t>
            </w:r>
            <w:r>
              <w:rPr>
                <w:rFonts w:hint="default" w:ascii="Times New Roman" w:hAnsi="Times New Roman" w:cs="Times New Roman"/>
                <w:b/>
                <w:bCs/>
                <w:kern w:val="0"/>
                <w:sz w:val="24"/>
                <w:szCs w:val="24"/>
                <w:lang w:bidi="ar"/>
              </w:rPr>
              <w:t>μ</w:t>
            </w:r>
            <w:r>
              <w:rPr>
                <w:rFonts w:hint="default" w:ascii="Times New Roman" w:hAnsi="Times New Roman" w:cs="Times New Roman"/>
                <w:b/>
                <w:bCs/>
                <w:sz w:val="24"/>
                <w:szCs w:val="24"/>
              </w:rPr>
              <w:t>g/m</w:t>
            </w:r>
            <w:r>
              <w:rPr>
                <w:rFonts w:hint="default" w:ascii="Times New Roman" w:hAnsi="Times New Roman" w:cs="Times New Roman"/>
                <w:b/>
                <w:bCs/>
                <w:sz w:val="24"/>
                <w:szCs w:val="24"/>
                <w:vertAlign w:val="superscript"/>
              </w:rPr>
              <w:t>3</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254"/>
              <w:gridCol w:w="3151"/>
              <w:gridCol w:w="1266"/>
              <w:gridCol w:w="1167"/>
              <w:gridCol w:w="1133"/>
            </w:tblGrid>
            <w:tr w14:paraId="2BF5A2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86" w:type="pct"/>
                  <w:tcBorders>
                    <w:top w:val="single" w:color="000000" w:sz="12" w:space="0"/>
                  </w:tcBorders>
                  <w:noWrap w:val="0"/>
                  <w:vAlign w:val="top"/>
                </w:tcPr>
                <w:p w14:paraId="2B0C9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污染物</w:t>
                  </w:r>
                </w:p>
              </w:tc>
              <w:tc>
                <w:tcPr>
                  <w:tcW w:w="1976" w:type="pct"/>
                  <w:tcBorders>
                    <w:top w:val="single" w:color="000000" w:sz="12" w:space="0"/>
                  </w:tcBorders>
                  <w:noWrap w:val="0"/>
                  <w:vAlign w:val="top"/>
                </w:tcPr>
                <w:p w14:paraId="32DD0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年评价指标</w:t>
                  </w:r>
                </w:p>
              </w:tc>
              <w:tc>
                <w:tcPr>
                  <w:tcW w:w="794" w:type="pct"/>
                  <w:tcBorders>
                    <w:top w:val="single" w:color="000000" w:sz="12" w:space="0"/>
                  </w:tcBorders>
                  <w:noWrap w:val="0"/>
                  <w:vAlign w:val="top"/>
                </w:tcPr>
                <w:p w14:paraId="38A88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现状浓度</w:t>
                  </w:r>
                </w:p>
              </w:tc>
              <w:tc>
                <w:tcPr>
                  <w:tcW w:w="732" w:type="pct"/>
                  <w:tcBorders>
                    <w:top w:val="single" w:color="000000" w:sz="12" w:space="0"/>
                  </w:tcBorders>
                  <w:noWrap w:val="0"/>
                  <w:vAlign w:val="top"/>
                </w:tcPr>
                <w:p w14:paraId="54CE0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sz w:val="21"/>
                      <w:szCs w:val="21"/>
                    </w:rPr>
                  </w:pPr>
                  <w:r>
                    <w:rPr>
                      <w:rFonts w:hint="eastAsia" w:ascii="Times New Roman" w:hAnsi="Times New Roman" w:cs="Times New Roman"/>
                      <w:b/>
                      <w:sz w:val="21"/>
                      <w:szCs w:val="21"/>
                      <w:lang w:val="en-US" w:eastAsia="zh-CN"/>
                    </w:rPr>
                    <w:t>二级</w:t>
                  </w:r>
                  <w:r>
                    <w:rPr>
                      <w:rFonts w:hint="default" w:ascii="Times New Roman" w:hAnsi="Times New Roman" w:cs="Times New Roman"/>
                      <w:b/>
                      <w:sz w:val="21"/>
                      <w:szCs w:val="21"/>
                    </w:rPr>
                    <w:t>标准值</w:t>
                  </w:r>
                </w:p>
              </w:tc>
              <w:tc>
                <w:tcPr>
                  <w:tcW w:w="710" w:type="pct"/>
                  <w:tcBorders>
                    <w:top w:val="single" w:color="000000" w:sz="12" w:space="0"/>
                  </w:tcBorders>
                  <w:noWrap w:val="0"/>
                  <w:vAlign w:val="top"/>
                </w:tcPr>
                <w:p w14:paraId="53FB3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达标情况</w:t>
                  </w:r>
                </w:p>
              </w:tc>
            </w:tr>
            <w:tr w14:paraId="2C01CA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4" w:hRule="atLeast"/>
                <w:jc w:val="center"/>
              </w:trPr>
              <w:tc>
                <w:tcPr>
                  <w:tcW w:w="786" w:type="pct"/>
                  <w:noWrap w:val="0"/>
                  <w:vAlign w:val="top"/>
                </w:tcPr>
                <w:p w14:paraId="69DAC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p>
              </w:tc>
              <w:tc>
                <w:tcPr>
                  <w:tcW w:w="1976" w:type="pct"/>
                  <w:noWrap w:val="0"/>
                  <w:vAlign w:val="top"/>
                </w:tcPr>
                <w:p w14:paraId="67303B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年平均质量浓度</w:t>
                  </w:r>
                </w:p>
              </w:tc>
              <w:tc>
                <w:tcPr>
                  <w:tcW w:w="794" w:type="pct"/>
                  <w:noWrap w:val="0"/>
                  <w:vAlign w:val="top"/>
                </w:tcPr>
                <w:p w14:paraId="3F597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732" w:type="pct"/>
                  <w:noWrap w:val="0"/>
                  <w:vAlign w:val="top"/>
                </w:tcPr>
                <w:p w14:paraId="0F0E9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60</w:t>
                  </w:r>
                </w:p>
              </w:tc>
              <w:tc>
                <w:tcPr>
                  <w:tcW w:w="710" w:type="pct"/>
                  <w:noWrap w:val="0"/>
                  <w:vAlign w:val="top"/>
                </w:tcPr>
                <w:p w14:paraId="4CE872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达标</w:t>
                  </w:r>
                </w:p>
              </w:tc>
            </w:tr>
            <w:tr w14:paraId="3B2C78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86" w:type="pct"/>
                  <w:noWrap w:val="0"/>
                  <w:vAlign w:val="top"/>
                </w:tcPr>
                <w:p w14:paraId="6086A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2</w:t>
                  </w:r>
                </w:p>
              </w:tc>
              <w:tc>
                <w:tcPr>
                  <w:tcW w:w="1976" w:type="pct"/>
                  <w:noWrap w:val="0"/>
                  <w:vAlign w:val="top"/>
                </w:tcPr>
                <w:p w14:paraId="559A61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年平均质量浓度</w:t>
                  </w:r>
                </w:p>
              </w:tc>
              <w:tc>
                <w:tcPr>
                  <w:tcW w:w="794" w:type="pct"/>
                  <w:noWrap w:val="0"/>
                  <w:vAlign w:val="top"/>
                </w:tcPr>
                <w:p w14:paraId="40DC8E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2</w:t>
                  </w:r>
                  <w:r>
                    <w:rPr>
                      <w:rFonts w:hint="eastAsia" w:ascii="Times New Roman" w:hAnsi="Times New Roman" w:cs="Times New Roman"/>
                      <w:sz w:val="21"/>
                      <w:szCs w:val="21"/>
                      <w:lang w:val="en-US" w:eastAsia="zh-CN"/>
                    </w:rPr>
                    <w:t>3</w:t>
                  </w:r>
                </w:p>
              </w:tc>
              <w:tc>
                <w:tcPr>
                  <w:tcW w:w="732" w:type="pct"/>
                  <w:noWrap w:val="0"/>
                  <w:vAlign w:val="top"/>
                </w:tcPr>
                <w:p w14:paraId="09ED8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40</w:t>
                  </w:r>
                </w:p>
              </w:tc>
              <w:tc>
                <w:tcPr>
                  <w:tcW w:w="710" w:type="pct"/>
                  <w:noWrap w:val="0"/>
                  <w:vAlign w:val="top"/>
                </w:tcPr>
                <w:p w14:paraId="09629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达标</w:t>
                  </w:r>
                </w:p>
              </w:tc>
            </w:tr>
            <w:tr w14:paraId="6ACC14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86" w:type="pct"/>
                  <w:noWrap w:val="0"/>
                  <w:vAlign w:val="top"/>
                </w:tcPr>
                <w:p w14:paraId="72000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CO</w:t>
                  </w:r>
                </w:p>
              </w:tc>
              <w:tc>
                <w:tcPr>
                  <w:tcW w:w="1976" w:type="pct"/>
                  <w:noWrap w:val="0"/>
                  <w:vAlign w:val="top"/>
                </w:tcPr>
                <w:p w14:paraId="40DC9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第95百分位日平均质量浓度</w:t>
                  </w:r>
                </w:p>
              </w:tc>
              <w:tc>
                <w:tcPr>
                  <w:tcW w:w="794" w:type="pct"/>
                  <w:noWrap w:val="0"/>
                  <w:vAlign w:val="top"/>
                </w:tcPr>
                <w:p w14:paraId="30045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900</w:t>
                  </w:r>
                </w:p>
              </w:tc>
              <w:tc>
                <w:tcPr>
                  <w:tcW w:w="732" w:type="pct"/>
                  <w:noWrap w:val="0"/>
                  <w:vAlign w:val="top"/>
                </w:tcPr>
                <w:p w14:paraId="5401B6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4000</w:t>
                  </w:r>
                </w:p>
              </w:tc>
              <w:tc>
                <w:tcPr>
                  <w:tcW w:w="710" w:type="pct"/>
                  <w:noWrap w:val="0"/>
                  <w:vAlign w:val="top"/>
                </w:tcPr>
                <w:p w14:paraId="17E6FA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达标</w:t>
                  </w:r>
                </w:p>
              </w:tc>
            </w:tr>
            <w:tr w14:paraId="54E520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86" w:type="pct"/>
                  <w:noWrap w:val="0"/>
                  <w:vAlign w:val="top"/>
                </w:tcPr>
                <w:p w14:paraId="079B4B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3</w:t>
                  </w:r>
                </w:p>
              </w:tc>
              <w:tc>
                <w:tcPr>
                  <w:tcW w:w="1976" w:type="pct"/>
                  <w:noWrap w:val="0"/>
                  <w:vAlign w:val="top"/>
                </w:tcPr>
                <w:p w14:paraId="7A1EC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第90百分位8小时平均质量浓度</w:t>
                  </w:r>
                </w:p>
              </w:tc>
              <w:tc>
                <w:tcPr>
                  <w:tcW w:w="794" w:type="pct"/>
                  <w:noWrap w:val="0"/>
                  <w:vAlign w:val="top"/>
                </w:tcPr>
                <w:p w14:paraId="50BF2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16</w:t>
                  </w:r>
                  <w:r>
                    <w:rPr>
                      <w:rFonts w:hint="eastAsia" w:ascii="Times New Roman" w:hAnsi="Times New Roman" w:cs="Times New Roman"/>
                      <w:sz w:val="21"/>
                      <w:szCs w:val="21"/>
                      <w:lang w:val="en-US" w:eastAsia="zh-CN"/>
                    </w:rPr>
                    <w:t>6</w:t>
                  </w:r>
                </w:p>
              </w:tc>
              <w:tc>
                <w:tcPr>
                  <w:tcW w:w="732" w:type="pct"/>
                  <w:noWrap w:val="0"/>
                  <w:vAlign w:val="top"/>
                </w:tcPr>
                <w:p w14:paraId="38B4A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160</w:t>
                  </w:r>
                </w:p>
              </w:tc>
              <w:tc>
                <w:tcPr>
                  <w:tcW w:w="710" w:type="pct"/>
                  <w:noWrap w:val="0"/>
                  <w:vAlign w:val="top"/>
                </w:tcPr>
                <w:p w14:paraId="01B28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不达标</w:t>
                  </w:r>
                </w:p>
              </w:tc>
            </w:tr>
            <w:tr w14:paraId="2B74C82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86" w:type="pct"/>
                  <w:tcBorders>
                    <w:top w:val="single" w:color="auto" w:sz="4" w:space="0"/>
                    <w:left w:val="nil"/>
                    <w:bottom w:val="single" w:color="auto" w:sz="4" w:space="0"/>
                    <w:right w:val="single" w:color="auto" w:sz="4" w:space="0"/>
                  </w:tcBorders>
                  <w:noWrap w:val="0"/>
                  <w:vAlign w:val="top"/>
                </w:tcPr>
                <w:p w14:paraId="79638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10</w:t>
                  </w:r>
                </w:p>
              </w:tc>
              <w:tc>
                <w:tcPr>
                  <w:tcW w:w="1976" w:type="pct"/>
                  <w:tcBorders>
                    <w:top w:val="single" w:color="auto" w:sz="4" w:space="0"/>
                    <w:left w:val="single" w:color="auto" w:sz="4" w:space="0"/>
                    <w:bottom w:val="single" w:color="auto" w:sz="4" w:space="0"/>
                    <w:right w:val="single" w:color="auto" w:sz="4" w:space="0"/>
                  </w:tcBorders>
                  <w:noWrap w:val="0"/>
                  <w:vAlign w:val="top"/>
                </w:tcPr>
                <w:p w14:paraId="767B6A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年平均质量浓度</w:t>
                  </w:r>
                </w:p>
              </w:tc>
              <w:tc>
                <w:tcPr>
                  <w:tcW w:w="794" w:type="pct"/>
                  <w:tcBorders>
                    <w:top w:val="single" w:color="auto" w:sz="4" w:space="0"/>
                    <w:left w:val="single" w:color="auto" w:sz="4" w:space="0"/>
                    <w:bottom w:val="single" w:color="auto" w:sz="4" w:space="0"/>
                    <w:right w:val="single" w:color="auto" w:sz="4" w:space="0"/>
                  </w:tcBorders>
                  <w:noWrap w:val="0"/>
                  <w:vAlign w:val="top"/>
                </w:tcPr>
                <w:p w14:paraId="1328A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70</w:t>
                  </w:r>
                </w:p>
              </w:tc>
              <w:tc>
                <w:tcPr>
                  <w:tcW w:w="732" w:type="pct"/>
                  <w:tcBorders>
                    <w:top w:val="single" w:color="auto" w:sz="4" w:space="0"/>
                    <w:left w:val="single" w:color="auto" w:sz="4" w:space="0"/>
                    <w:bottom w:val="single" w:color="auto" w:sz="4" w:space="0"/>
                    <w:right w:val="single" w:color="auto" w:sz="4" w:space="0"/>
                  </w:tcBorders>
                  <w:noWrap w:val="0"/>
                  <w:vAlign w:val="top"/>
                </w:tcPr>
                <w:p w14:paraId="4B96A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70</w:t>
                  </w:r>
                </w:p>
              </w:tc>
              <w:tc>
                <w:tcPr>
                  <w:tcW w:w="710" w:type="pct"/>
                  <w:tcBorders>
                    <w:top w:val="single" w:color="auto" w:sz="4" w:space="0"/>
                    <w:left w:val="single" w:color="auto" w:sz="4" w:space="0"/>
                    <w:bottom w:val="single" w:color="auto" w:sz="4" w:space="0"/>
                    <w:right w:val="nil"/>
                  </w:tcBorders>
                  <w:noWrap w:val="0"/>
                  <w:vAlign w:val="top"/>
                </w:tcPr>
                <w:p w14:paraId="20B6B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达标</w:t>
                  </w:r>
                </w:p>
              </w:tc>
            </w:tr>
            <w:tr w14:paraId="2C4E61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86" w:type="pct"/>
                  <w:tcBorders>
                    <w:top w:val="single" w:color="auto" w:sz="4" w:space="0"/>
                    <w:left w:val="nil"/>
                    <w:bottom w:val="single" w:color="000000" w:sz="12" w:space="0"/>
                    <w:right w:val="single" w:color="auto" w:sz="4" w:space="0"/>
                  </w:tcBorders>
                  <w:noWrap w:val="0"/>
                  <w:vAlign w:val="top"/>
                </w:tcPr>
                <w:p w14:paraId="769EF1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2.5</w:t>
                  </w:r>
                </w:p>
              </w:tc>
              <w:tc>
                <w:tcPr>
                  <w:tcW w:w="1976" w:type="pct"/>
                  <w:tcBorders>
                    <w:top w:val="single" w:color="auto" w:sz="4" w:space="0"/>
                    <w:left w:val="single" w:color="auto" w:sz="4" w:space="0"/>
                    <w:bottom w:val="single" w:color="000000" w:sz="12" w:space="0"/>
                    <w:right w:val="single" w:color="auto" w:sz="4" w:space="0"/>
                  </w:tcBorders>
                  <w:noWrap w:val="0"/>
                  <w:vAlign w:val="top"/>
                </w:tcPr>
                <w:p w14:paraId="2FD0E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年平均质量浓度</w:t>
                  </w:r>
                </w:p>
              </w:tc>
              <w:tc>
                <w:tcPr>
                  <w:tcW w:w="794" w:type="pct"/>
                  <w:tcBorders>
                    <w:top w:val="single" w:color="auto" w:sz="4" w:space="0"/>
                    <w:left w:val="single" w:color="auto" w:sz="4" w:space="0"/>
                    <w:bottom w:val="single" w:color="000000" w:sz="12" w:space="0"/>
                    <w:right w:val="single" w:color="auto" w:sz="4" w:space="0"/>
                  </w:tcBorders>
                  <w:noWrap w:val="0"/>
                  <w:vAlign w:val="top"/>
                </w:tcPr>
                <w:p w14:paraId="0D0BF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42</w:t>
                  </w:r>
                </w:p>
              </w:tc>
              <w:tc>
                <w:tcPr>
                  <w:tcW w:w="732" w:type="pct"/>
                  <w:tcBorders>
                    <w:top w:val="single" w:color="auto" w:sz="4" w:space="0"/>
                    <w:left w:val="single" w:color="auto" w:sz="4" w:space="0"/>
                    <w:bottom w:val="single" w:color="000000" w:sz="12" w:space="0"/>
                    <w:right w:val="single" w:color="auto" w:sz="4" w:space="0"/>
                  </w:tcBorders>
                  <w:noWrap w:val="0"/>
                  <w:vAlign w:val="top"/>
                </w:tcPr>
                <w:p w14:paraId="621BB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35</w:t>
                  </w:r>
                </w:p>
              </w:tc>
              <w:tc>
                <w:tcPr>
                  <w:tcW w:w="710" w:type="pct"/>
                  <w:tcBorders>
                    <w:top w:val="single" w:color="auto" w:sz="4" w:space="0"/>
                    <w:left w:val="single" w:color="auto" w:sz="4" w:space="0"/>
                    <w:bottom w:val="single" w:color="000000" w:sz="12" w:space="0"/>
                    <w:right w:val="nil"/>
                  </w:tcBorders>
                  <w:noWrap w:val="0"/>
                  <w:vAlign w:val="top"/>
                </w:tcPr>
                <w:p w14:paraId="6F01E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不达标</w:t>
                  </w:r>
                </w:p>
              </w:tc>
            </w:tr>
          </w:tbl>
          <w:p w14:paraId="6FA5A04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由上表可知，本项目所在区域环境空气中SO</w:t>
            </w:r>
            <w:r>
              <w:rPr>
                <w:rFonts w:hint="default" w:ascii="Times New Roman" w:hAnsi="Times New Roman" w:cs="Times New Roman"/>
                <w:color w:val="000000"/>
                <w:sz w:val="24"/>
                <w:vertAlign w:val="subscript"/>
              </w:rPr>
              <w:t>2</w:t>
            </w:r>
            <w:r>
              <w:rPr>
                <w:rFonts w:hint="default" w:ascii="Times New Roman" w:hAnsi="Times New Roman" w:cs="Times New Roman"/>
                <w:color w:val="000000"/>
                <w:sz w:val="24"/>
              </w:rPr>
              <w:t>年平均浓度值、NO</w:t>
            </w:r>
            <w:r>
              <w:rPr>
                <w:rFonts w:hint="default" w:ascii="Times New Roman" w:hAnsi="Times New Roman" w:cs="Times New Roman"/>
                <w:color w:val="000000"/>
                <w:sz w:val="24"/>
                <w:vertAlign w:val="subscript"/>
              </w:rPr>
              <w:t>2</w:t>
            </w:r>
            <w:r>
              <w:rPr>
                <w:rFonts w:hint="default" w:ascii="Times New Roman" w:hAnsi="Times New Roman" w:cs="Times New Roman"/>
                <w:color w:val="000000"/>
                <w:sz w:val="24"/>
              </w:rPr>
              <w:t>年平均浓度值</w:t>
            </w:r>
            <w:r>
              <w:rPr>
                <w:rFonts w:hint="eastAsia" w:ascii="Times New Roman" w:hAnsi="Times New Roman" w:cs="Times New Roman"/>
                <w:color w:val="000000"/>
                <w:sz w:val="24"/>
              </w:rPr>
              <w:t>满足《环境空气质量标准》(GB3095-2012)中</w:t>
            </w:r>
            <w:r>
              <w:rPr>
                <w:rFonts w:hint="eastAsia" w:ascii="Times New Roman" w:hAnsi="Times New Roman" w:cs="Times New Roman"/>
                <w:color w:val="000000"/>
                <w:sz w:val="24"/>
                <w:lang w:val="en-US" w:eastAsia="zh-CN"/>
              </w:rPr>
              <w:t>一</w:t>
            </w:r>
            <w:r>
              <w:rPr>
                <w:rFonts w:hint="eastAsia" w:ascii="Times New Roman" w:hAnsi="Times New Roman" w:cs="Times New Roman"/>
                <w:color w:val="000000"/>
                <w:sz w:val="24"/>
              </w:rPr>
              <w:t>级标准</w:t>
            </w:r>
            <w:r>
              <w:rPr>
                <w:rFonts w:hint="eastAsia" w:ascii="Times New Roman" w:hAnsi="Times New Roman" w:cs="Times New Roman"/>
                <w:color w:val="000000"/>
                <w:sz w:val="24"/>
                <w:lang w:eastAsia="zh-CN"/>
              </w:rPr>
              <w:t>；</w:t>
            </w:r>
            <w:r>
              <w:rPr>
                <w:rFonts w:hint="default" w:ascii="Times New Roman" w:hAnsi="Times New Roman" w:cs="Times New Roman"/>
                <w:color w:val="000000"/>
                <w:sz w:val="24"/>
              </w:rPr>
              <w:t>CO 24小时平均第95百分位数浓度值、PM</w:t>
            </w:r>
            <w:r>
              <w:rPr>
                <w:rFonts w:hint="default" w:ascii="Times New Roman" w:hAnsi="Times New Roman" w:cs="Times New Roman"/>
                <w:color w:val="000000"/>
                <w:sz w:val="24"/>
                <w:vertAlign w:val="subscript"/>
              </w:rPr>
              <w:t>10</w:t>
            </w:r>
            <w:r>
              <w:rPr>
                <w:rFonts w:hint="default" w:ascii="Times New Roman" w:hAnsi="Times New Roman" w:cs="Times New Roman"/>
                <w:color w:val="000000"/>
                <w:sz w:val="24"/>
              </w:rPr>
              <w:t>年平均浓度值均满足《环境空气质量标准》(GB3095-2012)中二级标准</w:t>
            </w:r>
            <w:r>
              <w:rPr>
                <w:rFonts w:hint="eastAsia" w:ascii="Times New Roman" w:hAnsi="Times New Roman" w:cs="Times New Roman"/>
                <w:color w:val="000000"/>
                <w:sz w:val="24"/>
                <w:lang w:eastAsia="zh-CN"/>
              </w:rPr>
              <w:t>；</w:t>
            </w:r>
            <w:r>
              <w:rPr>
                <w:rFonts w:hint="default" w:ascii="Times New Roman" w:hAnsi="Times New Roman" w:cs="Times New Roman"/>
                <w:color w:val="000000"/>
                <w:sz w:val="24"/>
              </w:rPr>
              <w:t>O</w:t>
            </w:r>
            <w:r>
              <w:rPr>
                <w:rFonts w:hint="default" w:ascii="Times New Roman" w:hAnsi="Times New Roman" w:cs="Times New Roman"/>
                <w:color w:val="000000"/>
                <w:sz w:val="24"/>
                <w:vertAlign w:val="subscript"/>
              </w:rPr>
              <w:t xml:space="preserve">3 </w:t>
            </w:r>
            <w:r>
              <w:rPr>
                <w:rFonts w:hint="default" w:ascii="Times New Roman" w:hAnsi="Times New Roman" w:cs="Times New Roman"/>
                <w:color w:val="000000"/>
                <w:sz w:val="24"/>
              </w:rPr>
              <w:t>最大8小时平均第90百分数浓度值、PM</w:t>
            </w:r>
            <w:r>
              <w:rPr>
                <w:rFonts w:hint="default" w:ascii="Times New Roman" w:hAnsi="Times New Roman" w:cs="Times New Roman"/>
                <w:color w:val="000000"/>
                <w:sz w:val="24"/>
                <w:vertAlign w:val="subscript"/>
              </w:rPr>
              <w:t>2.5</w:t>
            </w:r>
            <w:r>
              <w:rPr>
                <w:rFonts w:hint="default" w:ascii="Times New Roman" w:hAnsi="Times New Roman" w:cs="Times New Roman"/>
                <w:color w:val="000000"/>
                <w:sz w:val="24"/>
              </w:rPr>
              <w:t>年平均浓度值均未达到《环境空气质量标准》（GB3095-2012）二级标准，超标倍数分别为</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.0</w:t>
            </w:r>
            <w:r>
              <w:rPr>
                <w:rFonts w:hint="eastAsia" w:ascii="Times New Roman" w:hAnsi="Times New Roman" w:cs="Times New Roman"/>
                <w:color w:val="000000" w:themeColor="text1"/>
                <w:sz w:val="24"/>
                <w:lang w:val="en-US" w:eastAsia="zh-CN"/>
                <w14:textFill>
                  <w14:solidFill>
                    <w14:schemeClr w14:val="tx1"/>
                  </w14:solidFill>
                </w14:textFill>
              </w:rPr>
              <w:t>375</w:t>
            </w:r>
            <w:r>
              <w:rPr>
                <w:rFonts w:hint="default" w:ascii="Times New Roman" w:hAnsi="Times New Roman" w:cs="Times New Roman"/>
                <w:color w:val="000000" w:themeColor="text1"/>
                <w:sz w:val="24"/>
                <w14:textFill>
                  <w14:solidFill>
                    <w14:schemeClr w14:val="tx1"/>
                  </w14:solidFill>
                </w14:textFill>
              </w:rPr>
              <w:t>和</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sz w:val="24"/>
              </w:rPr>
              <w:t>因此，本项目所在区域环境空气质量判定为不达标区。淮北市政府通过大力推进锅炉淘汰改造、施工工地扬尘治理、强化移动污染源防治等系列整治措施，改善环境空气质量。</w:t>
            </w:r>
          </w:p>
          <w:p w14:paraId="15CB2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2</w:t>
            </w:r>
            <w:r>
              <w:rPr>
                <w:rFonts w:hint="eastAsia" w:ascii="Times New Roman" w:hAnsi="Times New Roman" w:eastAsia="宋体" w:cs="Times New Roman"/>
                <w:b/>
                <w:bCs/>
                <w:sz w:val="24"/>
                <w:lang w:eastAsia="zh-CN"/>
              </w:rPr>
              <w:t>、</w:t>
            </w:r>
            <w:r>
              <w:rPr>
                <w:rFonts w:hint="default" w:ascii="Times New Roman" w:hAnsi="Times New Roman" w:eastAsia="宋体" w:cs="Times New Roman"/>
                <w:b/>
                <w:bCs/>
                <w:sz w:val="24"/>
              </w:rPr>
              <w:t>地表水环境质量现状</w:t>
            </w:r>
          </w:p>
          <w:p w14:paraId="7642EA95">
            <w:pPr>
              <w:keepNext w:val="0"/>
              <w:keepLines w:val="0"/>
              <w:suppressLineNumbers w:val="0"/>
              <w:autoSpaceDE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bCs/>
                <w:color w:val="000000"/>
                <w:sz w:val="24"/>
              </w:rPr>
              <w:t>本项目地表水纳污水体为老</w:t>
            </w:r>
            <w:r>
              <w:rPr>
                <w:rFonts w:hint="default" w:ascii="Times New Roman" w:hAnsi="Times New Roman" w:eastAsia="宋体" w:cs="Times New Roman"/>
                <w:color w:val="000000"/>
                <w:sz w:val="24"/>
              </w:rPr>
              <w:t>濉河，本次评价区域地表水</w:t>
            </w:r>
            <w:r>
              <w:rPr>
                <w:rFonts w:hint="default" w:ascii="Times New Roman" w:hAnsi="Times New Roman" w:eastAsia="宋体" w:cs="Times New Roman"/>
                <w:bCs/>
                <w:color w:val="000000"/>
                <w:sz w:val="24"/>
              </w:rPr>
              <w:t>老</w:t>
            </w:r>
            <w:r>
              <w:rPr>
                <w:rFonts w:hint="default" w:ascii="Times New Roman" w:hAnsi="Times New Roman" w:eastAsia="宋体" w:cs="Times New Roman"/>
                <w:color w:val="000000"/>
                <w:sz w:val="24"/>
              </w:rPr>
              <w:t>濉河环境质量数据引用《安徽淮北相山经济开发区</w:t>
            </w:r>
            <w:r>
              <w:rPr>
                <w:rFonts w:hint="default" w:ascii="Times New Roman" w:hAnsi="Times New Roman" w:eastAsia="宋体" w:cs="Times New Roman"/>
                <w:color w:val="000000"/>
                <w:sz w:val="24"/>
                <w:lang w:val="en-US" w:eastAsia="zh-CN"/>
              </w:rPr>
              <w:t>总体发展规划（2024~2035）环境影响报告书</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中的检测数据，检测单位为</w:t>
            </w:r>
            <w:r>
              <w:rPr>
                <w:rFonts w:hint="default" w:ascii="Times New Roman" w:hAnsi="Times New Roman" w:eastAsia="宋体" w:cs="Times New Roman"/>
                <w:sz w:val="24"/>
                <w:lang w:val="en-US" w:eastAsia="zh-CN"/>
              </w:rPr>
              <w:t>合肥谱尼测试科技有限公司，检测时间为</w:t>
            </w:r>
            <w:r>
              <w:rPr>
                <w:rFonts w:hint="default" w:ascii="Times New Roman" w:hAnsi="Times New Roman" w:eastAsia="宋体" w:cs="Times New Roman"/>
                <w:sz w:val="24"/>
              </w:rPr>
              <w:t>202</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年8月</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rPr>
              <w:t>5日~</w:t>
            </w:r>
            <w:r>
              <w:rPr>
                <w:rFonts w:hint="default" w:ascii="Times New Roman" w:hAnsi="Times New Roman" w:eastAsia="宋体" w:cs="Times New Roman"/>
                <w:sz w:val="24"/>
                <w:lang w:val="en-US" w:eastAsia="zh-CN"/>
              </w:rPr>
              <w:t>26</w:t>
            </w:r>
            <w:r>
              <w:rPr>
                <w:rFonts w:hint="default" w:ascii="Times New Roman" w:hAnsi="Times New Roman" w:eastAsia="宋体" w:cs="Times New Roman"/>
                <w:sz w:val="24"/>
              </w:rPr>
              <w:t>日</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满足《建设项目环境影响报告表编制技术指南（污染影响类）》</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引用与建设项目距离近的有效数据，包括近3年的规划环境影响评价的检测数据，所在流域控制单元内国家、地方控制断面检测数据，生态环境主管部门发布的水环境质量数据或地表水达标情况的结论</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w:t>
            </w:r>
          </w:p>
          <w:p w14:paraId="4F27FFFE">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eastAsia" w:ascii="Times New Roman" w:hAnsi="Times New Roman" w:cs="Times New Roman"/>
                <w:color w:val="auto"/>
                <w:sz w:val="24"/>
              </w:rPr>
              <w:t>检测</w:t>
            </w:r>
            <w:r>
              <w:rPr>
                <w:rFonts w:hint="default" w:ascii="Times New Roman" w:hAnsi="Times New Roman" w:cs="Times New Roman"/>
                <w:color w:val="auto"/>
                <w:sz w:val="24"/>
              </w:rPr>
              <w:t>因子</w:t>
            </w:r>
          </w:p>
          <w:p w14:paraId="4C2641E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pH、</w:t>
            </w:r>
            <w:r>
              <w:rPr>
                <w:rFonts w:hint="eastAsia" w:ascii="Times New Roman" w:hAnsi="Times New Roman" w:eastAsia="宋体" w:cs="Times New Roman"/>
                <w:color w:val="auto"/>
                <w:kern w:val="0"/>
                <w:sz w:val="24"/>
                <w:lang w:val="en-US" w:eastAsia="zh-CN"/>
              </w:rPr>
              <w:t>SS、</w:t>
            </w:r>
            <w:r>
              <w:rPr>
                <w:rFonts w:hint="eastAsia" w:ascii="Times New Roman" w:hAnsi="Times New Roman" w:eastAsia="宋体" w:cs="Times New Roman"/>
                <w:color w:val="auto"/>
                <w:kern w:val="0"/>
                <w:sz w:val="24"/>
              </w:rPr>
              <w:t>COD</w:t>
            </w:r>
            <w:r>
              <w:rPr>
                <w:rFonts w:hint="eastAsia" w:ascii="Times New Roman" w:hAnsi="Times New Roman" w:eastAsia="宋体" w:cs="Times New Roman"/>
                <w:color w:val="auto"/>
                <w:kern w:val="0"/>
                <w:sz w:val="24"/>
                <w:lang w:val="en-US" w:eastAsia="zh-CN"/>
              </w:rPr>
              <w:t>cr</w:t>
            </w:r>
            <w:r>
              <w:rPr>
                <w:rFonts w:hint="eastAsia"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BOD</w:t>
            </w:r>
            <w:r>
              <w:rPr>
                <w:rFonts w:hint="eastAsia" w:ascii="Times New Roman" w:hAnsi="Times New Roman" w:eastAsia="宋体" w:cs="Times New Roman"/>
                <w:color w:val="auto"/>
                <w:kern w:val="0"/>
                <w:sz w:val="24"/>
                <w:vertAlign w:val="subscript"/>
                <w:lang w:val="en-US" w:eastAsia="zh-CN"/>
              </w:rPr>
              <w:t>5</w:t>
            </w:r>
            <w:r>
              <w:rPr>
                <w:rFonts w:hint="eastAsia" w:ascii="Times New Roman" w:hAnsi="Times New Roman" w:eastAsia="宋体" w:cs="Times New Roman"/>
                <w:color w:val="auto"/>
                <w:kern w:val="0"/>
                <w:sz w:val="24"/>
                <w:lang w:val="en-US" w:eastAsia="zh-CN"/>
              </w:rPr>
              <w:t>、</w:t>
            </w:r>
            <w:r>
              <w:rPr>
                <w:rFonts w:hint="eastAsia" w:ascii="Times New Roman" w:hAnsi="Times New Roman" w:eastAsia="宋体" w:cs="Times New Roman"/>
                <w:color w:val="auto"/>
                <w:kern w:val="0"/>
                <w:sz w:val="24"/>
              </w:rPr>
              <w:t>NH</w:t>
            </w:r>
            <w:r>
              <w:rPr>
                <w:rFonts w:hint="eastAsia" w:ascii="Times New Roman" w:hAnsi="Times New Roman" w:eastAsia="宋体" w:cs="Times New Roman"/>
                <w:color w:val="auto"/>
                <w:kern w:val="0"/>
                <w:sz w:val="24"/>
                <w:vertAlign w:val="subscript"/>
              </w:rPr>
              <w:t>3</w:t>
            </w:r>
            <w:r>
              <w:rPr>
                <w:rFonts w:hint="eastAsia" w:ascii="Times New Roman" w:hAnsi="Times New Roman" w:eastAsia="宋体" w:cs="Times New Roman"/>
                <w:color w:val="auto"/>
                <w:kern w:val="0"/>
                <w:sz w:val="24"/>
              </w:rPr>
              <w:t>-N。</w:t>
            </w:r>
          </w:p>
          <w:p w14:paraId="5239D9D2">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eastAsia" w:ascii="Times New Roman" w:hAnsi="Times New Roman" w:cs="Times New Roman"/>
                <w:color w:val="auto"/>
                <w:sz w:val="24"/>
              </w:rPr>
              <w:t>检测</w:t>
            </w:r>
            <w:r>
              <w:rPr>
                <w:rFonts w:hint="default" w:ascii="Times New Roman" w:hAnsi="Times New Roman" w:cs="Times New Roman"/>
                <w:color w:val="auto"/>
                <w:sz w:val="24"/>
              </w:rPr>
              <w:t>点位</w:t>
            </w:r>
          </w:p>
          <w:p w14:paraId="4811DC03">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rPr>
            </w:pPr>
            <w:r>
              <w:rPr>
                <w:rFonts w:hint="eastAsia" w:ascii="Times New Roman" w:hAnsi="Times New Roman" w:cs="Times New Roman"/>
                <w:color w:val="auto"/>
                <w:sz w:val="24"/>
              </w:rPr>
              <w:t>地表水监测断面一览表</w:t>
            </w:r>
            <w:r>
              <w:rPr>
                <w:rFonts w:hint="default" w:ascii="Times New Roman" w:hAnsi="Times New Roman" w:cs="Times New Roman"/>
                <w:color w:val="auto"/>
                <w:sz w:val="24"/>
              </w:rPr>
              <w:t>见表</w:t>
            </w:r>
            <w:r>
              <w:rPr>
                <w:rFonts w:hint="eastAsia" w:ascii="Times New Roman" w:hAnsi="Times New Roman" w:cs="Times New Roman"/>
                <w:color w:val="auto"/>
                <w:sz w:val="24"/>
              </w:rPr>
              <w:t>3</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2</w:t>
            </w:r>
            <w:r>
              <w:rPr>
                <w:rFonts w:hint="default" w:ascii="Times New Roman" w:hAnsi="Times New Roman" w:cs="Times New Roman"/>
                <w:color w:val="auto"/>
                <w:sz w:val="24"/>
              </w:rPr>
              <w:t>。</w:t>
            </w:r>
          </w:p>
          <w:p w14:paraId="277BEEC0">
            <w:pPr>
              <w:pStyle w:val="64"/>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表3-</w:t>
            </w:r>
            <w:r>
              <w:rPr>
                <w:rFonts w:hint="eastAsia"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rPr>
              <w:t>地表水监测断面一览表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34"/>
              <w:gridCol w:w="830"/>
              <w:gridCol w:w="2951"/>
              <w:gridCol w:w="1626"/>
              <w:gridCol w:w="1830"/>
            </w:tblGrid>
            <w:tr w14:paraId="4F77E7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0" w:hRule="atLeast"/>
                <w:jc w:val="center"/>
              </w:trPr>
              <w:tc>
                <w:tcPr>
                  <w:tcW w:w="461" w:type="pct"/>
                  <w:tcBorders>
                    <w:tl2br w:val="nil"/>
                    <w:tr2bl w:val="nil"/>
                  </w:tcBorders>
                  <w:noWrap w:val="0"/>
                  <w:vAlign w:val="center"/>
                </w:tcPr>
                <w:p w14:paraId="53ADC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编号</w:t>
                  </w:r>
                </w:p>
              </w:tc>
              <w:tc>
                <w:tcPr>
                  <w:tcW w:w="520" w:type="pct"/>
                  <w:tcBorders>
                    <w:tl2br w:val="nil"/>
                    <w:tr2bl w:val="nil"/>
                  </w:tcBorders>
                  <w:noWrap w:val="0"/>
                  <w:vAlign w:val="center"/>
                </w:tcPr>
                <w:p w14:paraId="71E9B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水体</w:t>
                  </w:r>
                </w:p>
              </w:tc>
              <w:tc>
                <w:tcPr>
                  <w:tcW w:w="1850" w:type="pct"/>
                  <w:tcBorders>
                    <w:tl2br w:val="nil"/>
                    <w:tr2bl w:val="nil"/>
                  </w:tcBorders>
                  <w:noWrap w:val="0"/>
                  <w:vAlign w:val="center"/>
                </w:tcPr>
                <w:p w14:paraId="08F0F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断面位置</w:t>
                  </w:r>
                </w:p>
              </w:tc>
              <w:tc>
                <w:tcPr>
                  <w:tcW w:w="1019" w:type="pct"/>
                  <w:tcBorders>
                    <w:tl2br w:val="nil"/>
                    <w:tr2bl w:val="nil"/>
                  </w:tcBorders>
                  <w:noWrap w:val="0"/>
                  <w:vAlign w:val="center"/>
                </w:tcPr>
                <w:p w14:paraId="60C1C5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经度（°）</w:t>
                  </w:r>
                </w:p>
              </w:tc>
              <w:tc>
                <w:tcPr>
                  <w:tcW w:w="1147" w:type="pct"/>
                  <w:tcBorders>
                    <w:tl2br w:val="nil"/>
                    <w:tr2bl w:val="nil"/>
                  </w:tcBorders>
                  <w:noWrap w:val="0"/>
                  <w:vAlign w:val="center"/>
                </w:tcPr>
                <w:p w14:paraId="0DDA2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纬度（°）</w:t>
                  </w:r>
                </w:p>
              </w:tc>
            </w:tr>
            <w:tr w14:paraId="0B9EE0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61" w:type="pct"/>
                  <w:tcBorders>
                    <w:tl2br w:val="nil"/>
                    <w:tr2bl w:val="nil"/>
                  </w:tcBorders>
                  <w:noWrap w:val="0"/>
                  <w:vAlign w:val="center"/>
                </w:tcPr>
                <w:p w14:paraId="0C5789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W9</w:t>
                  </w:r>
                </w:p>
              </w:tc>
              <w:tc>
                <w:tcPr>
                  <w:tcW w:w="520" w:type="pct"/>
                  <w:vMerge w:val="restart"/>
                  <w:tcBorders>
                    <w:tl2br w:val="nil"/>
                    <w:tr2bl w:val="nil"/>
                  </w:tcBorders>
                  <w:noWrap w:val="0"/>
                  <w:vAlign w:val="center"/>
                </w:tcPr>
                <w:p w14:paraId="632AE1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老濉河</w:t>
                  </w:r>
                </w:p>
              </w:tc>
              <w:tc>
                <w:tcPr>
                  <w:tcW w:w="1850" w:type="pct"/>
                  <w:tcBorders>
                    <w:tl2br w:val="nil"/>
                    <w:tr2bl w:val="nil"/>
                  </w:tcBorders>
                  <w:noWrap w:val="0"/>
                  <w:vAlign w:val="center"/>
                </w:tcPr>
                <w:p w14:paraId="10FD4C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渠沟涵断面（排污口上游100m）</w:t>
                  </w:r>
                </w:p>
              </w:tc>
              <w:tc>
                <w:tcPr>
                  <w:tcW w:w="1019" w:type="pct"/>
                  <w:tcBorders>
                    <w:tl2br w:val="nil"/>
                    <w:tr2bl w:val="nil"/>
                  </w:tcBorders>
                  <w:noWrap w:val="0"/>
                  <w:vAlign w:val="center"/>
                </w:tcPr>
                <w:p w14:paraId="5AE505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116.451926699</w:t>
                  </w:r>
                </w:p>
              </w:tc>
              <w:tc>
                <w:tcPr>
                  <w:tcW w:w="1147" w:type="pct"/>
                  <w:tcBorders>
                    <w:tl2br w:val="nil"/>
                    <w:tr2bl w:val="nil"/>
                  </w:tcBorders>
                  <w:noWrap w:val="0"/>
                  <w:vAlign w:val="center"/>
                </w:tcPr>
                <w:p w14:paraId="2FE443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33.571152118</w:t>
                  </w:r>
                </w:p>
              </w:tc>
            </w:tr>
            <w:tr w14:paraId="686C50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61" w:type="pct"/>
                  <w:tcBorders>
                    <w:tl2br w:val="nil"/>
                    <w:tr2bl w:val="nil"/>
                  </w:tcBorders>
                  <w:noWrap w:val="0"/>
                  <w:vAlign w:val="center"/>
                </w:tcPr>
                <w:p w14:paraId="14B550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W10</w:t>
                  </w:r>
                </w:p>
              </w:tc>
              <w:tc>
                <w:tcPr>
                  <w:tcW w:w="520" w:type="pct"/>
                  <w:vMerge w:val="continue"/>
                  <w:tcBorders>
                    <w:tl2br w:val="nil"/>
                    <w:tr2bl w:val="nil"/>
                  </w:tcBorders>
                  <w:noWrap w:val="0"/>
                  <w:vAlign w:val="center"/>
                </w:tcPr>
                <w:p w14:paraId="0ECF5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1850" w:type="pct"/>
                  <w:tcBorders>
                    <w:tl2br w:val="nil"/>
                    <w:tr2bl w:val="nil"/>
                  </w:tcBorders>
                  <w:noWrap w:val="0"/>
                  <w:vAlign w:val="center"/>
                </w:tcPr>
                <w:p w14:paraId="6DE07D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排污口下游500m</w:t>
                  </w:r>
                </w:p>
              </w:tc>
              <w:tc>
                <w:tcPr>
                  <w:tcW w:w="1019" w:type="pct"/>
                  <w:tcBorders>
                    <w:tl2br w:val="nil"/>
                    <w:tr2bl w:val="nil"/>
                  </w:tcBorders>
                  <w:noWrap w:val="0"/>
                  <w:vAlign w:val="center"/>
                </w:tcPr>
                <w:p w14:paraId="4795E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116.454131153</w:t>
                  </w:r>
                </w:p>
              </w:tc>
              <w:tc>
                <w:tcPr>
                  <w:tcW w:w="1147" w:type="pct"/>
                  <w:tcBorders>
                    <w:tl2br w:val="nil"/>
                    <w:tr2bl w:val="nil"/>
                  </w:tcBorders>
                  <w:noWrap w:val="0"/>
                  <w:vAlign w:val="center"/>
                </w:tcPr>
                <w:p w14:paraId="07B8D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33.570175901</w:t>
                  </w:r>
                </w:p>
              </w:tc>
            </w:tr>
            <w:tr w14:paraId="29426B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61" w:type="pct"/>
                  <w:tcBorders>
                    <w:tl2br w:val="nil"/>
                    <w:tr2bl w:val="nil"/>
                  </w:tcBorders>
                  <w:noWrap w:val="0"/>
                  <w:vAlign w:val="center"/>
                </w:tcPr>
                <w:p w14:paraId="46872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W11</w:t>
                  </w:r>
                </w:p>
              </w:tc>
              <w:tc>
                <w:tcPr>
                  <w:tcW w:w="520" w:type="pct"/>
                  <w:vMerge w:val="continue"/>
                  <w:tcBorders>
                    <w:tl2br w:val="nil"/>
                    <w:tr2bl w:val="nil"/>
                  </w:tcBorders>
                  <w:noWrap w:val="0"/>
                  <w:vAlign w:val="center"/>
                </w:tcPr>
                <w:p w14:paraId="1BA07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1850" w:type="pct"/>
                  <w:tcBorders>
                    <w:tl2br w:val="nil"/>
                    <w:tr2bl w:val="nil"/>
                  </w:tcBorders>
                  <w:noWrap w:val="0"/>
                  <w:vAlign w:val="center"/>
                </w:tcPr>
                <w:p w14:paraId="05C4F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排污口下游1500m</w:t>
                  </w:r>
                </w:p>
              </w:tc>
              <w:tc>
                <w:tcPr>
                  <w:tcW w:w="1019" w:type="pct"/>
                  <w:tcBorders>
                    <w:tl2br w:val="nil"/>
                    <w:tr2bl w:val="nil"/>
                  </w:tcBorders>
                  <w:noWrap w:val="0"/>
                  <w:vAlign w:val="center"/>
                </w:tcPr>
                <w:p w14:paraId="469870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116.460729570</w:t>
                  </w:r>
                </w:p>
              </w:tc>
              <w:tc>
                <w:tcPr>
                  <w:tcW w:w="1147" w:type="pct"/>
                  <w:tcBorders>
                    <w:tl2br w:val="nil"/>
                    <w:tr2bl w:val="nil"/>
                  </w:tcBorders>
                  <w:noWrap w:val="0"/>
                  <w:vAlign w:val="center"/>
                </w:tcPr>
                <w:p w14:paraId="1A3C5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33.564329688</w:t>
                  </w:r>
                </w:p>
              </w:tc>
            </w:tr>
          </w:tbl>
          <w:p w14:paraId="2D8BBA7D">
            <w:pPr>
              <w:pStyle w:val="47"/>
              <w:keepNext w:val="0"/>
              <w:keepLines w:val="0"/>
              <w:suppressLineNumbers w:val="0"/>
              <w:spacing w:before="0" w:beforeAutospacing="0" w:after="0" w:afterAutospacing="0" w:line="360" w:lineRule="auto"/>
              <w:ind w:left="0" w:right="0" w:firstLine="480" w:firstLineChars="200"/>
              <w:rPr>
                <w:rStyle w:val="34"/>
                <w:rFonts w:hint="default"/>
                <w:color w:val="auto"/>
                <w:szCs w:val="20"/>
              </w:rPr>
            </w:pPr>
            <w:r>
              <w:rPr>
                <w:rFonts w:hint="eastAsia"/>
                <w:color w:val="auto"/>
              </w:rPr>
              <w:t>（3）检测结果</w:t>
            </w:r>
          </w:p>
          <w:p w14:paraId="23573C9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rPr>
            </w:pPr>
            <w:r>
              <w:rPr>
                <w:rFonts w:hint="eastAsia" w:ascii="Times New Roman" w:hAnsi="Times New Roman" w:cs="Times New Roman"/>
                <w:color w:val="auto"/>
                <w:sz w:val="24"/>
              </w:rPr>
              <w:t>地表水质量现状监测结果</w:t>
            </w:r>
            <w:r>
              <w:rPr>
                <w:rFonts w:hint="default" w:ascii="Times New Roman" w:hAnsi="Times New Roman" w:cs="Times New Roman"/>
                <w:color w:val="auto"/>
                <w:sz w:val="24"/>
              </w:rPr>
              <w:t>见表</w:t>
            </w:r>
            <w:r>
              <w:rPr>
                <w:rFonts w:hint="eastAsia" w:ascii="Times New Roman" w:hAnsi="Times New Roman" w:cs="Times New Roman"/>
                <w:color w:val="auto"/>
                <w:sz w:val="24"/>
              </w:rPr>
              <w:t>3</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3</w:t>
            </w:r>
            <w:r>
              <w:rPr>
                <w:rFonts w:hint="eastAsia" w:ascii="Times New Roman" w:hAnsi="Times New Roman" w:cs="Times New Roman"/>
                <w:color w:val="auto"/>
                <w:sz w:val="24"/>
              </w:rPr>
              <w:t>。</w:t>
            </w:r>
          </w:p>
          <w:p w14:paraId="6181060E">
            <w:pPr>
              <w:pStyle w:val="64"/>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rPr>
              <w:t>3</w:t>
            </w:r>
            <w:r>
              <w:rPr>
                <w:rFonts w:hint="eastAsia" w:ascii="Times New Roman" w:hAnsi="Times New Roman" w:eastAsia="宋体" w:cs="Times New Roman"/>
                <w:b/>
                <w:bCs/>
                <w:color w:val="auto"/>
                <w:sz w:val="24"/>
                <w:lang w:val="en-US" w:eastAsia="zh-CN"/>
              </w:rPr>
              <w:t>-</w:t>
            </w:r>
            <w:r>
              <w:rPr>
                <w:rFonts w:hint="eastAsia" w:eastAsia="宋体" w:cs="Times New Roman"/>
                <w:b/>
                <w:bCs/>
                <w:color w:val="auto"/>
                <w:sz w:val="24"/>
                <w:lang w:val="en-US" w:eastAsia="zh-CN"/>
              </w:rPr>
              <w:t>3</w:t>
            </w:r>
            <w:r>
              <w:rPr>
                <w:rFonts w:hint="eastAsia" w:ascii="Times New Roman" w:hAnsi="Times New Roman" w:eastAsia="宋体" w:cs="Times New Roman"/>
                <w:b/>
                <w:bCs/>
                <w:color w:val="auto"/>
                <w:sz w:val="24"/>
              </w:rPr>
              <w:t xml:space="preserve">  地表水水质现状监测</w:t>
            </w:r>
            <w:r>
              <w:rPr>
                <w:rFonts w:hint="eastAsia" w:ascii="Times New Roman" w:hAnsi="Times New Roman" w:eastAsia="宋体" w:cs="Times New Roman"/>
                <w:b/>
                <w:bCs/>
                <w:color w:val="auto"/>
                <w:sz w:val="24"/>
                <w:lang w:val="en-US" w:eastAsia="zh-CN"/>
              </w:rPr>
              <w:t>及评价</w:t>
            </w:r>
            <w:r>
              <w:rPr>
                <w:rFonts w:hint="eastAsia" w:ascii="Times New Roman" w:hAnsi="Times New Roman" w:eastAsia="宋体" w:cs="Times New Roman"/>
                <w:b/>
                <w:bCs/>
                <w:color w:val="auto"/>
                <w:sz w:val="24"/>
              </w:rPr>
              <w:t>结果</w:t>
            </w:r>
            <w:r>
              <w:rPr>
                <w:rFonts w:hint="default" w:ascii="Times New Roman" w:hAnsi="Times New Roman" w:eastAsia="宋体" w:cs="Times New Roman"/>
                <w:b/>
                <w:bCs/>
                <w:color w:val="auto"/>
                <w:sz w:val="24"/>
              </w:rPr>
              <w:t>（单位：mg/L，pH无量纲）</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33"/>
              <w:gridCol w:w="820"/>
              <w:gridCol w:w="1263"/>
              <w:gridCol w:w="1357"/>
              <w:gridCol w:w="872"/>
              <w:gridCol w:w="1127"/>
              <w:gridCol w:w="1127"/>
              <w:gridCol w:w="872"/>
            </w:tblGrid>
            <w:tr w14:paraId="7D0830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640" w:type="pct"/>
                  <w:gridSpan w:val="3"/>
                  <w:tcBorders>
                    <w:tl2br w:val="nil"/>
                    <w:tr2bl w:val="nil"/>
                  </w:tcBorders>
                  <w:noWrap w:val="0"/>
                  <w:vAlign w:val="center"/>
                </w:tcPr>
                <w:p w14:paraId="3F73C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指标</w:t>
                  </w:r>
                </w:p>
              </w:tc>
              <w:tc>
                <w:tcPr>
                  <w:tcW w:w="851" w:type="pct"/>
                  <w:tcBorders>
                    <w:tl2br w:val="nil"/>
                    <w:tr2bl w:val="nil"/>
                  </w:tcBorders>
                  <w:noWrap/>
                  <w:vAlign w:val="center"/>
                </w:tcPr>
                <w:p w14:paraId="4F1A5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pH</w:t>
                  </w:r>
                </w:p>
              </w:tc>
              <w:tc>
                <w:tcPr>
                  <w:tcW w:w="547" w:type="pct"/>
                  <w:tcBorders>
                    <w:tl2br w:val="nil"/>
                    <w:tr2bl w:val="nil"/>
                  </w:tcBorders>
                  <w:noWrap/>
                  <w:vAlign w:val="center"/>
                </w:tcPr>
                <w:p w14:paraId="432157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SS</w:t>
                  </w:r>
                </w:p>
              </w:tc>
              <w:tc>
                <w:tcPr>
                  <w:tcW w:w="707" w:type="pct"/>
                  <w:tcBorders>
                    <w:tl2br w:val="nil"/>
                    <w:tr2bl w:val="nil"/>
                  </w:tcBorders>
                  <w:noWrap/>
                  <w:vAlign w:val="center"/>
                </w:tcPr>
                <w:p w14:paraId="15F59D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COD</w:t>
                  </w:r>
                  <w:r>
                    <w:rPr>
                      <w:rFonts w:hint="default" w:ascii="Times New Roman" w:hAnsi="Times New Roman" w:eastAsia="宋体" w:cs="Times New Roman"/>
                      <w:b/>
                      <w:sz w:val="21"/>
                      <w:szCs w:val="21"/>
                      <w:vertAlign w:val="subscript"/>
                    </w:rPr>
                    <w:t>Cr</w:t>
                  </w:r>
                </w:p>
              </w:tc>
              <w:tc>
                <w:tcPr>
                  <w:tcW w:w="707" w:type="pct"/>
                  <w:tcBorders>
                    <w:tl2br w:val="nil"/>
                    <w:tr2bl w:val="nil"/>
                  </w:tcBorders>
                  <w:noWrap/>
                  <w:vAlign w:val="center"/>
                </w:tcPr>
                <w:p w14:paraId="5698C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BOD</w:t>
                  </w:r>
                  <w:r>
                    <w:rPr>
                      <w:rFonts w:hint="default" w:ascii="Times New Roman" w:hAnsi="Times New Roman" w:eastAsia="宋体" w:cs="Times New Roman"/>
                      <w:b/>
                      <w:sz w:val="21"/>
                      <w:szCs w:val="21"/>
                      <w:vertAlign w:val="subscript"/>
                    </w:rPr>
                    <w:t>5</w:t>
                  </w:r>
                </w:p>
              </w:tc>
              <w:tc>
                <w:tcPr>
                  <w:tcW w:w="547" w:type="pct"/>
                  <w:tcBorders>
                    <w:tl2br w:val="nil"/>
                    <w:tr2bl w:val="nil"/>
                  </w:tcBorders>
                  <w:noWrap/>
                  <w:vAlign w:val="center"/>
                </w:tcPr>
                <w:p w14:paraId="68B216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bCs w:val="0"/>
                      <w:sz w:val="21"/>
                      <w:szCs w:val="21"/>
                    </w:rPr>
                    <w:t>NH</w:t>
                  </w:r>
                  <w:r>
                    <w:rPr>
                      <w:rFonts w:hint="default" w:ascii="Times New Roman" w:hAnsi="Times New Roman" w:eastAsia="宋体" w:cs="Times New Roman"/>
                      <w:b/>
                      <w:bCs w:val="0"/>
                      <w:sz w:val="21"/>
                      <w:szCs w:val="21"/>
                      <w:vertAlign w:val="subscript"/>
                    </w:rPr>
                    <w:t>3</w:t>
                  </w:r>
                  <w:r>
                    <w:rPr>
                      <w:rFonts w:hint="default" w:ascii="Times New Roman" w:hAnsi="Times New Roman" w:eastAsia="宋体" w:cs="Times New Roman"/>
                      <w:b/>
                      <w:bCs w:val="0"/>
                      <w:color w:val="auto"/>
                      <w:kern w:val="0"/>
                      <w:sz w:val="21"/>
                      <w:szCs w:val="21"/>
                    </w:rPr>
                    <w:t>-N</w:t>
                  </w:r>
                </w:p>
              </w:tc>
            </w:tr>
            <w:tr w14:paraId="2A1A97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640" w:type="pct"/>
                  <w:gridSpan w:val="3"/>
                  <w:tcBorders>
                    <w:tl2br w:val="nil"/>
                    <w:tr2bl w:val="nil"/>
                  </w:tcBorders>
                  <w:noWrap w:val="0"/>
                  <w:vAlign w:val="center"/>
                </w:tcPr>
                <w:p w14:paraId="1A9A23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单位</w:t>
                  </w:r>
                </w:p>
              </w:tc>
              <w:tc>
                <w:tcPr>
                  <w:tcW w:w="851" w:type="pct"/>
                  <w:tcBorders>
                    <w:tl2br w:val="nil"/>
                    <w:tr2bl w:val="nil"/>
                  </w:tcBorders>
                  <w:noWrap/>
                  <w:vAlign w:val="center"/>
                </w:tcPr>
                <w:p w14:paraId="6000E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w:t>
                  </w:r>
                </w:p>
              </w:tc>
              <w:tc>
                <w:tcPr>
                  <w:tcW w:w="547" w:type="pct"/>
                  <w:tcBorders>
                    <w:tl2br w:val="nil"/>
                    <w:tr2bl w:val="nil"/>
                  </w:tcBorders>
                  <w:noWrap/>
                  <w:vAlign w:val="center"/>
                </w:tcPr>
                <w:p w14:paraId="64154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mg/L</w:t>
                  </w:r>
                </w:p>
              </w:tc>
              <w:tc>
                <w:tcPr>
                  <w:tcW w:w="707" w:type="pct"/>
                  <w:tcBorders>
                    <w:tl2br w:val="nil"/>
                    <w:tr2bl w:val="nil"/>
                  </w:tcBorders>
                  <w:noWrap/>
                  <w:vAlign w:val="center"/>
                </w:tcPr>
                <w:p w14:paraId="20A06D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mg/L</w:t>
                  </w:r>
                </w:p>
              </w:tc>
              <w:tc>
                <w:tcPr>
                  <w:tcW w:w="707" w:type="pct"/>
                  <w:tcBorders>
                    <w:tl2br w:val="nil"/>
                    <w:tr2bl w:val="nil"/>
                  </w:tcBorders>
                  <w:noWrap/>
                  <w:vAlign w:val="center"/>
                </w:tcPr>
                <w:p w14:paraId="7F2872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mg/L</w:t>
                  </w:r>
                </w:p>
              </w:tc>
              <w:tc>
                <w:tcPr>
                  <w:tcW w:w="547" w:type="pct"/>
                  <w:tcBorders>
                    <w:tl2br w:val="nil"/>
                    <w:tr2bl w:val="nil"/>
                  </w:tcBorders>
                  <w:noWrap/>
                  <w:vAlign w:val="center"/>
                </w:tcPr>
                <w:p w14:paraId="4383D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mg/L</w:t>
                  </w:r>
                </w:p>
              </w:tc>
            </w:tr>
            <w:tr w14:paraId="3CA1DE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640" w:type="pct"/>
                  <w:gridSpan w:val="3"/>
                  <w:tcBorders>
                    <w:tl2br w:val="nil"/>
                    <w:tr2bl w:val="nil"/>
                  </w:tcBorders>
                  <w:noWrap w:val="0"/>
                  <w:vAlign w:val="center"/>
                </w:tcPr>
                <w:p w14:paraId="5CF75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GB3838-2002 Ⅳ类标准</w:t>
                  </w:r>
                </w:p>
              </w:tc>
              <w:tc>
                <w:tcPr>
                  <w:tcW w:w="851" w:type="pct"/>
                  <w:tcBorders>
                    <w:tl2br w:val="nil"/>
                    <w:tr2bl w:val="nil"/>
                  </w:tcBorders>
                  <w:noWrap/>
                  <w:vAlign w:val="center"/>
                </w:tcPr>
                <w:p w14:paraId="4CD80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6~9</w:t>
                  </w:r>
                </w:p>
              </w:tc>
              <w:tc>
                <w:tcPr>
                  <w:tcW w:w="547" w:type="pct"/>
                  <w:tcBorders>
                    <w:tl2br w:val="nil"/>
                    <w:tr2bl w:val="nil"/>
                  </w:tcBorders>
                  <w:noWrap/>
                  <w:vAlign w:val="center"/>
                </w:tcPr>
                <w:p w14:paraId="6AF0DD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≤60</w:t>
                  </w:r>
                </w:p>
              </w:tc>
              <w:tc>
                <w:tcPr>
                  <w:tcW w:w="707" w:type="pct"/>
                  <w:tcBorders>
                    <w:tl2br w:val="nil"/>
                    <w:tr2bl w:val="nil"/>
                  </w:tcBorders>
                  <w:noWrap/>
                  <w:vAlign w:val="center"/>
                </w:tcPr>
                <w:p w14:paraId="647FE6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≤30</w:t>
                  </w:r>
                </w:p>
              </w:tc>
              <w:tc>
                <w:tcPr>
                  <w:tcW w:w="707" w:type="pct"/>
                  <w:tcBorders>
                    <w:tl2br w:val="nil"/>
                    <w:tr2bl w:val="nil"/>
                  </w:tcBorders>
                  <w:noWrap/>
                  <w:vAlign w:val="center"/>
                </w:tcPr>
                <w:p w14:paraId="7F60B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≤6</w:t>
                  </w:r>
                </w:p>
              </w:tc>
              <w:tc>
                <w:tcPr>
                  <w:tcW w:w="547" w:type="pct"/>
                  <w:tcBorders>
                    <w:tl2br w:val="nil"/>
                    <w:tr2bl w:val="nil"/>
                  </w:tcBorders>
                  <w:noWrap/>
                  <w:vAlign w:val="center"/>
                </w:tcPr>
                <w:p w14:paraId="2310F8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≤1.5</w:t>
                  </w:r>
                </w:p>
              </w:tc>
            </w:tr>
            <w:tr w14:paraId="5DBEEE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334" w:type="pct"/>
                  <w:vMerge w:val="restart"/>
                  <w:tcBorders>
                    <w:tl2br w:val="nil"/>
                    <w:tr2bl w:val="nil"/>
                  </w:tcBorders>
                  <w:noWrap w:val="0"/>
                  <w:vAlign w:val="center"/>
                </w:tcPr>
                <w:p w14:paraId="54EFD9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老濉河</w:t>
                  </w:r>
                </w:p>
              </w:tc>
              <w:tc>
                <w:tcPr>
                  <w:tcW w:w="514" w:type="pct"/>
                  <w:vMerge w:val="restart"/>
                  <w:tcBorders>
                    <w:tl2br w:val="nil"/>
                    <w:tr2bl w:val="nil"/>
                  </w:tcBorders>
                  <w:noWrap/>
                  <w:vAlign w:val="center"/>
                </w:tcPr>
                <w:p w14:paraId="182F28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W9</w:t>
                  </w:r>
                </w:p>
              </w:tc>
              <w:tc>
                <w:tcPr>
                  <w:tcW w:w="791" w:type="pct"/>
                  <w:tcBorders>
                    <w:tl2br w:val="nil"/>
                    <w:tr2bl w:val="nil"/>
                  </w:tcBorders>
                  <w:noWrap w:val="0"/>
                  <w:vAlign w:val="center"/>
                </w:tcPr>
                <w:p w14:paraId="1E872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平均值</w:t>
                  </w:r>
                </w:p>
              </w:tc>
              <w:tc>
                <w:tcPr>
                  <w:tcW w:w="851" w:type="pct"/>
                  <w:tcBorders>
                    <w:tl2br w:val="nil"/>
                    <w:tr2bl w:val="nil"/>
                  </w:tcBorders>
                  <w:noWrap/>
                  <w:vAlign w:val="center"/>
                </w:tcPr>
                <w:p w14:paraId="28FF0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7.15</w:t>
                  </w:r>
                </w:p>
              </w:tc>
              <w:tc>
                <w:tcPr>
                  <w:tcW w:w="547" w:type="pct"/>
                  <w:tcBorders>
                    <w:tl2br w:val="nil"/>
                    <w:tr2bl w:val="nil"/>
                  </w:tcBorders>
                  <w:noWrap/>
                  <w:vAlign w:val="center"/>
                </w:tcPr>
                <w:p w14:paraId="032AD3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5.25</w:t>
                  </w:r>
                </w:p>
              </w:tc>
              <w:tc>
                <w:tcPr>
                  <w:tcW w:w="707" w:type="pct"/>
                  <w:tcBorders>
                    <w:tl2br w:val="nil"/>
                    <w:tr2bl w:val="nil"/>
                  </w:tcBorders>
                  <w:noWrap/>
                  <w:vAlign w:val="center"/>
                </w:tcPr>
                <w:p w14:paraId="5DC378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35.75</w:t>
                  </w:r>
                </w:p>
              </w:tc>
              <w:tc>
                <w:tcPr>
                  <w:tcW w:w="707" w:type="pct"/>
                  <w:tcBorders>
                    <w:tl2br w:val="nil"/>
                    <w:tr2bl w:val="nil"/>
                  </w:tcBorders>
                  <w:noWrap/>
                  <w:vAlign w:val="center"/>
                </w:tcPr>
                <w:p w14:paraId="0A6BD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547" w:type="pct"/>
                  <w:tcBorders>
                    <w:tl2br w:val="nil"/>
                    <w:tr2bl w:val="nil"/>
                  </w:tcBorders>
                  <w:noWrap/>
                  <w:vAlign w:val="center"/>
                </w:tcPr>
                <w:p w14:paraId="4B725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0.72</w:t>
                  </w:r>
                </w:p>
              </w:tc>
            </w:tr>
            <w:tr w14:paraId="2DEBD8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334" w:type="pct"/>
                  <w:vMerge w:val="continue"/>
                  <w:tcBorders>
                    <w:tl2br w:val="nil"/>
                    <w:tr2bl w:val="nil"/>
                  </w:tcBorders>
                  <w:noWrap w:val="0"/>
                  <w:vAlign w:val="center"/>
                </w:tcPr>
                <w:p w14:paraId="62B68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514" w:type="pct"/>
                  <w:vMerge w:val="continue"/>
                  <w:tcBorders>
                    <w:tl2br w:val="nil"/>
                    <w:tr2bl w:val="nil"/>
                  </w:tcBorders>
                  <w:noWrap w:val="0"/>
                  <w:vAlign w:val="center"/>
                </w:tcPr>
                <w:p w14:paraId="78917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791" w:type="pct"/>
                  <w:tcBorders>
                    <w:tl2br w:val="nil"/>
                    <w:tr2bl w:val="nil"/>
                  </w:tcBorders>
                  <w:noWrap w:val="0"/>
                  <w:vAlign w:val="center"/>
                </w:tcPr>
                <w:p w14:paraId="0BEC0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污染指数</w:t>
                  </w:r>
                </w:p>
              </w:tc>
              <w:tc>
                <w:tcPr>
                  <w:tcW w:w="851" w:type="pct"/>
                  <w:tcBorders>
                    <w:tl2br w:val="nil"/>
                    <w:tr2bl w:val="nil"/>
                  </w:tcBorders>
                  <w:noWrap/>
                  <w:vAlign w:val="center"/>
                </w:tcPr>
                <w:p w14:paraId="0D7BF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0.08</w:t>
                  </w:r>
                </w:p>
              </w:tc>
              <w:tc>
                <w:tcPr>
                  <w:tcW w:w="547" w:type="pct"/>
                  <w:tcBorders>
                    <w:tl2br w:val="nil"/>
                    <w:tr2bl w:val="nil"/>
                  </w:tcBorders>
                  <w:noWrap/>
                  <w:vAlign w:val="center"/>
                </w:tcPr>
                <w:p w14:paraId="7D20B1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707" w:type="pct"/>
                  <w:tcBorders>
                    <w:tl2br w:val="nil"/>
                    <w:tr2bl w:val="nil"/>
                  </w:tcBorders>
                  <w:noWrap/>
                  <w:vAlign w:val="center"/>
                </w:tcPr>
                <w:p w14:paraId="59961F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1.19</w:t>
                  </w:r>
                </w:p>
              </w:tc>
              <w:tc>
                <w:tcPr>
                  <w:tcW w:w="707" w:type="pct"/>
                  <w:tcBorders>
                    <w:tl2br w:val="nil"/>
                    <w:tr2bl w:val="nil"/>
                  </w:tcBorders>
                  <w:noWrap/>
                  <w:vAlign w:val="center"/>
                </w:tcPr>
                <w:p w14:paraId="0E61B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1.15</w:t>
                  </w:r>
                </w:p>
              </w:tc>
              <w:tc>
                <w:tcPr>
                  <w:tcW w:w="547" w:type="pct"/>
                  <w:tcBorders>
                    <w:tl2br w:val="nil"/>
                    <w:tr2bl w:val="nil"/>
                  </w:tcBorders>
                  <w:noWrap/>
                  <w:vAlign w:val="center"/>
                </w:tcPr>
                <w:p w14:paraId="4AF8E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0.48</w:t>
                  </w:r>
                </w:p>
              </w:tc>
            </w:tr>
            <w:tr w14:paraId="6F8879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334" w:type="pct"/>
                  <w:vMerge w:val="continue"/>
                  <w:tcBorders>
                    <w:tl2br w:val="nil"/>
                    <w:tr2bl w:val="nil"/>
                  </w:tcBorders>
                  <w:shd w:val="clear" w:color="auto" w:fill="auto"/>
                  <w:noWrap w:val="0"/>
                  <w:vAlign w:val="center"/>
                </w:tcPr>
                <w:p w14:paraId="10BDA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514" w:type="pct"/>
                  <w:vMerge w:val="continue"/>
                  <w:tcBorders>
                    <w:tl2br w:val="nil"/>
                    <w:tr2bl w:val="nil"/>
                  </w:tcBorders>
                  <w:shd w:val="clear" w:color="auto" w:fill="auto"/>
                  <w:noWrap w:val="0"/>
                  <w:vAlign w:val="center"/>
                </w:tcPr>
                <w:p w14:paraId="0455F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791" w:type="pct"/>
                  <w:tcBorders>
                    <w:tl2br w:val="nil"/>
                    <w:tr2bl w:val="nil"/>
                  </w:tcBorders>
                  <w:shd w:val="clear" w:color="auto" w:fill="auto"/>
                  <w:noWrap w:val="0"/>
                  <w:vAlign w:val="center"/>
                </w:tcPr>
                <w:p w14:paraId="3D6BB7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tc>
              <w:tc>
                <w:tcPr>
                  <w:tcW w:w="851" w:type="pct"/>
                  <w:tcBorders>
                    <w:tl2br w:val="nil"/>
                    <w:tr2bl w:val="nil"/>
                  </w:tcBorders>
                  <w:shd w:val="clear" w:color="auto" w:fill="auto"/>
                  <w:noWrap/>
                  <w:vAlign w:val="center"/>
                </w:tcPr>
                <w:p w14:paraId="6A9CB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547" w:type="pct"/>
                  <w:tcBorders>
                    <w:tl2br w:val="nil"/>
                    <w:tr2bl w:val="nil"/>
                  </w:tcBorders>
                  <w:shd w:val="clear" w:color="auto" w:fill="auto"/>
                  <w:noWrap/>
                  <w:vAlign w:val="center"/>
                </w:tcPr>
                <w:p w14:paraId="6E4EA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07" w:type="pct"/>
                  <w:tcBorders>
                    <w:tl2br w:val="nil"/>
                    <w:tr2bl w:val="nil"/>
                  </w:tcBorders>
                  <w:shd w:val="clear" w:color="auto" w:fill="EEECE1"/>
                  <w:noWrap/>
                  <w:vAlign w:val="center"/>
                </w:tcPr>
                <w:p w14:paraId="67767A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19.20%</w:t>
                  </w:r>
                </w:p>
              </w:tc>
              <w:tc>
                <w:tcPr>
                  <w:tcW w:w="707" w:type="pct"/>
                  <w:tcBorders>
                    <w:tl2br w:val="nil"/>
                    <w:tr2bl w:val="nil"/>
                  </w:tcBorders>
                  <w:shd w:val="clear" w:color="auto" w:fill="EEECE1"/>
                  <w:noWrap/>
                  <w:vAlign w:val="center"/>
                </w:tcPr>
                <w:p w14:paraId="2E826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15.00%</w:t>
                  </w:r>
                </w:p>
              </w:tc>
              <w:tc>
                <w:tcPr>
                  <w:tcW w:w="547" w:type="pct"/>
                  <w:tcBorders>
                    <w:tl2br w:val="nil"/>
                    <w:tr2bl w:val="nil"/>
                  </w:tcBorders>
                  <w:noWrap/>
                  <w:vAlign w:val="center"/>
                </w:tcPr>
                <w:p w14:paraId="17CA8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14:paraId="3A761A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334" w:type="pct"/>
                  <w:vMerge w:val="continue"/>
                  <w:tcBorders>
                    <w:tl2br w:val="nil"/>
                    <w:tr2bl w:val="nil"/>
                  </w:tcBorders>
                  <w:noWrap w:val="0"/>
                  <w:vAlign w:val="center"/>
                </w:tcPr>
                <w:p w14:paraId="46A1E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514" w:type="pct"/>
                  <w:vMerge w:val="restart"/>
                  <w:tcBorders>
                    <w:tl2br w:val="nil"/>
                    <w:tr2bl w:val="nil"/>
                  </w:tcBorders>
                  <w:noWrap/>
                  <w:vAlign w:val="center"/>
                </w:tcPr>
                <w:p w14:paraId="6F2CB8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W10</w:t>
                  </w:r>
                </w:p>
              </w:tc>
              <w:tc>
                <w:tcPr>
                  <w:tcW w:w="791" w:type="pct"/>
                  <w:tcBorders>
                    <w:tl2br w:val="nil"/>
                    <w:tr2bl w:val="nil"/>
                  </w:tcBorders>
                  <w:noWrap w:val="0"/>
                  <w:vAlign w:val="center"/>
                </w:tcPr>
                <w:p w14:paraId="3F7F5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平均值</w:t>
                  </w:r>
                </w:p>
              </w:tc>
              <w:tc>
                <w:tcPr>
                  <w:tcW w:w="851" w:type="pct"/>
                  <w:tcBorders>
                    <w:tl2br w:val="nil"/>
                    <w:tr2bl w:val="nil"/>
                  </w:tcBorders>
                  <w:noWrap/>
                  <w:vAlign w:val="center"/>
                </w:tcPr>
                <w:p w14:paraId="0BE4B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w:t>
                  </w:r>
                </w:p>
              </w:tc>
              <w:tc>
                <w:tcPr>
                  <w:tcW w:w="547" w:type="pct"/>
                  <w:tcBorders>
                    <w:tl2br w:val="nil"/>
                    <w:tr2bl w:val="nil"/>
                  </w:tcBorders>
                  <w:noWrap/>
                  <w:vAlign w:val="center"/>
                </w:tcPr>
                <w:p w14:paraId="7AABE3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3.75</w:t>
                  </w:r>
                </w:p>
              </w:tc>
              <w:tc>
                <w:tcPr>
                  <w:tcW w:w="707" w:type="pct"/>
                  <w:tcBorders>
                    <w:tl2br w:val="nil"/>
                    <w:tr2bl w:val="nil"/>
                  </w:tcBorders>
                  <w:noWrap/>
                  <w:vAlign w:val="center"/>
                </w:tcPr>
                <w:p w14:paraId="184F1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w:t>
                  </w:r>
                </w:p>
              </w:tc>
              <w:tc>
                <w:tcPr>
                  <w:tcW w:w="707" w:type="pct"/>
                  <w:tcBorders>
                    <w:tl2br w:val="nil"/>
                    <w:tr2bl w:val="nil"/>
                  </w:tcBorders>
                  <w:noWrap/>
                  <w:vAlign w:val="center"/>
                </w:tcPr>
                <w:p w14:paraId="50429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547" w:type="pct"/>
                  <w:tcBorders>
                    <w:tl2br w:val="nil"/>
                    <w:tr2bl w:val="nil"/>
                  </w:tcBorders>
                  <w:noWrap/>
                  <w:vAlign w:val="center"/>
                </w:tcPr>
                <w:p w14:paraId="674E4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r w14:paraId="3D41A8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334" w:type="pct"/>
                  <w:vMerge w:val="continue"/>
                  <w:tcBorders>
                    <w:tl2br w:val="nil"/>
                    <w:tr2bl w:val="nil"/>
                  </w:tcBorders>
                  <w:noWrap w:val="0"/>
                  <w:vAlign w:val="center"/>
                </w:tcPr>
                <w:p w14:paraId="5129CD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514" w:type="pct"/>
                  <w:vMerge w:val="continue"/>
                  <w:tcBorders>
                    <w:tl2br w:val="nil"/>
                    <w:tr2bl w:val="nil"/>
                  </w:tcBorders>
                  <w:noWrap w:val="0"/>
                  <w:vAlign w:val="center"/>
                </w:tcPr>
                <w:p w14:paraId="107EA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791" w:type="pct"/>
                  <w:tcBorders>
                    <w:tl2br w:val="nil"/>
                    <w:tr2bl w:val="nil"/>
                  </w:tcBorders>
                  <w:noWrap w:val="0"/>
                  <w:vAlign w:val="center"/>
                </w:tcPr>
                <w:p w14:paraId="0B2D4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污染指数</w:t>
                  </w:r>
                </w:p>
              </w:tc>
              <w:tc>
                <w:tcPr>
                  <w:tcW w:w="851" w:type="pct"/>
                  <w:tcBorders>
                    <w:tl2br w:val="nil"/>
                    <w:tr2bl w:val="nil"/>
                  </w:tcBorders>
                  <w:noWrap/>
                  <w:vAlign w:val="center"/>
                </w:tcPr>
                <w:p w14:paraId="094ADC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547" w:type="pct"/>
                  <w:tcBorders>
                    <w:tl2br w:val="nil"/>
                    <w:tr2bl w:val="nil"/>
                  </w:tcBorders>
                  <w:noWrap/>
                  <w:vAlign w:val="center"/>
                </w:tcPr>
                <w:p w14:paraId="66EB40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707" w:type="pct"/>
                  <w:tcBorders>
                    <w:tl2br w:val="nil"/>
                    <w:tr2bl w:val="nil"/>
                  </w:tcBorders>
                  <w:noWrap/>
                  <w:vAlign w:val="center"/>
                </w:tcPr>
                <w:p w14:paraId="75CB8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707" w:type="pct"/>
                  <w:tcBorders>
                    <w:tl2br w:val="nil"/>
                    <w:tr2bl w:val="nil"/>
                  </w:tcBorders>
                  <w:noWrap/>
                  <w:vAlign w:val="center"/>
                </w:tcPr>
                <w:p w14:paraId="1B4794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0.87</w:t>
                  </w:r>
                </w:p>
              </w:tc>
              <w:tc>
                <w:tcPr>
                  <w:tcW w:w="547" w:type="pct"/>
                  <w:tcBorders>
                    <w:tl2br w:val="nil"/>
                    <w:tr2bl w:val="nil"/>
                  </w:tcBorders>
                  <w:noWrap/>
                  <w:vAlign w:val="center"/>
                </w:tcPr>
                <w:p w14:paraId="316C20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w:t>
                  </w:r>
                </w:p>
              </w:tc>
            </w:tr>
            <w:tr w14:paraId="487BD5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334" w:type="pct"/>
                  <w:vMerge w:val="continue"/>
                  <w:tcBorders>
                    <w:tl2br w:val="nil"/>
                    <w:tr2bl w:val="nil"/>
                  </w:tcBorders>
                  <w:shd w:val="clear" w:color="auto" w:fill="auto"/>
                  <w:noWrap w:val="0"/>
                  <w:vAlign w:val="center"/>
                </w:tcPr>
                <w:p w14:paraId="260842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514" w:type="pct"/>
                  <w:vMerge w:val="continue"/>
                  <w:tcBorders>
                    <w:tl2br w:val="nil"/>
                    <w:tr2bl w:val="nil"/>
                  </w:tcBorders>
                  <w:shd w:val="clear" w:color="auto" w:fill="auto"/>
                  <w:noWrap w:val="0"/>
                  <w:vAlign w:val="center"/>
                </w:tcPr>
                <w:p w14:paraId="462F7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791" w:type="pct"/>
                  <w:tcBorders>
                    <w:tl2br w:val="nil"/>
                    <w:tr2bl w:val="nil"/>
                  </w:tcBorders>
                  <w:shd w:val="clear" w:color="auto" w:fill="auto"/>
                  <w:noWrap w:val="0"/>
                  <w:vAlign w:val="center"/>
                </w:tcPr>
                <w:p w14:paraId="71A37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tc>
              <w:tc>
                <w:tcPr>
                  <w:tcW w:w="851" w:type="pct"/>
                  <w:tcBorders>
                    <w:tl2br w:val="nil"/>
                    <w:tr2bl w:val="nil"/>
                  </w:tcBorders>
                  <w:shd w:val="clear" w:color="auto" w:fill="auto"/>
                  <w:noWrap/>
                  <w:vAlign w:val="center"/>
                </w:tcPr>
                <w:p w14:paraId="092CF7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547" w:type="pct"/>
                  <w:tcBorders>
                    <w:tl2br w:val="nil"/>
                    <w:tr2bl w:val="nil"/>
                  </w:tcBorders>
                  <w:shd w:val="clear" w:color="auto" w:fill="auto"/>
                  <w:noWrap/>
                  <w:vAlign w:val="center"/>
                </w:tcPr>
                <w:p w14:paraId="4F83F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07" w:type="pct"/>
                  <w:tcBorders>
                    <w:tl2br w:val="nil"/>
                    <w:tr2bl w:val="nil"/>
                  </w:tcBorders>
                  <w:shd w:val="clear" w:color="auto" w:fill="EEECE1"/>
                  <w:noWrap/>
                  <w:vAlign w:val="center"/>
                </w:tcPr>
                <w:p w14:paraId="33BB0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10.00%</w:t>
                  </w:r>
                </w:p>
              </w:tc>
              <w:tc>
                <w:tcPr>
                  <w:tcW w:w="707" w:type="pct"/>
                  <w:tcBorders>
                    <w:tl2br w:val="nil"/>
                    <w:tr2bl w:val="nil"/>
                  </w:tcBorders>
                  <w:noWrap/>
                  <w:vAlign w:val="center"/>
                </w:tcPr>
                <w:p w14:paraId="793646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547" w:type="pct"/>
                  <w:tcBorders>
                    <w:tl2br w:val="nil"/>
                    <w:tr2bl w:val="nil"/>
                  </w:tcBorders>
                  <w:noWrap/>
                  <w:vAlign w:val="center"/>
                </w:tcPr>
                <w:p w14:paraId="42B3B1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14:paraId="7C7345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334" w:type="pct"/>
                  <w:vMerge w:val="continue"/>
                  <w:tcBorders>
                    <w:tl2br w:val="nil"/>
                    <w:tr2bl w:val="nil"/>
                  </w:tcBorders>
                  <w:noWrap w:val="0"/>
                  <w:vAlign w:val="center"/>
                </w:tcPr>
                <w:p w14:paraId="098905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514" w:type="pct"/>
                  <w:vMerge w:val="restart"/>
                  <w:tcBorders>
                    <w:tl2br w:val="nil"/>
                    <w:tr2bl w:val="nil"/>
                  </w:tcBorders>
                  <w:noWrap/>
                  <w:vAlign w:val="center"/>
                </w:tcPr>
                <w:p w14:paraId="12C27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W11</w:t>
                  </w:r>
                </w:p>
              </w:tc>
              <w:tc>
                <w:tcPr>
                  <w:tcW w:w="791" w:type="pct"/>
                  <w:tcBorders>
                    <w:tl2br w:val="nil"/>
                    <w:tr2bl w:val="nil"/>
                  </w:tcBorders>
                  <w:noWrap w:val="0"/>
                  <w:vAlign w:val="center"/>
                </w:tcPr>
                <w:p w14:paraId="48ACE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平均值</w:t>
                  </w:r>
                </w:p>
              </w:tc>
              <w:tc>
                <w:tcPr>
                  <w:tcW w:w="851" w:type="pct"/>
                  <w:tcBorders>
                    <w:tl2br w:val="nil"/>
                    <w:tr2bl w:val="nil"/>
                  </w:tcBorders>
                  <w:noWrap/>
                  <w:vAlign w:val="center"/>
                </w:tcPr>
                <w:p w14:paraId="647996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7.08</w:t>
                  </w:r>
                </w:p>
              </w:tc>
              <w:tc>
                <w:tcPr>
                  <w:tcW w:w="547" w:type="pct"/>
                  <w:tcBorders>
                    <w:tl2br w:val="nil"/>
                    <w:tr2bl w:val="nil"/>
                  </w:tcBorders>
                  <w:noWrap/>
                  <w:vAlign w:val="center"/>
                </w:tcPr>
                <w:p w14:paraId="48036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707" w:type="pct"/>
                  <w:tcBorders>
                    <w:tl2br w:val="nil"/>
                    <w:tr2bl w:val="nil"/>
                  </w:tcBorders>
                  <w:noWrap/>
                  <w:vAlign w:val="center"/>
                </w:tcPr>
                <w:p w14:paraId="1B35E1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33.25</w:t>
                  </w:r>
                </w:p>
              </w:tc>
              <w:tc>
                <w:tcPr>
                  <w:tcW w:w="707" w:type="pct"/>
                  <w:tcBorders>
                    <w:tl2br w:val="nil"/>
                    <w:tr2bl w:val="nil"/>
                  </w:tcBorders>
                  <w:noWrap/>
                  <w:vAlign w:val="center"/>
                </w:tcPr>
                <w:p w14:paraId="6AC1E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5.43</w:t>
                  </w:r>
                </w:p>
              </w:tc>
              <w:tc>
                <w:tcPr>
                  <w:tcW w:w="547" w:type="pct"/>
                  <w:tcBorders>
                    <w:tl2br w:val="nil"/>
                    <w:tr2bl w:val="nil"/>
                  </w:tcBorders>
                  <w:noWrap/>
                  <w:vAlign w:val="center"/>
                </w:tcPr>
                <w:p w14:paraId="230988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0.58</w:t>
                  </w:r>
                </w:p>
              </w:tc>
            </w:tr>
            <w:tr w14:paraId="39B14E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334" w:type="pct"/>
                  <w:vMerge w:val="continue"/>
                  <w:tcBorders>
                    <w:tl2br w:val="nil"/>
                    <w:tr2bl w:val="nil"/>
                  </w:tcBorders>
                  <w:noWrap w:val="0"/>
                  <w:vAlign w:val="center"/>
                </w:tcPr>
                <w:p w14:paraId="01DF5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514" w:type="pct"/>
                  <w:vMerge w:val="continue"/>
                  <w:tcBorders>
                    <w:tl2br w:val="nil"/>
                    <w:tr2bl w:val="nil"/>
                  </w:tcBorders>
                  <w:noWrap w:val="0"/>
                  <w:vAlign w:val="center"/>
                </w:tcPr>
                <w:p w14:paraId="6CC9BF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791" w:type="pct"/>
                  <w:tcBorders>
                    <w:tl2br w:val="nil"/>
                    <w:tr2bl w:val="nil"/>
                  </w:tcBorders>
                  <w:noWrap w:val="0"/>
                  <w:vAlign w:val="center"/>
                </w:tcPr>
                <w:p w14:paraId="1B4A6B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污染指数</w:t>
                  </w:r>
                </w:p>
              </w:tc>
              <w:tc>
                <w:tcPr>
                  <w:tcW w:w="851" w:type="pct"/>
                  <w:tcBorders>
                    <w:tl2br w:val="nil"/>
                    <w:tr2bl w:val="nil"/>
                  </w:tcBorders>
                  <w:noWrap/>
                  <w:vAlign w:val="center"/>
                </w:tcPr>
                <w:p w14:paraId="7FCD16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c>
                <w:tcPr>
                  <w:tcW w:w="547" w:type="pct"/>
                  <w:tcBorders>
                    <w:tl2br w:val="nil"/>
                    <w:tr2bl w:val="nil"/>
                  </w:tcBorders>
                  <w:noWrap/>
                  <w:vAlign w:val="center"/>
                </w:tcPr>
                <w:p w14:paraId="01FB9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0.07</w:t>
                  </w:r>
                </w:p>
              </w:tc>
              <w:tc>
                <w:tcPr>
                  <w:tcW w:w="707" w:type="pct"/>
                  <w:tcBorders>
                    <w:tl2br w:val="nil"/>
                    <w:tr2bl w:val="nil"/>
                  </w:tcBorders>
                  <w:noWrap/>
                  <w:vAlign w:val="center"/>
                </w:tcPr>
                <w:p w14:paraId="61F6C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w:t>
                  </w:r>
                </w:p>
              </w:tc>
              <w:tc>
                <w:tcPr>
                  <w:tcW w:w="707" w:type="pct"/>
                  <w:tcBorders>
                    <w:tl2br w:val="nil"/>
                    <w:tr2bl w:val="nil"/>
                  </w:tcBorders>
                  <w:noWrap/>
                  <w:vAlign w:val="center"/>
                </w:tcPr>
                <w:p w14:paraId="4CEF7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w:t>
                  </w:r>
                </w:p>
              </w:tc>
              <w:tc>
                <w:tcPr>
                  <w:tcW w:w="547" w:type="pct"/>
                  <w:tcBorders>
                    <w:tl2br w:val="nil"/>
                    <w:tr2bl w:val="nil"/>
                  </w:tcBorders>
                  <w:noWrap/>
                  <w:vAlign w:val="center"/>
                </w:tcPr>
                <w:p w14:paraId="09AACC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0.39</w:t>
                  </w:r>
                </w:p>
              </w:tc>
            </w:tr>
            <w:tr w14:paraId="593B71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334" w:type="pct"/>
                  <w:vMerge w:val="continue"/>
                  <w:tcBorders>
                    <w:tl2br w:val="nil"/>
                    <w:tr2bl w:val="nil"/>
                  </w:tcBorders>
                  <w:shd w:val="clear" w:color="auto" w:fill="auto"/>
                  <w:noWrap w:val="0"/>
                  <w:vAlign w:val="center"/>
                </w:tcPr>
                <w:p w14:paraId="44687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514" w:type="pct"/>
                  <w:vMerge w:val="continue"/>
                  <w:tcBorders>
                    <w:tl2br w:val="nil"/>
                    <w:tr2bl w:val="nil"/>
                  </w:tcBorders>
                  <w:shd w:val="clear" w:color="auto" w:fill="auto"/>
                  <w:noWrap w:val="0"/>
                  <w:vAlign w:val="center"/>
                </w:tcPr>
                <w:p w14:paraId="00EA8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c>
                <w:tcPr>
                  <w:tcW w:w="791" w:type="pct"/>
                  <w:tcBorders>
                    <w:tl2br w:val="nil"/>
                    <w:tr2bl w:val="nil"/>
                  </w:tcBorders>
                  <w:shd w:val="clear" w:color="auto" w:fill="auto"/>
                  <w:noWrap w:val="0"/>
                  <w:vAlign w:val="center"/>
                </w:tcPr>
                <w:p w14:paraId="66ACF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tc>
              <w:tc>
                <w:tcPr>
                  <w:tcW w:w="851" w:type="pct"/>
                  <w:tcBorders>
                    <w:tl2br w:val="nil"/>
                    <w:tr2bl w:val="nil"/>
                  </w:tcBorders>
                  <w:shd w:val="clear" w:color="auto" w:fill="auto"/>
                  <w:noWrap/>
                  <w:vAlign w:val="center"/>
                </w:tcPr>
                <w:p w14:paraId="09C5E8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547" w:type="pct"/>
                  <w:tcBorders>
                    <w:tl2br w:val="nil"/>
                    <w:tr2bl w:val="nil"/>
                  </w:tcBorders>
                  <w:shd w:val="clear" w:color="auto" w:fill="auto"/>
                  <w:noWrap/>
                  <w:vAlign w:val="center"/>
                </w:tcPr>
                <w:p w14:paraId="5B147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07" w:type="pct"/>
                  <w:tcBorders>
                    <w:tl2br w:val="nil"/>
                    <w:tr2bl w:val="nil"/>
                  </w:tcBorders>
                  <w:shd w:val="clear" w:color="auto" w:fill="EEECE1"/>
                  <w:noWrap/>
                  <w:vAlign w:val="center"/>
                </w:tcPr>
                <w:p w14:paraId="769446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b/>
                      <w:sz w:val="21"/>
                      <w:szCs w:val="21"/>
                      <w:shd w:val="clear" w:color="auto" w:fill="EEECE1"/>
                    </w:rPr>
                    <w:t>0.80%</w:t>
                  </w:r>
                </w:p>
              </w:tc>
              <w:tc>
                <w:tcPr>
                  <w:tcW w:w="707" w:type="pct"/>
                  <w:tcBorders>
                    <w:tl2br w:val="nil"/>
                    <w:tr2bl w:val="nil"/>
                  </w:tcBorders>
                  <w:noWrap/>
                  <w:vAlign w:val="center"/>
                </w:tcPr>
                <w:p w14:paraId="50F74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547" w:type="pct"/>
                  <w:tcBorders>
                    <w:tl2br w:val="nil"/>
                    <w:tr2bl w:val="nil"/>
                  </w:tcBorders>
                  <w:noWrap/>
                  <w:vAlign w:val="center"/>
                </w:tcPr>
                <w:p w14:paraId="52F22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bl>
          <w:p w14:paraId="0482B7F0">
            <w:pPr>
              <w:keepNext w:val="0"/>
              <w:keepLines w:val="0"/>
              <w:suppressLineNumbers w:val="0"/>
              <w:spacing w:before="0" w:beforeAutospacing="0" w:after="0" w:afterAutospacing="0"/>
              <w:ind w:left="0" w:right="0"/>
              <w:rPr>
                <w:rFonts w:hint="default" w:ascii="Times New Roman" w:hAnsi="Times New Roman" w:cs="Times New Roman"/>
              </w:rPr>
            </w:pPr>
          </w:p>
          <w:p w14:paraId="7F4D605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color w:val="auto"/>
                <w:sz w:val="24"/>
                <w:szCs w:val="24"/>
              </w:rPr>
              <w:t>由</w:t>
            </w:r>
            <w:r>
              <w:rPr>
                <w:rFonts w:hint="eastAsia" w:ascii="Times New Roman" w:hAnsi="Times New Roman" w:cs="Times New Roman"/>
                <w:color w:val="auto"/>
                <w:sz w:val="24"/>
                <w:szCs w:val="24"/>
                <w:lang w:eastAsia="zh-CN"/>
              </w:rPr>
              <w:t>检测结果</w:t>
            </w:r>
            <w:r>
              <w:rPr>
                <w:rFonts w:hint="default" w:ascii="Times New Roman" w:hAnsi="Times New Roman" w:cs="Times New Roman"/>
                <w:color w:val="auto"/>
                <w:sz w:val="24"/>
                <w:szCs w:val="24"/>
              </w:rPr>
              <w:t>可知，</w:t>
            </w:r>
            <w:r>
              <w:rPr>
                <w:rFonts w:hint="eastAsia" w:ascii="Times New Roman" w:hAnsi="Times New Roman" w:cs="Times New Roman"/>
                <w:color w:val="auto"/>
                <w:sz w:val="24"/>
                <w:szCs w:val="24"/>
              </w:rPr>
              <w:t>老濉河段入河处（W9）出现CODcr、BOD</w:t>
            </w:r>
            <w:r>
              <w:rPr>
                <w:rFonts w:hint="eastAsia" w:ascii="Times New Roman" w:hAnsi="Times New Roman" w:cs="Times New Roman"/>
                <w:color w:val="auto"/>
                <w:sz w:val="24"/>
                <w:szCs w:val="24"/>
                <w:vertAlign w:val="subscript"/>
              </w:rPr>
              <w:t>5</w:t>
            </w:r>
            <w:r>
              <w:rPr>
                <w:rFonts w:hint="eastAsia" w:ascii="Times New Roman" w:hAnsi="Times New Roman" w:cs="Times New Roman"/>
                <w:color w:val="auto"/>
                <w:sz w:val="24"/>
                <w:szCs w:val="24"/>
              </w:rPr>
              <w:t>超标现象，较大程度上可能为萧濉新河输入源影响；W10、W11均出现CODcr超标现象，除受上游来水水质超标影响外，老濉河沿线雨污水排污口也可能对河道水质造成一定影响。</w:t>
            </w:r>
            <w:r>
              <w:rPr>
                <w:rFonts w:hint="eastAsia" w:ascii="Times New Roman" w:hAnsi="Times New Roman" w:cs="Times New Roman"/>
                <w:color w:val="auto"/>
                <w:sz w:val="24"/>
                <w:szCs w:val="24"/>
                <w:lang w:val="en-US" w:eastAsia="zh-CN"/>
              </w:rPr>
              <w:t>园区于2024年1月启动</w:t>
            </w:r>
            <w:r>
              <w:rPr>
                <w:rFonts w:hint="eastAsia" w:ascii="Times New Roman" w:hAnsi="Times New Roman" w:eastAsia="宋体" w:cs="Times New Roman"/>
                <w:sz w:val="24"/>
                <w:szCs w:val="24"/>
              </w:rPr>
              <w:t>老濉河水生态保护修复工程项目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color w:val="auto"/>
                <w:sz w:val="24"/>
                <w:szCs w:val="24"/>
              </w:rPr>
              <w:t>工程内容主要包括生态护坡及缓冲带建设工程、雨水排口预处理、活水循环工程、生境修复工程、水生态修复与生物多样性保护工程、水文化传承景观构筑物建设工程、再生水取水口建设工程及附属工程。工程实施后老濉河水质</w:t>
            </w:r>
            <w:r>
              <w:rPr>
                <w:rFonts w:hint="eastAsia" w:ascii="Times New Roman" w:hAnsi="Times New Roman" w:eastAsia="宋体" w:cs="Times New Roman"/>
                <w:color w:val="auto"/>
                <w:sz w:val="24"/>
                <w:szCs w:val="24"/>
                <w:lang w:val="en-US" w:eastAsia="zh-CN"/>
              </w:rPr>
              <w:t>预计能够</w:t>
            </w:r>
            <w:r>
              <w:rPr>
                <w:rFonts w:hint="default" w:ascii="Times New Roman" w:hAnsi="Times New Roman" w:eastAsia="宋体" w:cs="Times New Roman"/>
                <w:color w:val="auto"/>
                <w:sz w:val="24"/>
                <w:szCs w:val="24"/>
              </w:rPr>
              <w:t>达到</w:t>
            </w:r>
            <w:r>
              <w:rPr>
                <w:rFonts w:hint="default" w:ascii="Times New Roman" w:hAnsi="Times New Roman" w:eastAsia="宋体" w:cs="Times New Roman"/>
                <w:color w:val="auto"/>
                <w:kern w:val="2"/>
                <w:sz w:val="24"/>
                <w:szCs w:val="24"/>
              </w:rPr>
              <w:t>Ⅲ</w:t>
            </w:r>
            <w:r>
              <w:rPr>
                <w:rFonts w:hint="default" w:ascii="Times New Roman" w:hAnsi="Times New Roman" w:eastAsia="宋体" w:cs="Times New Roman"/>
                <w:color w:val="auto"/>
                <w:sz w:val="24"/>
                <w:szCs w:val="24"/>
              </w:rPr>
              <w:t>类。</w:t>
            </w:r>
          </w:p>
          <w:p w14:paraId="4839BCD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b/>
                <w:bCs/>
                <w:sz w:val="24"/>
              </w:rPr>
            </w:pPr>
            <w:r>
              <w:rPr>
                <w:rFonts w:hint="default" w:ascii="Times New Roman" w:hAnsi="Times New Roman" w:cs="Times New Roman"/>
                <w:b/>
                <w:bCs/>
                <w:sz w:val="24"/>
              </w:rPr>
              <w:t>3</w:t>
            </w:r>
            <w:r>
              <w:rPr>
                <w:rFonts w:hint="eastAsia" w:ascii="Times New Roman" w:hAnsi="Times New Roman" w:cs="Times New Roman"/>
                <w:b/>
                <w:bCs/>
                <w:sz w:val="24"/>
              </w:rPr>
              <w:t>、</w:t>
            </w:r>
            <w:r>
              <w:rPr>
                <w:rFonts w:hint="default" w:ascii="Times New Roman" w:hAnsi="Times New Roman" w:cs="Times New Roman"/>
                <w:b/>
                <w:bCs/>
                <w:sz w:val="24"/>
              </w:rPr>
              <w:t>声环境质量现状</w:t>
            </w:r>
          </w:p>
          <w:p w14:paraId="472617C5">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b/>
                <w:bCs/>
                <w:sz w:val="24"/>
              </w:rPr>
            </w:pPr>
            <w:r>
              <w:rPr>
                <w:rFonts w:hint="default" w:ascii="Times New Roman" w:hAnsi="Times New Roman" w:cs="Times New Roman"/>
                <w:color w:val="000000"/>
                <w:sz w:val="24"/>
              </w:rPr>
              <w:t>由于本项目厂界外周边50m范围内不存在声环境保护目标，根据《建设项目环境影响报告表编制技术指南（污染影响类）（试行）》要求，无需开展声环境现状监测。</w:t>
            </w:r>
          </w:p>
          <w:p w14:paraId="10F9A49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b/>
                <w:bCs/>
                <w:sz w:val="24"/>
              </w:rPr>
            </w:pPr>
            <w:r>
              <w:rPr>
                <w:rFonts w:hint="default" w:ascii="Times New Roman" w:hAnsi="Times New Roman" w:cs="Times New Roman"/>
                <w:b/>
                <w:bCs/>
                <w:sz w:val="24"/>
              </w:rPr>
              <w:t>4</w:t>
            </w:r>
            <w:r>
              <w:rPr>
                <w:rFonts w:hint="eastAsia" w:ascii="Times New Roman" w:hAnsi="Times New Roman" w:cs="Times New Roman"/>
                <w:b/>
                <w:bCs/>
                <w:sz w:val="24"/>
              </w:rPr>
              <w:t>、</w:t>
            </w:r>
            <w:r>
              <w:rPr>
                <w:rFonts w:hint="default" w:ascii="Times New Roman" w:hAnsi="Times New Roman" w:cs="Times New Roman"/>
                <w:b/>
                <w:bCs/>
                <w:sz w:val="24"/>
              </w:rPr>
              <w:t>生态环境质量现状</w:t>
            </w:r>
          </w:p>
          <w:p w14:paraId="54FE2C1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本项目位于</w:t>
            </w:r>
            <w:r>
              <w:rPr>
                <w:rFonts w:hint="eastAsia" w:ascii="Times New Roman" w:hAnsi="Times New Roman" w:cs="Times New Roman"/>
                <w:sz w:val="24"/>
              </w:rPr>
              <w:t>安徽省淮北市相山经济开发区凤凰路16号</w:t>
            </w:r>
            <w:r>
              <w:rPr>
                <w:rFonts w:hint="default" w:ascii="Times New Roman" w:hAnsi="Times New Roman" w:cs="Times New Roman"/>
                <w:sz w:val="24"/>
              </w:rPr>
              <w:t>，</w:t>
            </w:r>
            <w:r>
              <w:rPr>
                <w:rFonts w:hint="eastAsia" w:ascii="Times New Roman" w:hAnsi="Times New Roman" w:cs="Times New Roman"/>
                <w:sz w:val="24"/>
              </w:rPr>
              <w:t>用地性质为工业用地，不涉及新增用地，用地范围内不涉及野生保护动植物等生态环境保护目标</w:t>
            </w:r>
            <w:r>
              <w:rPr>
                <w:rFonts w:hint="default" w:ascii="Times New Roman" w:hAnsi="Times New Roman" w:cs="Times New Roman"/>
                <w:sz w:val="24"/>
              </w:rPr>
              <w:t>，故不进行生态环境现状调查。</w:t>
            </w:r>
          </w:p>
          <w:p w14:paraId="02526DA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sz w:val="24"/>
              </w:rPr>
            </w:pPr>
            <w:r>
              <w:rPr>
                <w:rFonts w:hint="eastAsia" w:ascii="Times New Roman" w:hAnsi="Times New Roman" w:cs="Times New Roman"/>
                <w:b/>
                <w:bCs/>
                <w:sz w:val="24"/>
              </w:rPr>
              <w:t>5、</w:t>
            </w:r>
            <w:r>
              <w:rPr>
                <w:rFonts w:hint="default" w:ascii="Times New Roman" w:hAnsi="Times New Roman" w:cs="Times New Roman"/>
                <w:b/>
                <w:bCs/>
                <w:sz w:val="24"/>
              </w:rPr>
              <w:t>地下水、土壤环境质量现状</w:t>
            </w:r>
          </w:p>
          <w:p w14:paraId="320C8C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宋体" w:hAnsi="宋体" w:cs="宋体"/>
                <w:kern w:val="0"/>
                <w:sz w:val="24"/>
              </w:rPr>
            </w:pPr>
            <w:r>
              <w:rPr>
                <w:rFonts w:hint="default" w:ascii="Times New Roman" w:hAnsi="Times New Roman" w:cs="Times New Roman"/>
                <w:sz w:val="24"/>
              </w:rPr>
              <w:t xml:space="preserve">本项目污染地下水、土壤的途径或可能性很小，根据《建设项目环境影响报告表编制技术指南（污染影响类）（试行）》要求，原则上不开展环境质量现状调查。 </w:t>
            </w:r>
          </w:p>
        </w:tc>
      </w:tr>
      <w:tr w14:paraId="7EE4A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7" w:hRule="atLeast"/>
          <w:jc w:val="center"/>
        </w:trPr>
        <w:tc>
          <w:tcPr>
            <w:tcW w:w="800" w:type="dxa"/>
            <w:noWrap w:val="0"/>
            <w:vAlign w:val="center"/>
          </w:tcPr>
          <w:p w14:paraId="532FA546">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环境</w:t>
            </w:r>
          </w:p>
          <w:p w14:paraId="5ABF2D20">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保护</w:t>
            </w:r>
          </w:p>
          <w:p w14:paraId="3D4E4596">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目标</w:t>
            </w:r>
          </w:p>
        </w:tc>
        <w:tc>
          <w:tcPr>
            <w:tcW w:w="8190" w:type="dxa"/>
            <w:noWrap w:val="0"/>
            <w:vAlign w:val="center"/>
          </w:tcPr>
          <w:p w14:paraId="169E2E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主要环境保护目标（列出名单及保护级别）：</w:t>
            </w:r>
          </w:p>
          <w:p w14:paraId="42492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1、大气环境：本项目厂界外500m范围内无自然保护区、风景名胜区和文物古迹等需要特殊保护的环境敏感对象，厂界外500m范围内大气环境保护目标详见表3-</w:t>
            </w:r>
            <w:r>
              <w:rPr>
                <w:rFonts w:hint="eastAsia" w:cs="Times New Roman"/>
                <w:sz w:val="24"/>
                <w:szCs w:val="24"/>
                <w:lang w:val="en-US" w:eastAsia="zh-CN"/>
              </w:rPr>
              <w:t>4</w:t>
            </w:r>
            <w:r>
              <w:rPr>
                <w:rFonts w:hint="default" w:ascii="Times New Roman" w:hAnsi="Times New Roman" w:eastAsia="宋体" w:cs="Times New Roman"/>
                <w:sz w:val="24"/>
                <w:szCs w:val="24"/>
              </w:rPr>
              <w:t>和图</w:t>
            </w:r>
            <w:r>
              <w:rPr>
                <w:rFonts w:hint="eastAsia" w:ascii="Times New Roman" w:hAnsi="Times New Roman" w:eastAsia="宋体" w:cs="Times New Roman"/>
                <w:sz w:val="24"/>
                <w:szCs w:val="24"/>
                <w:lang w:val="en-US" w:eastAsia="zh-CN"/>
              </w:rPr>
              <w:t>3-1，</w:t>
            </w:r>
            <w:r>
              <w:rPr>
                <w:rFonts w:hint="default" w:ascii="Times New Roman" w:hAnsi="Times New Roman" w:eastAsia="宋体" w:cs="Times New Roman"/>
                <w:sz w:val="24"/>
                <w:szCs w:val="24"/>
              </w:rPr>
              <w:t>本项目区域内大气环境执行《环境空气质量标准》（GB3095-2012）及其修改单中的二级标准；</w:t>
            </w:r>
          </w:p>
          <w:p w14:paraId="7203938F">
            <w:pPr>
              <w:pStyle w:val="8"/>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2、声环境：</w:t>
            </w:r>
            <w:r>
              <w:rPr>
                <w:rFonts w:hint="default" w:ascii="Times New Roman" w:hAnsi="Times New Roman" w:eastAsia="宋体" w:cs="Times New Roman"/>
                <w:sz w:val="24"/>
                <w:szCs w:val="24"/>
                <w:lang w:val="en-US" w:eastAsia="zh-CN"/>
              </w:rPr>
              <w:t>本项目</w:t>
            </w:r>
            <w:r>
              <w:rPr>
                <w:rFonts w:hint="eastAsia" w:ascii="Times New Roman" w:hAnsi="Times New Roman" w:eastAsia="宋体" w:cs="Times New Roman"/>
                <w:sz w:val="24"/>
                <w:szCs w:val="24"/>
                <w:lang w:val="en-US" w:eastAsia="zh-CN"/>
              </w:rPr>
              <w:t>厂界外</w:t>
            </w:r>
            <w:r>
              <w:rPr>
                <w:rFonts w:hint="default" w:ascii="Times New Roman" w:hAnsi="Times New Roman" w:eastAsia="宋体" w:cs="Times New Roman"/>
                <w:sz w:val="24"/>
                <w:szCs w:val="24"/>
                <w:lang w:val="en-US" w:eastAsia="zh-CN"/>
              </w:rPr>
              <w:t>周边50m范围内无声环境保护目标，</w:t>
            </w:r>
            <w:r>
              <w:rPr>
                <w:rFonts w:hint="default" w:ascii="Times New Roman" w:hAnsi="Times New Roman" w:eastAsia="宋体" w:cs="Times New Roman"/>
                <w:sz w:val="24"/>
                <w:szCs w:val="24"/>
              </w:rPr>
              <w:t>本项目</w:t>
            </w:r>
            <w:r>
              <w:rPr>
                <w:rFonts w:hint="default" w:ascii="Times New Roman" w:hAnsi="Times New Roman" w:eastAsia="宋体" w:cs="Times New Roman"/>
                <w:sz w:val="24"/>
                <w:szCs w:val="24"/>
                <w:lang w:val="en-US" w:eastAsia="zh-CN"/>
              </w:rPr>
              <w:t>区域</w:t>
            </w:r>
            <w:r>
              <w:rPr>
                <w:rFonts w:hint="default" w:ascii="Times New Roman" w:hAnsi="Times New Roman" w:eastAsia="宋体" w:cs="Times New Roman"/>
                <w:sz w:val="24"/>
                <w:szCs w:val="24"/>
              </w:rPr>
              <w:t>声环境执行《声环境质量标准》（GB3096-2008）</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类标准；</w:t>
            </w:r>
          </w:p>
          <w:p w14:paraId="75CF1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3、地表水：本项目所在区域地表水</w:t>
            </w:r>
            <w:r>
              <w:rPr>
                <w:rFonts w:hint="default" w:ascii="Times New Roman" w:hAnsi="Times New Roman" w:eastAsia="宋体" w:cs="Times New Roman"/>
                <w:sz w:val="24"/>
                <w:szCs w:val="24"/>
                <w:lang w:val="en-US" w:eastAsia="zh-CN"/>
              </w:rPr>
              <w:t>老濉河</w:t>
            </w:r>
            <w:r>
              <w:rPr>
                <w:rFonts w:hint="default" w:ascii="Times New Roman" w:hAnsi="Times New Roman" w:eastAsia="宋体" w:cs="Times New Roman"/>
                <w:sz w:val="24"/>
                <w:szCs w:val="24"/>
              </w:rPr>
              <w:t>执行《地表水环境质量标准》（GB3838-2002）中</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4 \* ROMAN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IV</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类水质标准</w:t>
            </w:r>
            <w:r>
              <w:rPr>
                <w:rFonts w:hint="eastAsia" w:ascii="Times New Roman" w:hAnsi="Times New Roman" w:eastAsia="宋体" w:cs="Times New Roman"/>
                <w:sz w:val="24"/>
                <w:szCs w:val="24"/>
                <w:lang w:eastAsia="zh-CN"/>
              </w:rPr>
              <w:t>；</w:t>
            </w:r>
          </w:p>
          <w:p w14:paraId="39B54E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4、地下水环境：本项目厂界外500米范围内无地下水集中式饮用水水源和热水、矿泉水、温泉等特殊地下水资源，区域地下水环境执行《地下水质量标准》（GB/T14848-2017）中的</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3 \* ROMAN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III</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类标准</w:t>
            </w:r>
            <w:r>
              <w:rPr>
                <w:rFonts w:hint="eastAsia" w:ascii="Times New Roman" w:hAnsi="Times New Roman" w:eastAsia="宋体" w:cs="Times New Roman"/>
                <w:sz w:val="24"/>
                <w:szCs w:val="24"/>
                <w:lang w:eastAsia="zh-CN"/>
              </w:rPr>
              <w:t>。</w:t>
            </w:r>
          </w:p>
          <w:p w14:paraId="70AF3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4"/>
                <w:szCs w:val="24"/>
              </w:rPr>
            </w:pPr>
          </w:p>
          <w:p w14:paraId="139F2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4"/>
                <w:szCs w:val="24"/>
              </w:rPr>
            </w:pPr>
          </w:p>
          <w:p w14:paraId="0ED6A7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4"/>
                <w:szCs w:val="24"/>
              </w:rPr>
            </w:pPr>
          </w:p>
          <w:p w14:paraId="4E62CB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4"/>
                <w:szCs w:val="24"/>
              </w:rPr>
            </w:pPr>
          </w:p>
          <w:p w14:paraId="5A948C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4"/>
                <w:szCs w:val="24"/>
              </w:rPr>
            </w:pPr>
          </w:p>
          <w:p w14:paraId="47F18B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4"/>
                <w:szCs w:val="24"/>
              </w:rPr>
            </w:pPr>
          </w:p>
          <w:p w14:paraId="1067DD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rPr>
            </w:pPr>
            <w:r>
              <w:rPr>
                <w:rFonts w:hint="default" w:ascii="Times New Roman" w:hAnsi="Times New Roman" w:cs="Times New Roman"/>
                <w:b/>
                <w:color w:val="auto"/>
                <w:sz w:val="24"/>
                <w:szCs w:val="24"/>
              </w:rPr>
              <w:t>表3-</w:t>
            </w:r>
            <w:r>
              <w:rPr>
                <w:rFonts w:hint="eastAsia" w:cs="Times New Roman"/>
                <w:b/>
                <w:color w:val="auto"/>
                <w:sz w:val="24"/>
                <w:szCs w:val="24"/>
                <w:lang w:val="en-US" w:eastAsia="zh-CN"/>
              </w:rPr>
              <w:t>4</w:t>
            </w:r>
            <w:r>
              <w:rPr>
                <w:rFonts w:hint="eastAsia"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rPr>
              <w:t>主要环境保护目标</w:t>
            </w:r>
          </w:p>
          <w:tbl>
            <w:tblPr>
              <w:tblStyle w:val="28"/>
              <w:tblW w:w="4998" w:type="pct"/>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6"/>
              <w:gridCol w:w="924"/>
              <w:gridCol w:w="810"/>
              <w:gridCol w:w="1335"/>
              <w:gridCol w:w="1125"/>
              <w:gridCol w:w="1816"/>
              <w:gridCol w:w="723"/>
              <w:gridCol w:w="812"/>
            </w:tblGrid>
            <w:tr w14:paraId="3D4489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67" w:type="pct"/>
                  <w:vMerge w:val="restart"/>
                  <w:tcBorders>
                    <w:tl2br w:val="nil"/>
                    <w:tr2bl w:val="nil"/>
                  </w:tcBorders>
                  <w:noWrap w:val="0"/>
                  <w:vAlign w:val="center"/>
                </w:tcPr>
                <w:p w14:paraId="3241E02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名称</w:t>
                  </w:r>
                </w:p>
              </w:tc>
              <w:tc>
                <w:tcPr>
                  <w:tcW w:w="1087" w:type="pct"/>
                  <w:gridSpan w:val="2"/>
                  <w:tcBorders>
                    <w:tl2br w:val="nil"/>
                    <w:tr2bl w:val="nil"/>
                  </w:tcBorders>
                  <w:noWrap w:val="0"/>
                  <w:vAlign w:val="center"/>
                </w:tcPr>
                <w:p w14:paraId="17EB892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坐标</w:t>
                  </w:r>
                </w:p>
              </w:tc>
              <w:tc>
                <w:tcPr>
                  <w:tcW w:w="837" w:type="pct"/>
                  <w:vMerge w:val="restart"/>
                  <w:tcBorders>
                    <w:tl2br w:val="nil"/>
                    <w:tr2bl w:val="nil"/>
                  </w:tcBorders>
                  <w:noWrap w:val="0"/>
                  <w:vAlign w:val="center"/>
                </w:tcPr>
                <w:p w14:paraId="4424346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保护对象</w:t>
                  </w:r>
                </w:p>
              </w:tc>
              <w:tc>
                <w:tcPr>
                  <w:tcW w:w="705" w:type="pct"/>
                  <w:vMerge w:val="restart"/>
                  <w:tcBorders>
                    <w:tl2br w:val="nil"/>
                    <w:tr2bl w:val="nil"/>
                  </w:tcBorders>
                  <w:noWrap w:val="0"/>
                  <w:vAlign w:val="center"/>
                </w:tcPr>
                <w:p w14:paraId="2A455AC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保护内容</w:t>
                  </w:r>
                </w:p>
              </w:tc>
              <w:tc>
                <w:tcPr>
                  <w:tcW w:w="1138" w:type="pct"/>
                  <w:vMerge w:val="restart"/>
                  <w:tcBorders>
                    <w:tl2br w:val="nil"/>
                    <w:tr2bl w:val="nil"/>
                  </w:tcBorders>
                  <w:noWrap w:val="0"/>
                  <w:vAlign w:val="center"/>
                </w:tcPr>
                <w:p w14:paraId="757D3BE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环境功能区</w:t>
                  </w:r>
                </w:p>
              </w:tc>
              <w:tc>
                <w:tcPr>
                  <w:tcW w:w="453" w:type="pct"/>
                  <w:vMerge w:val="restart"/>
                  <w:tcBorders>
                    <w:tl2br w:val="nil"/>
                    <w:tr2bl w:val="nil"/>
                  </w:tcBorders>
                  <w:noWrap w:val="0"/>
                  <w:vAlign w:val="center"/>
                </w:tcPr>
                <w:p w14:paraId="72F6072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相对</w:t>
                  </w:r>
                  <w:r>
                    <w:rPr>
                      <w:rFonts w:hint="default" w:ascii="Times New Roman" w:hAnsi="Times New Roman" w:eastAsia="宋体" w:cs="Times New Roman"/>
                      <w:b/>
                      <w:bCs w:val="0"/>
                      <w:sz w:val="21"/>
                      <w:szCs w:val="21"/>
                      <w:lang w:val="en-US" w:eastAsia="zh-CN"/>
                    </w:rPr>
                    <w:t>厂区</w:t>
                  </w:r>
                  <w:r>
                    <w:rPr>
                      <w:rFonts w:hint="default" w:ascii="Times New Roman" w:hAnsi="Times New Roman" w:eastAsia="宋体" w:cs="Times New Roman"/>
                      <w:b/>
                      <w:bCs w:val="0"/>
                      <w:sz w:val="21"/>
                      <w:szCs w:val="21"/>
                    </w:rPr>
                    <w:t>方位</w:t>
                  </w:r>
                </w:p>
              </w:tc>
              <w:tc>
                <w:tcPr>
                  <w:tcW w:w="509" w:type="pct"/>
                  <w:vMerge w:val="restart"/>
                  <w:tcBorders>
                    <w:tl2br w:val="nil"/>
                    <w:tr2bl w:val="nil"/>
                  </w:tcBorders>
                  <w:noWrap w:val="0"/>
                  <w:vAlign w:val="center"/>
                </w:tcPr>
                <w:p w14:paraId="7F640F7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相对</w:t>
                  </w:r>
                  <w:r>
                    <w:rPr>
                      <w:rFonts w:hint="default" w:ascii="Times New Roman" w:hAnsi="Times New Roman" w:eastAsia="宋体" w:cs="Times New Roman"/>
                      <w:b/>
                      <w:bCs w:val="0"/>
                      <w:sz w:val="21"/>
                      <w:szCs w:val="21"/>
                      <w:lang w:val="en-US" w:eastAsia="zh-CN"/>
                    </w:rPr>
                    <w:t>厂界</w:t>
                  </w:r>
                  <w:r>
                    <w:rPr>
                      <w:rFonts w:hint="default" w:ascii="Times New Roman" w:hAnsi="Times New Roman" w:eastAsia="宋体" w:cs="Times New Roman"/>
                      <w:b/>
                      <w:bCs w:val="0"/>
                      <w:sz w:val="21"/>
                      <w:szCs w:val="21"/>
                    </w:rPr>
                    <w:t>距离（m）</w:t>
                  </w:r>
                </w:p>
              </w:tc>
            </w:tr>
            <w:tr w14:paraId="55E353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67" w:type="pct"/>
                  <w:vMerge w:val="continue"/>
                  <w:tcBorders>
                    <w:tl2br w:val="nil"/>
                    <w:tr2bl w:val="nil"/>
                  </w:tcBorders>
                  <w:noWrap w:val="0"/>
                  <w:vAlign w:val="center"/>
                </w:tcPr>
                <w:p w14:paraId="1E01938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579" w:type="pct"/>
                  <w:tcBorders>
                    <w:tl2br w:val="nil"/>
                    <w:tr2bl w:val="nil"/>
                  </w:tcBorders>
                  <w:noWrap w:val="0"/>
                  <w:vAlign w:val="center"/>
                </w:tcPr>
                <w:p w14:paraId="5D1F3AC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经度</w:t>
                  </w:r>
                </w:p>
              </w:tc>
              <w:tc>
                <w:tcPr>
                  <w:tcW w:w="508" w:type="pct"/>
                  <w:tcBorders>
                    <w:tl2br w:val="nil"/>
                    <w:tr2bl w:val="nil"/>
                  </w:tcBorders>
                  <w:noWrap w:val="0"/>
                  <w:vAlign w:val="center"/>
                </w:tcPr>
                <w:p w14:paraId="1993FFA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纬度</w:t>
                  </w:r>
                </w:p>
              </w:tc>
              <w:tc>
                <w:tcPr>
                  <w:tcW w:w="837" w:type="pct"/>
                  <w:vMerge w:val="continue"/>
                  <w:tcBorders>
                    <w:tl2br w:val="nil"/>
                    <w:tr2bl w:val="nil"/>
                  </w:tcBorders>
                  <w:noWrap w:val="0"/>
                  <w:vAlign w:val="center"/>
                </w:tcPr>
                <w:p w14:paraId="36E4EB8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705" w:type="pct"/>
                  <w:vMerge w:val="continue"/>
                  <w:tcBorders>
                    <w:tl2br w:val="nil"/>
                    <w:tr2bl w:val="nil"/>
                  </w:tcBorders>
                  <w:noWrap w:val="0"/>
                  <w:vAlign w:val="center"/>
                </w:tcPr>
                <w:p w14:paraId="2C1C616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1138" w:type="pct"/>
                  <w:vMerge w:val="continue"/>
                  <w:tcBorders>
                    <w:tl2br w:val="nil"/>
                    <w:tr2bl w:val="nil"/>
                  </w:tcBorders>
                  <w:noWrap w:val="0"/>
                  <w:vAlign w:val="center"/>
                </w:tcPr>
                <w:p w14:paraId="745B131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453" w:type="pct"/>
                  <w:vMerge w:val="continue"/>
                  <w:tcBorders>
                    <w:tl2br w:val="nil"/>
                    <w:tr2bl w:val="nil"/>
                  </w:tcBorders>
                  <w:noWrap w:val="0"/>
                  <w:vAlign w:val="center"/>
                </w:tcPr>
                <w:p w14:paraId="45AA4EB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509" w:type="pct"/>
                  <w:vMerge w:val="continue"/>
                  <w:tcBorders>
                    <w:tl2br w:val="nil"/>
                    <w:tr2bl w:val="nil"/>
                  </w:tcBorders>
                  <w:noWrap w:val="0"/>
                  <w:vAlign w:val="center"/>
                </w:tcPr>
                <w:p w14:paraId="3DFFD2C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r>
            <w:tr w14:paraId="3D2286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67" w:type="pct"/>
                  <w:vMerge w:val="restart"/>
                  <w:tcBorders>
                    <w:tl2br w:val="nil"/>
                    <w:tr2bl w:val="nil"/>
                  </w:tcBorders>
                  <w:noWrap w:val="0"/>
                  <w:vAlign w:val="center"/>
                </w:tcPr>
                <w:p w14:paraId="7D3E518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w:t>
                  </w:r>
                </w:p>
              </w:tc>
              <w:tc>
                <w:tcPr>
                  <w:tcW w:w="579" w:type="pct"/>
                  <w:tcBorders>
                    <w:tl2br w:val="nil"/>
                    <w:tr2bl w:val="nil"/>
                  </w:tcBorders>
                  <w:noWrap w:val="0"/>
                  <w:vAlign w:val="center"/>
                </w:tcPr>
                <w:p w14:paraId="1F3BA43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116.741578</w:t>
                  </w:r>
                </w:p>
              </w:tc>
              <w:tc>
                <w:tcPr>
                  <w:tcW w:w="508" w:type="pct"/>
                  <w:tcBorders>
                    <w:tl2br w:val="nil"/>
                    <w:tr2bl w:val="nil"/>
                  </w:tcBorders>
                  <w:noWrap w:val="0"/>
                  <w:vAlign w:val="center"/>
                </w:tcPr>
                <w:p w14:paraId="07B4443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33.993408</w:t>
                  </w:r>
                </w:p>
              </w:tc>
              <w:tc>
                <w:tcPr>
                  <w:tcW w:w="837" w:type="pct"/>
                  <w:tcBorders>
                    <w:tl2br w:val="nil"/>
                    <w:tr2bl w:val="nil"/>
                  </w:tcBorders>
                  <w:noWrap w:val="0"/>
                  <w:vAlign w:val="center"/>
                </w:tcPr>
                <w:p w14:paraId="3976FA2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河北社区</w:t>
                  </w:r>
                </w:p>
              </w:tc>
              <w:tc>
                <w:tcPr>
                  <w:tcW w:w="705" w:type="pct"/>
                  <w:tcBorders>
                    <w:tl2br w:val="nil"/>
                    <w:tr2bl w:val="nil"/>
                  </w:tcBorders>
                  <w:noWrap w:val="0"/>
                  <w:vAlign w:val="center"/>
                </w:tcPr>
                <w:p w14:paraId="628411C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r>
                    <w:rPr>
                      <w:rFonts w:hint="default" w:ascii="Times New Roman" w:hAnsi="Times New Roman" w:eastAsia="宋体" w:cs="Times New Roman"/>
                      <w:sz w:val="21"/>
                      <w:szCs w:val="21"/>
                      <w:lang w:val="en-US" w:eastAsia="zh-CN"/>
                    </w:rPr>
                    <w:t>户，</w:t>
                  </w:r>
                  <w:r>
                    <w:rPr>
                      <w:rFonts w:hint="eastAsia" w:ascii="Times New Roman" w:hAnsi="Times New Roman" w:eastAsia="宋体" w:cs="Times New Roman"/>
                      <w:sz w:val="21"/>
                      <w:szCs w:val="21"/>
                      <w:lang w:val="en-US" w:eastAsia="zh-CN"/>
                    </w:rPr>
                    <w:t>750</w:t>
                  </w:r>
                  <w:r>
                    <w:rPr>
                      <w:rFonts w:hint="default" w:ascii="Times New Roman" w:hAnsi="Times New Roman" w:eastAsia="宋体" w:cs="Times New Roman"/>
                      <w:sz w:val="21"/>
                      <w:szCs w:val="21"/>
                      <w:lang w:val="en-US" w:eastAsia="zh-CN"/>
                    </w:rPr>
                    <w:t>人</w:t>
                  </w:r>
                </w:p>
              </w:tc>
              <w:tc>
                <w:tcPr>
                  <w:tcW w:w="1138" w:type="pct"/>
                  <w:vMerge w:val="restart"/>
                  <w:tcBorders>
                    <w:tl2br w:val="nil"/>
                    <w:tr2bl w:val="nil"/>
                  </w:tcBorders>
                  <w:noWrap w:val="0"/>
                  <w:vAlign w:val="center"/>
                </w:tcPr>
                <w:p w14:paraId="2075B28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《环境空气质量标准》（GB3095-2012）及其修改单中的二级标准</w:t>
                  </w:r>
                </w:p>
              </w:tc>
              <w:tc>
                <w:tcPr>
                  <w:tcW w:w="453" w:type="pct"/>
                  <w:tcBorders>
                    <w:tl2br w:val="nil"/>
                    <w:tr2bl w:val="nil"/>
                  </w:tcBorders>
                  <w:noWrap w:val="0"/>
                  <w:vAlign w:val="center"/>
                </w:tcPr>
                <w:p w14:paraId="54B052C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w:t>
                  </w:r>
                </w:p>
              </w:tc>
              <w:tc>
                <w:tcPr>
                  <w:tcW w:w="509" w:type="pct"/>
                  <w:tcBorders>
                    <w:tl2br w:val="nil"/>
                    <w:tr2bl w:val="nil"/>
                  </w:tcBorders>
                  <w:noWrap w:val="0"/>
                  <w:vAlign w:val="center"/>
                </w:tcPr>
                <w:p w14:paraId="0738509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430</w:t>
                  </w:r>
                </w:p>
              </w:tc>
            </w:tr>
            <w:tr w14:paraId="36F40F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67" w:type="pct"/>
                  <w:vMerge w:val="continue"/>
                  <w:tcBorders>
                    <w:tl2br w:val="nil"/>
                    <w:tr2bl w:val="nil"/>
                  </w:tcBorders>
                  <w:noWrap w:val="0"/>
                  <w:vAlign w:val="center"/>
                </w:tcPr>
                <w:p w14:paraId="595E186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579" w:type="pct"/>
                  <w:tcBorders>
                    <w:tl2br w:val="nil"/>
                    <w:tr2bl w:val="nil"/>
                  </w:tcBorders>
                  <w:noWrap w:val="0"/>
                  <w:vAlign w:val="center"/>
                </w:tcPr>
                <w:p w14:paraId="0F8AA0D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116.750575</w:t>
                  </w:r>
                </w:p>
              </w:tc>
              <w:tc>
                <w:tcPr>
                  <w:tcW w:w="508" w:type="pct"/>
                  <w:tcBorders>
                    <w:tl2br w:val="nil"/>
                    <w:tr2bl w:val="nil"/>
                  </w:tcBorders>
                  <w:noWrap w:val="0"/>
                  <w:vAlign w:val="center"/>
                </w:tcPr>
                <w:p w14:paraId="0555457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33.990402</w:t>
                  </w:r>
                </w:p>
              </w:tc>
              <w:tc>
                <w:tcPr>
                  <w:tcW w:w="837" w:type="pct"/>
                  <w:tcBorders>
                    <w:tl2br w:val="nil"/>
                    <w:tr2bl w:val="nil"/>
                  </w:tcBorders>
                  <w:noWrap w:val="0"/>
                  <w:vAlign w:val="center"/>
                </w:tcPr>
                <w:p w14:paraId="52E4641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相山分局西区派出所</w:t>
                  </w:r>
                </w:p>
              </w:tc>
              <w:tc>
                <w:tcPr>
                  <w:tcW w:w="705" w:type="pct"/>
                  <w:tcBorders>
                    <w:tl2br w:val="nil"/>
                    <w:tr2bl w:val="nil"/>
                  </w:tcBorders>
                  <w:noWrap w:val="0"/>
                  <w:vAlign w:val="center"/>
                </w:tcPr>
                <w:p w14:paraId="72A5701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职工20人</w:t>
                  </w:r>
                </w:p>
              </w:tc>
              <w:tc>
                <w:tcPr>
                  <w:tcW w:w="1138" w:type="pct"/>
                  <w:vMerge w:val="continue"/>
                  <w:tcBorders>
                    <w:tl2br w:val="nil"/>
                    <w:tr2bl w:val="nil"/>
                  </w:tcBorders>
                  <w:noWrap w:val="0"/>
                  <w:vAlign w:val="center"/>
                </w:tcPr>
                <w:p w14:paraId="3E159C1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p>
              </w:tc>
              <w:tc>
                <w:tcPr>
                  <w:tcW w:w="453" w:type="pct"/>
                  <w:tcBorders>
                    <w:tl2br w:val="nil"/>
                    <w:tr2bl w:val="nil"/>
                  </w:tcBorders>
                  <w:noWrap w:val="0"/>
                  <w:vAlign w:val="center"/>
                </w:tcPr>
                <w:p w14:paraId="48FD192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ES</w:t>
                  </w:r>
                </w:p>
              </w:tc>
              <w:tc>
                <w:tcPr>
                  <w:tcW w:w="509" w:type="pct"/>
                  <w:tcBorders>
                    <w:tl2br w:val="nil"/>
                    <w:tr2bl w:val="nil"/>
                  </w:tcBorders>
                  <w:noWrap w:val="0"/>
                  <w:vAlign w:val="center"/>
                </w:tcPr>
                <w:p w14:paraId="56D81CD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466</w:t>
                  </w:r>
                </w:p>
              </w:tc>
            </w:tr>
            <w:tr w14:paraId="65ECAD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67" w:type="pct"/>
                  <w:tcBorders>
                    <w:tl2br w:val="nil"/>
                    <w:tr2bl w:val="nil"/>
                  </w:tcBorders>
                  <w:noWrap w:val="0"/>
                  <w:vAlign w:val="center"/>
                </w:tcPr>
                <w:p w14:paraId="43DC032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579" w:type="pct"/>
                  <w:tcBorders>
                    <w:tl2br w:val="nil"/>
                    <w:tr2bl w:val="nil"/>
                  </w:tcBorders>
                  <w:noWrap w:val="0"/>
                  <w:vAlign w:val="center"/>
                </w:tcPr>
                <w:p w14:paraId="37DE1EC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l2br w:val="nil"/>
                    <w:tr2bl w:val="nil"/>
                  </w:tcBorders>
                  <w:noWrap w:val="0"/>
                  <w:vAlign w:val="center"/>
                </w:tcPr>
                <w:p w14:paraId="18EAF7A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37" w:type="pct"/>
                  <w:tcBorders>
                    <w:tl2br w:val="nil"/>
                    <w:tr2bl w:val="nil"/>
                  </w:tcBorders>
                  <w:noWrap w:val="0"/>
                  <w:vAlign w:val="center"/>
                </w:tcPr>
                <w:p w14:paraId="0A06AE5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项目区界外</w:t>
                  </w:r>
                </w:p>
              </w:tc>
              <w:tc>
                <w:tcPr>
                  <w:tcW w:w="705" w:type="pct"/>
                  <w:tcBorders>
                    <w:tl2br w:val="nil"/>
                    <w:tr2bl w:val="nil"/>
                  </w:tcBorders>
                  <w:noWrap w:val="0"/>
                  <w:vAlign w:val="center"/>
                </w:tcPr>
                <w:p w14:paraId="6FFD19A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138" w:type="pct"/>
                  <w:tcBorders>
                    <w:tl2br w:val="nil"/>
                    <w:tr2bl w:val="nil"/>
                  </w:tcBorders>
                  <w:noWrap w:val="0"/>
                  <w:vAlign w:val="center"/>
                </w:tcPr>
                <w:p w14:paraId="337D37B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《声环境质量标准》（GB3096-2008）</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类区标准</w:t>
                  </w:r>
                </w:p>
              </w:tc>
              <w:tc>
                <w:tcPr>
                  <w:tcW w:w="453" w:type="pct"/>
                  <w:tcBorders>
                    <w:tl2br w:val="nil"/>
                    <w:tr2bl w:val="nil"/>
                  </w:tcBorders>
                  <w:noWrap w:val="0"/>
                  <w:vAlign w:val="center"/>
                </w:tcPr>
                <w:p w14:paraId="34C4E34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9" w:type="pct"/>
                  <w:tcBorders>
                    <w:tl2br w:val="nil"/>
                    <w:tr2bl w:val="nil"/>
                  </w:tcBorders>
                  <w:noWrap w:val="0"/>
                  <w:vAlign w:val="center"/>
                </w:tcPr>
                <w:p w14:paraId="193734F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p>
              </w:tc>
            </w:tr>
            <w:tr w14:paraId="168381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67" w:type="pct"/>
                  <w:tcBorders>
                    <w:tl2br w:val="nil"/>
                    <w:tr2bl w:val="nil"/>
                  </w:tcBorders>
                  <w:noWrap w:val="0"/>
                  <w:vAlign w:val="center"/>
                </w:tcPr>
                <w:p w14:paraId="4FCB44B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tc>
              <w:tc>
                <w:tcPr>
                  <w:tcW w:w="579" w:type="pct"/>
                  <w:tcBorders>
                    <w:tl2br w:val="nil"/>
                    <w:tr2bl w:val="nil"/>
                  </w:tcBorders>
                  <w:noWrap w:val="0"/>
                  <w:vAlign w:val="center"/>
                </w:tcPr>
                <w:p w14:paraId="3CE9ACA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eastAsia="宋体" w:cs="Times New Roman"/>
                      <w:sz w:val="21"/>
                      <w:szCs w:val="21"/>
                    </w:rPr>
                    <w:t>/</w:t>
                  </w:r>
                </w:p>
              </w:tc>
              <w:tc>
                <w:tcPr>
                  <w:tcW w:w="508" w:type="pct"/>
                  <w:tcBorders>
                    <w:tl2br w:val="nil"/>
                    <w:tr2bl w:val="nil"/>
                  </w:tcBorders>
                  <w:noWrap w:val="0"/>
                  <w:vAlign w:val="center"/>
                </w:tcPr>
                <w:p w14:paraId="191C382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Cs/>
                      <w:color w:val="000000"/>
                      <w:kern w:val="44"/>
                      <w:sz w:val="21"/>
                      <w:szCs w:val="21"/>
                      <w:lang w:val="en-US" w:eastAsia="zh-CN" w:bidi="ar-SA"/>
                    </w:rPr>
                  </w:pPr>
                  <w:r>
                    <w:rPr>
                      <w:rFonts w:hint="default" w:ascii="Times New Roman" w:hAnsi="Times New Roman" w:eastAsia="宋体" w:cs="Times New Roman"/>
                      <w:sz w:val="21"/>
                      <w:szCs w:val="21"/>
                    </w:rPr>
                    <w:t>/</w:t>
                  </w:r>
                </w:p>
              </w:tc>
              <w:tc>
                <w:tcPr>
                  <w:tcW w:w="837" w:type="pct"/>
                  <w:tcBorders>
                    <w:tl2br w:val="nil"/>
                    <w:tr2bl w:val="nil"/>
                  </w:tcBorders>
                  <w:noWrap w:val="0"/>
                  <w:vAlign w:val="center"/>
                </w:tcPr>
                <w:p w14:paraId="2554F4A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老濉河</w:t>
                  </w:r>
                </w:p>
              </w:tc>
              <w:tc>
                <w:tcPr>
                  <w:tcW w:w="705" w:type="pct"/>
                  <w:tcBorders>
                    <w:tl2br w:val="nil"/>
                    <w:tr2bl w:val="nil"/>
                  </w:tcBorders>
                  <w:noWrap w:val="0"/>
                  <w:vAlign w:val="center"/>
                </w:tcPr>
                <w:p w14:paraId="7002B6A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138" w:type="pct"/>
                  <w:tcBorders>
                    <w:tl2br w:val="nil"/>
                    <w:tr2bl w:val="nil"/>
                  </w:tcBorders>
                  <w:noWrap w:val="0"/>
                  <w:vAlign w:val="center"/>
                </w:tcPr>
                <w:p w14:paraId="5645A32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《地表水环境质量标准》（GB3838-2002）中</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4 \* ROMAN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IV</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类水质标准</w:t>
                  </w:r>
                </w:p>
              </w:tc>
              <w:tc>
                <w:tcPr>
                  <w:tcW w:w="453" w:type="pct"/>
                  <w:tcBorders>
                    <w:tl2br w:val="nil"/>
                    <w:tr2bl w:val="nil"/>
                  </w:tcBorders>
                  <w:noWrap w:val="0"/>
                  <w:vAlign w:val="center"/>
                </w:tcPr>
                <w:p w14:paraId="15BC9A6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SE</w:t>
                  </w:r>
                </w:p>
              </w:tc>
              <w:tc>
                <w:tcPr>
                  <w:tcW w:w="509" w:type="pct"/>
                  <w:tcBorders>
                    <w:tl2br w:val="nil"/>
                    <w:tr2bl w:val="nil"/>
                  </w:tcBorders>
                  <w:noWrap w:val="0"/>
                  <w:vAlign w:val="center"/>
                </w:tcPr>
                <w:p w14:paraId="7452E70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5000</w:t>
                  </w:r>
                </w:p>
              </w:tc>
            </w:tr>
          </w:tbl>
          <w:p w14:paraId="53DD03B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both"/>
              <w:textAlignment w:val="auto"/>
              <w:outlineLvl w:val="9"/>
              <w:rPr>
                <w:rFonts w:hint="eastAsia" w:ascii="Times New Roman" w:hAnsi="Times New Roman" w:cs="Times New Roman"/>
                <w:lang w:eastAsia="zh-CN"/>
              </w:rPr>
            </w:pPr>
            <w:r>
              <w:rPr>
                <w:rFonts w:hint="default"/>
              </w:rPr>
              <w:drawing>
                <wp:inline distT="0" distB="0" distL="114300" distR="114300">
                  <wp:extent cx="5061585" cy="4117340"/>
                  <wp:effectExtent l="0" t="0" r="57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6"/>
                          <a:stretch>
                            <a:fillRect/>
                          </a:stretch>
                        </pic:blipFill>
                        <pic:spPr>
                          <a:xfrm>
                            <a:off x="0" y="0"/>
                            <a:ext cx="5061585" cy="4117340"/>
                          </a:xfrm>
                          <a:prstGeom prst="rect">
                            <a:avLst/>
                          </a:prstGeom>
                          <a:noFill/>
                          <a:ln>
                            <a:noFill/>
                          </a:ln>
                        </pic:spPr>
                      </pic:pic>
                    </a:graphicData>
                  </a:graphic>
                </wp:inline>
              </w:drawing>
            </w:r>
          </w:p>
          <w:p w14:paraId="3B198E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lang w:eastAsia="zh-CN"/>
              </w:rPr>
            </w:pPr>
            <w:r>
              <w:rPr>
                <w:rFonts w:hint="default" w:ascii="Times New Roman" w:hAnsi="Times New Roman" w:eastAsia="宋体" w:cs="Times New Roman"/>
                <w:b/>
                <w:bCs/>
                <w:sz w:val="24"/>
                <w:szCs w:val="24"/>
                <w:lang w:val="en-US" w:eastAsia="zh-CN"/>
              </w:rPr>
              <w:t>图3-</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en-US" w:eastAsia="zh-CN"/>
              </w:rPr>
              <w:t xml:space="preserve">  项目环境保护目标图</w:t>
            </w:r>
          </w:p>
        </w:tc>
      </w:tr>
      <w:tr w14:paraId="2105F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1" w:hRule="atLeast"/>
          <w:jc w:val="center"/>
        </w:trPr>
        <w:tc>
          <w:tcPr>
            <w:tcW w:w="800" w:type="dxa"/>
            <w:noWrap w:val="0"/>
            <w:tcMar>
              <w:left w:w="28" w:type="dxa"/>
              <w:right w:w="28" w:type="dxa"/>
            </w:tcMar>
            <w:vAlign w:val="center"/>
          </w:tcPr>
          <w:p w14:paraId="1352BD1A">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污染</w:t>
            </w:r>
          </w:p>
          <w:p w14:paraId="152575DA">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物排</w:t>
            </w:r>
          </w:p>
          <w:p w14:paraId="4726F310">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放控</w:t>
            </w:r>
          </w:p>
          <w:p w14:paraId="774C1B8D">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制标</w:t>
            </w:r>
          </w:p>
          <w:p w14:paraId="0F419600">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准</w:t>
            </w:r>
          </w:p>
        </w:tc>
        <w:tc>
          <w:tcPr>
            <w:tcW w:w="8190" w:type="dxa"/>
            <w:noWrap w:val="0"/>
            <w:vAlign w:val="center"/>
          </w:tcPr>
          <w:p w14:paraId="411681B5">
            <w:pPr>
              <w:keepNext w:val="0"/>
              <w:keepLines w:val="0"/>
              <w:suppressLineNumbers w:val="0"/>
              <w:spacing w:before="0" w:beforeAutospacing="0" w:after="0" w:afterAutospacing="0" w:line="360" w:lineRule="auto"/>
              <w:ind w:left="0" w:leftChars="0" w:right="0" w:firstLine="0" w:firstLineChars="0"/>
              <w:jc w:val="both"/>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、废气</w:t>
            </w:r>
          </w:p>
          <w:p w14:paraId="067F9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w:t>
            </w:r>
            <w:r>
              <w:rPr>
                <w:rFonts w:hint="eastAsia" w:cs="Times New Roman"/>
                <w:sz w:val="24"/>
                <w:szCs w:val="24"/>
                <w:lang w:val="en-US" w:eastAsia="zh-CN"/>
              </w:rPr>
              <w:t>生产</w:t>
            </w:r>
            <w:r>
              <w:rPr>
                <w:rFonts w:hint="default" w:ascii="Times New Roman" w:hAnsi="Times New Roman" w:eastAsia="宋体" w:cs="Times New Roman"/>
                <w:sz w:val="24"/>
                <w:szCs w:val="24"/>
              </w:rPr>
              <w:t>过程中产生</w:t>
            </w:r>
            <w:r>
              <w:rPr>
                <w:rFonts w:hint="default" w:ascii="Times New Roman" w:hAnsi="Times New Roman" w:eastAsia="宋体" w:cs="Times New Roman"/>
                <w:sz w:val="24"/>
                <w:szCs w:val="24"/>
                <w:lang w:val="en-US" w:eastAsia="zh-CN"/>
              </w:rPr>
              <w:t>的</w:t>
            </w:r>
            <w:r>
              <w:rPr>
                <w:rFonts w:hint="default" w:ascii="Times New Roman" w:hAnsi="Times New Roman" w:eastAsia="宋体" w:cs="Times New Roman"/>
                <w:sz w:val="24"/>
                <w:szCs w:val="24"/>
              </w:rPr>
              <w:t>颗粒物执行</w:t>
            </w:r>
            <w:r>
              <w:rPr>
                <w:rFonts w:hint="default"/>
                <w:sz w:val="24"/>
              </w:rPr>
              <w:t>上海市地方标准《大气污染物综合排放标准》（DB31/933-2015）中表 3 厂界大气污染物监控点浓度限值要求</w:t>
            </w:r>
            <w:r>
              <w:rPr>
                <w:rFonts w:hint="default" w:ascii="Times New Roman" w:hAnsi="Times New Roman" w:eastAsia="宋体" w:cs="Times New Roman"/>
                <w:sz w:val="24"/>
                <w:szCs w:val="24"/>
                <w:lang w:eastAsia="zh-CN"/>
              </w:rPr>
              <w:t>。</w:t>
            </w:r>
            <w:r>
              <w:rPr>
                <w:rFonts w:hint="eastAsia" w:cs="Times New Roman"/>
                <w:sz w:val="24"/>
                <w:szCs w:val="24"/>
                <w:lang w:val="en-US" w:eastAsia="zh-CN"/>
              </w:rPr>
              <w:t>膨化、烘烤过程产生的油烟废气</w:t>
            </w:r>
            <w:r>
              <w:rPr>
                <w:rFonts w:hint="eastAsia"/>
                <w:sz w:val="24"/>
              </w:rPr>
              <w:t>执行《饮食业油烟排放标准（试行）》（GB18483-2001）表2中排放标准限值</w:t>
            </w:r>
            <w:r>
              <w:rPr>
                <w:rFonts w:hint="eastAsia"/>
                <w:sz w:val="24"/>
                <w:lang w:eastAsia="zh-CN"/>
              </w:rPr>
              <w:t>。</w:t>
            </w:r>
            <w:r>
              <w:rPr>
                <w:rFonts w:hint="default"/>
                <w:sz w:val="24"/>
              </w:rPr>
              <w:t>污水处理设施</w:t>
            </w:r>
            <w:r>
              <w:rPr>
                <w:rFonts w:hint="eastAsia"/>
                <w:sz w:val="24"/>
                <w:lang w:eastAsia="zh-CN"/>
              </w:rPr>
              <w:t>、</w:t>
            </w:r>
            <w:r>
              <w:rPr>
                <w:rFonts w:hint="eastAsia"/>
                <w:sz w:val="24"/>
                <w:lang w:val="en-US" w:eastAsia="zh-CN"/>
              </w:rPr>
              <w:t>鱼虾清洗</w:t>
            </w:r>
            <w:r>
              <w:rPr>
                <w:rFonts w:hint="default"/>
                <w:sz w:val="24"/>
              </w:rPr>
              <w:t>产生的废气污染物为氨、硫化氢等恶臭气体，其中氨、硫化氢、臭气</w:t>
            </w:r>
            <w:r>
              <w:rPr>
                <w:rFonts w:hint="eastAsia"/>
                <w:sz w:val="24"/>
                <w:lang w:val="en-US" w:eastAsia="zh-CN"/>
              </w:rPr>
              <w:t>浓度</w:t>
            </w:r>
            <w:r>
              <w:rPr>
                <w:rFonts w:hint="default"/>
                <w:sz w:val="24"/>
              </w:rPr>
              <w:t>排放执行《恶臭污染物排放标准》（GB14554-93）表1中标准。具体标准见下表。</w:t>
            </w:r>
          </w:p>
          <w:p w14:paraId="554D124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sz w:val="24"/>
                <w:szCs w:val="24"/>
              </w:rPr>
            </w:pPr>
            <w:r>
              <w:rPr>
                <w:rFonts w:hint="eastAsia" w:ascii="Times New Roman" w:hAnsi="Times New Roman" w:cs="Times New Roman"/>
                <w:b/>
                <w:bCs/>
                <w:sz w:val="24"/>
                <w:szCs w:val="24"/>
              </w:rPr>
              <w:t>表3-</w:t>
            </w:r>
            <w:r>
              <w:rPr>
                <w:rFonts w:hint="eastAsia" w:cs="Times New Roman"/>
                <w:b/>
                <w:bCs/>
                <w:sz w:val="24"/>
                <w:szCs w:val="24"/>
                <w:lang w:val="en-US" w:eastAsia="zh-CN"/>
              </w:rPr>
              <w:t>5</w:t>
            </w:r>
            <w:r>
              <w:rPr>
                <w:rFonts w:hint="eastAsia" w:ascii="Times New Roman" w:hAnsi="Times New Roman" w:cs="Times New Roman"/>
                <w:b/>
                <w:bCs/>
                <w:sz w:val="24"/>
                <w:szCs w:val="24"/>
                <w:lang w:val="en-US" w:eastAsia="zh-CN"/>
              </w:rPr>
              <w:t xml:space="preserve">  </w:t>
            </w:r>
            <w:r>
              <w:rPr>
                <w:rFonts w:hint="eastAsia" w:cs="Times New Roman"/>
                <w:b/>
                <w:bCs/>
                <w:sz w:val="24"/>
                <w:szCs w:val="24"/>
                <w:lang w:val="en-US" w:eastAsia="zh-CN"/>
              </w:rPr>
              <w:t>颗粒物排放标准 单位：mg/m</w:t>
            </w:r>
            <w:r>
              <w:rPr>
                <w:rFonts w:hint="eastAsia" w:cs="Times New Roman"/>
                <w:b/>
                <w:bCs/>
                <w:sz w:val="24"/>
                <w:szCs w:val="24"/>
                <w:vertAlign w:val="superscript"/>
                <w:lang w:val="en-US" w:eastAsia="zh-CN"/>
              </w:rPr>
              <w:t>3</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65"/>
              <w:gridCol w:w="5806"/>
            </w:tblGrid>
            <w:tr w14:paraId="263636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358" w:type="pct"/>
                  <w:vMerge w:val="restart"/>
                  <w:tcBorders>
                    <w:tl2br w:val="nil"/>
                    <w:tr2bl w:val="nil"/>
                  </w:tcBorders>
                  <w:noWrap w:val="0"/>
                  <w:vAlign w:val="center"/>
                </w:tcPr>
                <w:p w14:paraId="13AB2A2B">
                  <w:pPr>
                    <w:pStyle w:val="35"/>
                    <w:keepNext w:val="0"/>
                    <w:keepLines w:val="0"/>
                    <w:widowControl w:val="0"/>
                    <w:suppressLineNumbers w:val="0"/>
                    <w:snapToGrid/>
                    <w:spacing w:beforeAutospacing="0" w:after="0" w:afterAutospacing="0" w:line="240" w:lineRule="auto"/>
                    <w:ind w:left="0" w:right="0"/>
                    <w:jc w:val="center"/>
                    <w:rPr>
                      <w:rFonts w:hint="default" w:cs="Times New Roman"/>
                      <w:b/>
                      <w:bCs/>
                    </w:rPr>
                  </w:pPr>
                  <w:r>
                    <w:rPr>
                      <w:rFonts w:hint="default" w:cs="Times New Roman"/>
                      <w:b/>
                      <w:bCs/>
                    </w:rPr>
                    <w:t>污染物</w:t>
                  </w:r>
                </w:p>
              </w:tc>
              <w:tc>
                <w:tcPr>
                  <w:tcW w:w="3641" w:type="pct"/>
                  <w:vMerge w:val="restart"/>
                  <w:tcBorders>
                    <w:tl2br w:val="nil"/>
                    <w:tr2bl w:val="nil"/>
                  </w:tcBorders>
                  <w:noWrap w:val="0"/>
                  <w:vAlign w:val="center"/>
                </w:tcPr>
                <w:p w14:paraId="408CE5CD">
                  <w:pPr>
                    <w:pStyle w:val="35"/>
                    <w:keepNext w:val="0"/>
                    <w:keepLines w:val="0"/>
                    <w:widowControl w:val="0"/>
                    <w:suppressLineNumbers w:val="0"/>
                    <w:snapToGrid/>
                    <w:spacing w:beforeAutospacing="0" w:after="0" w:afterAutospacing="0" w:line="240" w:lineRule="auto"/>
                    <w:ind w:left="0" w:right="0"/>
                    <w:jc w:val="center"/>
                    <w:rPr>
                      <w:rFonts w:hint="default" w:cs="Times New Roman"/>
                      <w:b/>
                      <w:bCs/>
                    </w:rPr>
                  </w:pPr>
                  <w:r>
                    <w:rPr>
                      <w:rFonts w:hint="eastAsia" w:cs="Times New Roman"/>
                      <w:b/>
                      <w:bCs/>
                      <w:szCs w:val="21"/>
                      <w:lang w:val="en-US" w:eastAsia="zh-CN"/>
                    </w:rPr>
                    <w:t>无组织排放</w:t>
                  </w:r>
                  <w:r>
                    <w:rPr>
                      <w:rFonts w:hint="default" w:cs="Times New Roman"/>
                      <w:b/>
                      <w:bCs/>
                      <w:szCs w:val="21"/>
                    </w:rPr>
                    <w:t>监控浓度限值（mg/m</w:t>
                  </w:r>
                  <w:r>
                    <w:rPr>
                      <w:rFonts w:hint="default" w:cs="Times New Roman"/>
                      <w:b/>
                      <w:bCs/>
                      <w:szCs w:val="21"/>
                      <w:vertAlign w:val="superscript"/>
                    </w:rPr>
                    <w:t>3</w:t>
                  </w:r>
                  <w:r>
                    <w:rPr>
                      <w:rFonts w:hint="default" w:cs="Times New Roman"/>
                      <w:b/>
                      <w:bCs/>
                      <w:szCs w:val="21"/>
                    </w:rPr>
                    <w:t>）</w:t>
                  </w:r>
                </w:p>
              </w:tc>
            </w:tr>
            <w:tr w14:paraId="15D771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358" w:type="pct"/>
                  <w:vMerge w:val="continue"/>
                  <w:tcBorders>
                    <w:tl2br w:val="nil"/>
                    <w:tr2bl w:val="nil"/>
                  </w:tcBorders>
                  <w:noWrap w:val="0"/>
                  <w:vAlign w:val="center"/>
                </w:tcPr>
                <w:p w14:paraId="17EEF80B">
                  <w:pPr>
                    <w:pStyle w:val="35"/>
                    <w:keepNext w:val="0"/>
                    <w:keepLines w:val="0"/>
                    <w:widowControl w:val="0"/>
                    <w:suppressLineNumbers w:val="0"/>
                    <w:snapToGrid/>
                    <w:spacing w:beforeAutospacing="0" w:after="0" w:afterAutospacing="0" w:line="240" w:lineRule="auto"/>
                    <w:ind w:left="0" w:right="0"/>
                    <w:jc w:val="center"/>
                    <w:rPr>
                      <w:rFonts w:hint="default" w:cs="Times New Roman"/>
                    </w:rPr>
                  </w:pPr>
                </w:p>
              </w:tc>
              <w:tc>
                <w:tcPr>
                  <w:tcW w:w="3641" w:type="pct"/>
                  <w:vMerge w:val="continue"/>
                  <w:tcBorders>
                    <w:tl2br w:val="nil"/>
                    <w:tr2bl w:val="nil"/>
                  </w:tcBorders>
                  <w:noWrap w:val="0"/>
                  <w:vAlign w:val="center"/>
                </w:tcPr>
                <w:p w14:paraId="3FCFFC4F">
                  <w:pPr>
                    <w:pStyle w:val="35"/>
                    <w:keepNext w:val="0"/>
                    <w:keepLines w:val="0"/>
                    <w:widowControl w:val="0"/>
                    <w:suppressLineNumbers w:val="0"/>
                    <w:snapToGrid/>
                    <w:spacing w:beforeAutospacing="0" w:after="0" w:afterAutospacing="0" w:line="240" w:lineRule="auto"/>
                    <w:ind w:left="0" w:right="0"/>
                    <w:jc w:val="center"/>
                    <w:rPr>
                      <w:rFonts w:hint="eastAsia" w:cs="Times New Roman"/>
                      <w:b/>
                      <w:bCs/>
                    </w:rPr>
                  </w:pPr>
                </w:p>
              </w:tc>
            </w:tr>
            <w:tr w14:paraId="0BD2BE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358" w:type="pct"/>
                  <w:tcBorders>
                    <w:tl2br w:val="nil"/>
                    <w:tr2bl w:val="nil"/>
                  </w:tcBorders>
                  <w:noWrap w:val="0"/>
                  <w:vAlign w:val="center"/>
                </w:tcPr>
                <w:p w14:paraId="7A45DCA0">
                  <w:pPr>
                    <w:pStyle w:val="35"/>
                    <w:keepNext w:val="0"/>
                    <w:keepLines w:val="0"/>
                    <w:widowControl w:val="0"/>
                    <w:suppressLineNumbers w:val="0"/>
                    <w:snapToGrid/>
                    <w:spacing w:beforeAutospacing="0" w:after="0" w:afterAutospacing="0" w:line="240" w:lineRule="auto"/>
                    <w:ind w:left="0" w:right="0"/>
                    <w:jc w:val="center"/>
                    <w:rPr>
                      <w:rFonts w:hint="eastAsia" w:cs="Times New Roman"/>
                    </w:rPr>
                  </w:pPr>
                  <w:r>
                    <w:rPr>
                      <w:rFonts w:hint="eastAsia" w:cs="Times New Roman"/>
                    </w:rPr>
                    <w:t>颗粒物</w:t>
                  </w:r>
                </w:p>
              </w:tc>
              <w:tc>
                <w:tcPr>
                  <w:tcW w:w="3641" w:type="pct"/>
                  <w:tcBorders>
                    <w:tl2br w:val="nil"/>
                    <w:tr2bl w:val="nil"/>
                  </w:tcBorders>
                  <w:noWrap w:val="0"/>
                  <w:vAlign w:val="center"/>
                </w:tcPr>
                <w:p w14:paraId="1AA96534">
                  <w:pPr>
                    <w:pStyle w:val="35"/>
                    <w:keepNext w:val="0"/>
                    <w:keepLines w:val="0"/>
                    <w:widowControl w:val="0"/>
                    <w:suppressLineNumbers w:val="0"/>
                    <w:snapToGrid/>
                    <w:spacing w:beforeAutospacing="0" w:after="0" w:afterAutospacing="0" w:line="240" w:lineRule="auto"/>
                    <w:ind w:left="0" w:right="0"/>
                    <w:jc w:val="center"/>
                    <w:rPr>
                      <w:rFonts w:hint="default" w:eastAsia="宋体" w:cs="Times New Roman"/>
                      <w:lang w:val="en-US" w:eastAsia="zh-CN"/>
                    </w:rPr>
                  </w:pPr>
                  <w:r>
                    <w:rPr>
                      <w:rFonts w:hint="eastAsia" w:cs="Times New Roman"/>
                      <w:lang w:val="en-US" w:eastAsia="zh-CN"/>
                    </w:rPr>
                    <w:t>0.5</w:t>
                  </w:r>
                </w:p>
              </w:tc>
            </w:tr>
          </w:tbl>
          <w:p w14:paraId="7475906A">
            <w:pPr>
              <w:keepNext w:val="0"/>
              <w:keepLines w:val="0"/>
              <w:suppressLineNumbers w:val="0"/>
              <w:spacing w:before="0" w:beforeLines="-2147483648" w:beforeAutospacing="0" w:after="0" w:afterAutospacing="0"/>
              <w:ind w:left="0" w:right="0"/>
              <w:jc w:val="center"/>
              <w:rPr>
                <w:rFonts w:hint="eastAsia"/>
                <w:b/>
                <w:bCs/>
                <w:sz w:val="24"/>
              </w:rPr>
            </w:pPr>
          </w:p>
          <w:p w14:paraId="102705F5">
            <w:pPr>
              <w:keepNext w:val="0"/>
              <w:keepLines w:val="0"/>
              <w:suppressLineNumbers w:val="0"/>
              <w:spacing w:before="0" w:beforeLines="-2147483648" w:beforeAutospacing="0" w:after="0" w:afterAutospacing="0"/>
              <w:ind w:left="0" w:right="0"/>
              <w:jc w:val="center"/>
              <w:rPr>
                <w:rFonts w:hint="eastAsia"/>
                <w:b/>
                <w:bCs/>
                <w:sz w:val="24"/>
              </w:rPr>
            </w:pPr>
            <w:r>
              <w:rPr>
                <w:rFonts w:hint="eastAsia"/>
                <w:b/>
                <w:bCs/>
                <w:sz w:val="24"/>
                <w:lang w:val="en-US" w:eastAsia="zh-CN"/>
              </w:rPr>
              <w:t xml:space="preserve">表3-6  </w:t>
            </w:r>
            <w:r>
              <w:rPr>
                <w:rFonts w:hint="eastAsia"/>
                <w:b/>
                <w:bCs/>
                <w:sz w:val="24"/>
              </w:rPr>
              <w:t>油烟废气排放标准 单位：mg/m</w:t>
            </w:r>
            <w:r>
              <w:rPr>
                <w:rFonts w:hint="eastAsia"/>
                <w:b/>
                <w:bCs/>
                <w:sz w:val="24"/>
                <w:vertAlign w:val="superscript"/>
              </w:rPr>
              <w:t>3</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3197"/>
              <w:gridCol w:w="1773"/>
              <w:gridCol w:w="1585"/>
              <w:gridCol w:w="1416"/>
            </w:tblGrid>
            <w:tr w14:paraId="75E172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63" w:hRule="atLeast"/>
              </w:trPr>
              <w:tc>
                <w:tcPr>
                  <w:tcW w:w="2005" w:type="pct"/>
                  <w:tcBorders>
                    <w:tl2br w:val="nil"/>
                    <w:tr2bl w:val="nil"/>
                  </w:tcBorders>
                  <w:shd w:val="clear" w:color="auto" w:fill="auto"/>
                  <w:vAlign w:val="top"/>
                </w:tcPr>
                <w:p w14:paraId="11C9B156">
                  <w:pPr>
                    <w:pStyle w:val="75"/>
                    <w:widowControl/>
                    <w:rPr>
                      <w:rFonts w:hint="default" w:ascii="Times New Roman" w:hAnsi="Times New Roman" w:eastAsia="宋体" w:cs="Times New Roman"/>
                      <w:b/>
                      <w:bCs/>
                      <w:sz w:val="21"/>
                      <w:szCs w:val="21"/>
                    </w:rPr>
                  </w:pPr>
                  <w:r>
                    <w:rPr>
                      <w:rFonts w:hint="eastAsia" w:ascii="宋体" w:hAnsi="宋体" w:eastAsia="宋体" w:cs="宋体"/>
                      <w:b/>
                      <w:bCs/>
                      <w:sz w:val="21"/>
                      <w:szCs w:val="21"/>
                    </w:rPr>
                    <w:t>规模</w:t>
                  </w:r>
                </w:p>
              </w:tc>
              <w:tc>
                <w:tcPr>
                  <w:tcW w:w="1112" w:type="pct"/>
                  <w:tcBorders>
                    <w:tl2br w:val="nil"/>
                    <w:tr2bl w:val="nil"/>
                  </w:tcBorders>
                  <w:shd w:val="clear" w:color="auto" w:fill="auto"/>
                  <w:vAlign w:val="top"/>
                </w:tcPr>
                <w:p w14:paraId="1FDFA639">
                  <w:pPr>
                    <w:pStyle w:val="75"/>
                    <w:widowControl/>
                    <w:rPr>
                      <w:rFonts w:hint="default" w:ascii="Times New Roman" w:hAnsi="Times New Roman" w:eastAsia="宋体" w:cs="Times New Roman"/>
                      <w:b/>
                      <w:bCs/>
                      <w:sz w:val="21"/>
                      <w:szCs w:val="21"/>
                    </w:rPr>
                  </w:pPr>
                  <w:r>
                    <w:rPr>
                      <w:rFonts w:hint="eastAsia" w:ascii="宋体" w:hAnsi="宋体" w:eastAsia="宋体" w:cs="宋体"/>
                      <w:b/>
                      <w:bCs/>
                      <w:sz w:val="21"/>
                      <w:szCs w:val="21"/>
                    </w:rPr>
                    <w:t>小型</w:t>
                  </w:r>
                </w:p>
              </w:tc>
              <w:tc>
                <w:tcPr>
                  <w:tcW w:w="994" w:type="pct"/>
                  <w:tcBorders>
                    <w:tl2br w:val="nil"/>
                    <w:tr2bl w:val="nil"/>
                  </w:tcBorders>
                  <w:shd w:val="clear" w:color="auto" w:fill="auto"/>
                  <w:vAlign w:val="top"/>
                </w:tcPr>
                <w:p w14:paraId="55139B31">
                  <w:pPr>
                    <w:pStyle w:val="75"/>
                    <w:widowControl/>
                    <w:rPr>
                      <w:rFonts w:hint="default" w:ascii="Times New Roman" w:hAnsi="Times New Roman" w:eastAsia="宋体" w:cs="Times New Roman"/>
                      <w:b/>
                      <w:bCs/>
                      <w:sz w:val="21"/>
                      <w:szCs w:val="21"/>
                    </w:rPr>
                  </w:pPr>
                  <w:r>
                    <w:rPr>
                      <w:rFonts w:hint="eastAsia" w:ascii="宋体" w:hAnsi="宋体" w:eastAsia="宋体" w:cs="宋体"/>
                      <w:b/>
                      <w:bCs/>
                      <w:sz w:val="21"/>
                      <w:szCs w:val="21"/>
                    </w:rPr>
                    <w:t>中型</w:t>
                  </w:r>
                </w:p>
              </w:tc>
              <w:tc>
                <w:tcPr>
                  <w:tcW w:w="887" w:type="pct"/>
                  <w:tcBorders>
                    <w:tl2br w:val="nil"/>
                    <w:tr2bl w:val="nil"/>
                  </w:tcBorders>
                  <w:shd w:val="clear" w:color="auto" w:fill="auto"/>
                  <w:vAlign w:val="top"/>
                </w:tcPr>
                <w:p w14:paraId="67371D97">
                  <w:pPr>
                    <w:pStyle w:val="75"/>
                    <w:widowControl/>
                    <w:rPr>
                      <w:rFonts w:hint="default" w:ascii="Times New Roman" w:hAnsi="Times New Roman" w:eastAsia="宋体" w:cs="Times New Roman"/>
                      <w:b/>
                      <w:bCs/>
                      <w:sz w:val="21"/>
                      <w:szCs w:val="21"/>
                    </w:rPr>
                  </w:pPr>
                  <w:r>
                    <w:rPr>
                      <w:rFonts w:hint="eastAsia" w:ascii="宋体" w:hAnsi="宋体" w:eastAsia="宋体" w:cs="宋体"/>
                      <w:b/>
                      <w:bCs/>
                      <w:sz w:val="21"/>
                      <w:szCs w:val="21"/>
                    </w:rPr>
                    <w:t>大型</w:t>
                  </w:r>
                </w:p>
              </w:tc>
            </w:tr>
            <w:tr w14:paraId="18172E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90" w:hRule="atLeast"/>
              </w:trPr>
              <w:tc>
                <w:tcPr>
                  <w:tcW w:w="2005" w:type="pct"/>
                  <w:tcBorders>
                    <w:tl2br w:val="nil"/>
                    <w:tr2bl w:val="nil"/>
                  </w:tcBorders>
                  <w:shd w:val="clear" w:color="auto" w:fill="auto"/>
                  <w:vAlign w:val="top"/>
                </w:tcPr>
                <w:p w14:paraId="30D6F17C">
                  <w:pPr>
                    <w:pStyle w:val="75"/>
                    <w:widowControl/>
                    <w:rPr>
                      <w:rFonts w:hint="eastAsia" w:ascii="宋体" w:hAnsi="宋体" w:eastAsia="宋体" w:cs="宋体"/>
                      <w:sz w:val="21"/>
                      <w:szCs w:val="21"/>
                    </w:rPr>
                  </w:pPr>
                  <w:r>
                    <w:rPr>
                      <w:rFonts w:hint="eastAsia" w:ascii="宋体" w:hAnsi="宋体" w:eastAsia="宋体" w:cs="宋体"/>
                      <w:sz w:val="21"/>
                      <w:szCs w:val="21"/>
                    </w:rPr>
                    <w:t>基准灶头数</w:t>
                  </w:r>
                </w:p>
              </w:tc>
              <w:tc>
                <w:tcPr>
                  <w:tcW w:w="1112" w:type="pct"/>
                  <w:tcBorders>
                    <w:tl2br w:val="nil"/>
                    <w:tr2bl w:val="nil"/>
                  </w:tcBorders>
                  <w:shd w:val="clear" w:color="auto" w:fill="auto"/>
                  <w:vAlign w:val="top"/>
                </w:tcPr>
                <w:p w14:paraId="2A8F237F">
                  <w:pPr>
                    <w:pStyle w:val="75"/>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994" w:type="pct"/>
                  <w:tcBorders>
                    <w:tl2br w:val="nil"/>
                    <w:tr2bl w:val="nil"/>
                  </w:tcBorders>
                  <w:shd w:val="clear" w:color="auto" w:fill="auto"/>
                  <w:vAlign w:val="top"/>
                </w:tcPr>
                <w:p w14:paraId="5397D217">
                  <w:pPr>
                    <w:pStyle w:val="75"/>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w:t>
                  </w:r>
                </w:p>
              </w:tc>
              <w:tc>
                <w:tcPr>
                  <w:tcW w:w="887" w:type="pct"/>
                  <w:tcBorders>
                    <w:tl2br w:val="nil"/>
                    <w:tr2bl w:val="nil"/>
                  </w:tcBorders>
                  <w:shd w:val="clear" w:color="auto" w:fill="auto"/>
                  <w:vAlign w:val="top"/>
                </w:tcPr>
                <w:p w14:paraId="692262E2">
                  <w:pPr>
                    <w:pStyle w:val="75"/>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r>
            <w:tr w14:paraId="167E11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8" w:hRule="atLeast"/>
              </w:trPr>
              <w:tc>
                <w:tcPr>
                  <w:tcW w:w="2005" w:type="pct"/>
                  <w:tcBorders>
                    <w:tl2br w:val="nil"/>
                    <w:tr2bl w:val="nil"/>
                  </w:tcBorders>
                  <w:shd w:val="clear" w:color="auto" w:fill="auto"/>
                  <w:vAlign w:val="top"/>
                </w:tcPr>
                <w:p w14:paraId="03B7901E">
                  <w:pPr>
                    <w:pStyle w:val="75"/>
                    <w:widowControl/>
                    <w:rPr>
                      <w:rFonts w:hint="default" w:ascii="Times New Roman" w:hAnsi="Times New Roman" w:eastAsia="宋体" w:cs="Times New Roman"/>
                      <w:sz w:val="21"/>
                      <w:szCs w:val="21"/>
                    </w:rPr>
                  </w:pPr>
                  <w:r>
                    <w:rPr>
                      <w:rFonts w:hint="eastAsia" w:ascii="宋体" w:hAnsi="宋体" w:eastAsia="宋体" w:cs="宋体"/>
                      <w:sz w:val="21"/>
                      <w:szCs w:val="21"/>
                    </w:rPr>
                    <w:t>最高允许排放浓度（</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eastAsia" w:ascii="宋体" w:hAnsi="宋体" w:eastAsia="宋体" w:cs="宋体"/>
                      <w:sz w:val="21"/>
                      <w:szCs w:val="21"/>
                    </w:rPr>
                    <w:t>）</w:t>
                  </w:r>
                </w:p>
              </w:tc>
              <w:tc>
                <w:tcPr>
                  <w:tcW w:w="2994" w:type="pct"/>
                  <w:gridSpan w:val="3"/>
                  <w:tcBorders>
                    <w:tl2br w:val="nil"/>
                    <w:tr2bl w:val="nil"/>
                  </w:tcBorders>
                  <w:shd w:val="clear" w:color="auto" w:fill="auto"/>
                  <w:vAlign w:val="top"/>
                </w:tcPr>
                <w:p w14:paraId="4916247F">
                  <w:pPr>
                    <w:pStyle w:val="75"/>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14:paraId="2A1DB6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63" w:hRule="atLeast"/>
              </w:trPr>
              <w:tc>
                <w:tcPr>
                  <w:tcW w:w="2005" w:type="pct"/>
                  <w:tcBorders>
                    <w:tl2br w:val="nil"/>
                    <w:tr2bl w:val="nil"/>
                  </w:tcBorders>
                  <w:shd w:val="clear" w:color="auto" w:fill="auto"/>
                  <w:vAlign w:val="top"/>
                </w:tcPr>
                <w:p w14:paraId="78B404F9">
                  <w:pPr>
                    <w:pStyle w:val="75"/>
                    <w:widowControl/>
                    <w:rPr>
                      <w:rFonts w:hint="default" w:ascii="Times New Roman" w:hAnsi="Times New Roman" w:eastAsia="宋体" w:cs="Times New Roman"/>
                      <w:sz w:val="21"/>
                      <w:szCs w:val="21"/>
                    </w:rPr>
                  </w:pPr>
                  <w:r>
                    <w:rPr>
                      <w:rFonts w:hint="eastAsia" w:ascii="宋体" w:hAnsi="宋体" w:eastAsia="宋体" w:cs="宋体"/>
                      <w:sz w:val="21"/>
                      <w:szCs w:val="21"/>
                    </w:rPr>
                    <w:t>净化设施最低去除效率（</w:t>
                  </w:r>
                  <w:r>
                    <w:rPr>
                      <w:rFonts w:hint="default" w:ascii="Times New Roman" w:hAnsi="Times New Roman" w:eastAsia="宋体" w:cs="Times New Roman"/>
                      <w:sz w:val="21"/>
                      <w:szCs w:val="21"/>
                    </w:rPr>
                    <w:t>%</w:t>
                  </w:r>
                  <w:r>
                    <w:rPr>
                      <w:rFonts w:hint="eastAsia" w:ascii="宋体" w:hAnsi="宋体" w:eastAsia="宋体" w:cs="宋体"/>
                      <w:sz w:val="21"/>
                      <w:szCs w:val="21"/>
                    </w:rPr>
                    <w:t>）</w:t>
                  </w:r>
                </w:p>
              </w:tc>
              <w:tc>
                <w:tcPr>
                  <w:tcW w:w="1112" w:type="pct"/>
                  <w:tcBorders>
                    <w:tl2br w:val="nil"/>
                    <w:tr2bl w:val="nil"/>
                  </w:tcBorders>
                  <w:shd w:val="clear" w:color="auto" w:fill="auto"/>
                  <w:vAlign w:val="top"/>
                </w:tcPr>
                <w:p w14:paraId="23E53041">
                  <w:pPr>
                    <w:pStyle w:val="75"/>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994" w:type="pct"/>
                  <w:tcBorders>
                    <w:tl2br w:val="nil"/>
                    <w:tr2bl w:val="nil"/>
                  </w:tcBorders>
                  <w:shd w:val="clear" w:color="auto" w:fill="auto"/>
                  <w:vAlign w:val="top"/>
                </w:tcPr>
                <w:p w14:paraId="1558E2C4">
                  <w:pPr>
                    <w:pStyle w:val="75"/>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887" w:type="pct"/>
                  <w:tcBorders>
                    <w:tl2br w:val="nil"/>
                    <w:tr2bl w:val="nil"/>
                  </w:tcBorders>
                  <w:shd w:val="clear" w:color="auto" w:fill="auto"/>
                  <w:vAlign w:val="top"/>
                </w:tcPr>
                <w:p w14:paraId="1A44F117">
                  <w:pPr>
                    <w:pStyle w:val="75"/>
                    <w:widowControl/>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r>
          </w:tbl>
          <w:p w14:paraId="5D3B4559">
            <w:pPr>
              <w:keepNext w:val="0"/>
              <w:keepLines w:val="0"/>
              <w:suppressLineNumbers w:val="0"/>
              <w:spacing w:before="0" w:beforeLines="-2147483648" w:beforeAutospacing="0" w:after="0" w:afterAutospacing="0"/>
              <w:ind w:left="0" w:right="0"/>
              <w:jc w:val="center"/>
              <w:rPr>
                <w:rFonts w:hint="eastAsia"/>
                <w:b/>
                <w:bCs/>
                <w:sz w:val="24"/>
              </w:rPr>
            </w:pPr>
          </w:p>
          <w:p w14:paraId="32457EE8">
            <w:pPr>
              <w:keepNext w:val="0"/>
              <w:keepLines w:val="0"/>
              <w:suppressLineNumbers w:val="0"/>
              <w:spacing w:before="0" w:beforeLines="-2147483648" w:beforeAutospacing="0" w:after="0" w:afterAutospacing="0"/>
              <w:ind w:left="0" w:right="0"/>
              <w:jc w:val="center"/>
              <w:rPr>
                <w:rFonts w:hint="eastAsia"/>
                <w:b/>
                <w:bCs/>
              </w:rPr>
            </w:pPr>
            <w:r>
              <w:rPr>
                <w:rFonts w:hint="eastAsia"/>
                <w:b/>
                <w:bCs/>
                <w:sz w:val="24"/>
              </w:rPr>
              <w:t>表3-</w:t>
            </w:r>
            <w:r>
              <w:rPr>
                <w:rFonts w:hint="eastAsia"/>
                <w:b/>
                <w:bCs/>
                <w:sz w:val="24"/>
                <w:lang w:val="en-US" w:eastAsia="zh-CN"/>
              </w:rPr>
              <w:t xml:space="preserve">7 </w:t>
            </w:r>
            <w:r>
              <w:rPr>
                <w:rFonts w:hint="eastAsia"/>
                <w:b/>
                <w:bCs/>
                <w:sz w:val="24"/>
              </w:rPr>
              <w:t xml:space="preserve"> 恶臭污染物排放执行标准  </w:t>
            </w:r>
            <w:r>
              <w:rPr>
                <w:rFonts w:hint="eastAsia" w:ascii="Times New Roman" w:hAnsi="Times New Roman" w:cs="Times New Roman"/>
                <w:b/>
                <w:bCs/>
                <w:sz w:val="24"/>
              </w:rPr>
              <w:t>单位：</w:t>
            </w:r>
            <w:r>
              <w:rPr>
                <w:rFonts w:hint="eastAsia"/>
                <w:b/>
                <w:bCs/>
                <w:sz w:val="24"/>
              </w:rPr>
              <w:t>mg/m</w:t>
            </w:r>
            <w:r>
              <w:rPr>
                <w:rFonts w:hint="eastAsia"/>
                <w:b/>
                <w:bCs/>
                <w:sz w:val="24"/>
                <w:vertAlign w:val="superscript"/>
              </w:rPr>
              <w:t>3</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4"/>
              <w:gridCol w:w="2355"/>
              <w:gridCol w:w="3272"/>
            </w:tblGrid>
            <w:tr w14:paraId="2A643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470" w:type="pct"/>
                  <w:vMerge w:val="restart"/>
                  <w:tcBorders>
                    <w:tl2br w:val="nil"/>
                    <w:tr2bl w:val="nil"/>
                  </w:tcBorders>
                  <w:noWrap w:val="0"/>
                  <w:vAlign w:val="center"/>
                </w:tcPr>
                <w:p w14:paraId="059962FC">
                  <w:pPr>
                    <w:keepNext w:val="0"/>
                    <w:keepLines w:val="0"/>
                    <w:suppressLineNumbers w:val="0"/>
                    <w:spacing w:before="0" w:beforeAutospacing="0" w:after="0" w:afterAutospacing="0"/>
                    <w:ind w:left="0" w:right="0"/>
                    <w:jc w:val="center"/>
                    <w:rPr>
                      <w:rFonts w:hint="default"/>
                      <w:b/>
                      <w:bCs/>
                      <w:sz w:val="21"/>
                      <w:szCs w:val="21"/>
                    </w:rPr>
                  </w:pPr>
                  <w:r>
                    <w:rPr>
                      <w:rFonts w:hint="default" w:ascii="Times New Roman" w:hAnsi="Times New Roman"/>
                      <w:b/>
                      <w:bCs/>
                      <w:sz w:val="21"/>
                      <w:szCs w:val="21"/>
                    </w:rPr>
                    <w:t>污染物</w:t>
                  </w:r>
                </w:p>
              </w:tc>
              <w:tc>
                <w:tcPr>
                  <w:tcW w:w="1477" w:type="pct"/>
                  <w:vMerge w:val="restart"/>
                  <w:tcBorders>
                    <w:tl2br w:val="nil"/>
                    <w:tr2bl w:val="nil"/>
                  </w:tcBorders>
                  <w:noWrap w:val="0"/>
                  <w:vAlign w:val="center"/>
                </w:tcPr>
                <w:p w14:paraId="240EA851">
                  <w:pPr>
                    <w:keepNext w:val="0"/>
                    <w:keepLines w:val="0"/>
                    <w:widowControl/>
                    <w:suppressLineNumbers w:val="0"/>
                    <w:spacing w:before="0" w:beforeAutospacing="0" w:after="0" w:afterAutospacing="0"/>
                    <w:ind w:left="0" w:right="0"/>
                    <w:jc w:val="center"/>
                    <w:rPr>
                      <w:rFonts w:hint="default"/>
                      <w:b/>
                      <w:bCs/>
                      <w:kern w:val="0"/>
                      <w:sz w:val="21"/>
                      <w:szCs w:val="21"/>
                    </w:rPr>
                  </w:pPr>
                  <w:r>
                    <w:rPr>
                      <w:rFonts w:hint="default"/>
                      <w:b/>
                      <w:bCs/>
                      <w:sz w:val="21"/>
                      <w:szCs w:val="21"/>
                    </w:rPr>
                    <w:t>厂界废气排放最高允许浓度(mg/m</w:t>
                  </w:r>
                  <w:r>
                    <w:rPr>
                      <w:rFonts w:hint="default"/>
                      <w:b/>
                      <w:bCs/>
                      <w:sz w:val="21"/>
                      <w:szCs w:val="21"/>
                      <w:vertAlign w:val="superscript"/>
                    </w:rPr>
                    <w:t>3</w:t>
                  </w:r>
                  <w:r>
                    <w:rPr>
                      <w:rFonts w:hint="default"/>
                      <w:b/>
                      <w:bCs/>
                      <w:sz w:val="21"/>
                      <w:szCs w:val="21"/>
                    </w:rPr>
                    <w:t>)</w:t>
                  </w:r>
                </w:p>
              </w:tc>
              <w:tc>
                <w:tcPr>
                  <w:tcW w:w="2052" w:type="pct"/>
                  <w:vMerge w:val="restart"/>
                  <w:tcBorders>
                    <w:tl2br w:val="nil"/>
                    <w:tr2bl w:val="nil"/>
                  </w:tcBorders>
                  <w:noWrap w:val="0"/>
                  <w:vAlign w:val="center"/>
                </w:tcPr>
                <w:p w14:paraId="42670A99">
                  <w:pPr>
                    <w:keepNext w:val="0"/>
                    <w:keepLines w:val="0"/>
                    <w:suppressLineNumbers w:val="0"/>
                    <w:spacing w:before="0" w:beforeAutospacing="0" w:after="0" w:afterAutospacing="0"/>
                    <w:ind w:left="0" w:right="0"/>
                    <w:jc w:val="center"/>
                    <w:rPr>
                      <w:rFonts w:hint="default"/>
                      <w:b/>
                      <w:bCs/>
                      <w:sz w:val="21"/>
                      <w:szCs w:val="21"/>
                    </w:rPr>
                  </w:pPr>
                  <w:r>
                    <w:rPr>
                      <w:rFonts w:hint="default" w:ascii="宋体" w:hAnsi="宋体"/>
                      <w:b/>
                      <w:bCs/>
                      <w:sz w:val="21"/>
                      <w:szCs w:val="21"/>
                    </w:rPr>
                    <w:t>标准来源</w:t>
                  </w:r>
                </w:p>
              </w:tc>
            </w:tr>
            <w:tr w14:paraId="7C432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1470" w:type="pct"/>
                  <w:vMerge w:val="continue"/>
                  <w:tcBorders>
                    <w:tl2br w:val="nil"/>
                    <w:tr2bl w:val="nil"/>
                  </w:tcBorders>
                  <w:noWrap w:val="0"/>
                  <w:vAlign w:val="center"/>
                </w:tcPr>
                <w:p w14:paraId="118C548A">
                  <w:pPr>
                    <w:keepNext w:val="0"/>
                    <w:keepLines w:val="0"/>
                    <w:widowControl/>
                    <w:suppressLineNumbers w:val="0"/>
                    <w:spacing w:before="0" w:beforeAutospacing="0" w:after="0" w:afterAutospacing="0"/>
                    <w:ind w:left="0" w:right="0"/>
                    <w:jc w:val="center"/>
                    <w:rPr>
                      <w:rFonts w:hint="default"/>
                      <w:b/>
                      <w:bCs/>
                      <w:sz w:val="21"/>
                      <w:szCs w:val="21"/>
                    </w:rPr>
                  </w:pPr>
                </w:p>
              </w:tc>
              <w:tc>
                <w:tcPr>
                  <w:tcW w:w="1477" w:type="pct"/>
                  <w:vMerge w:val="continue"/>
                  <w:tcBorders>
                    <w:tl2br w:val="nil"/>
                    <w:tr2bl w:val="nil"/>
                  </w:tcBorders>
                  <w:noWrap w:val="0"/>
                  <w:vAlign w:val="center"/>
                </w:tcPr>
                <w:p w14:paraId="5785BF09">
                  <w:pPr>
                    <w:keepNext w:val="0"/>
                    <w:keepLines w:val="0"/>
                    <w:widowControl/>
                    <w:suppressLineNumbers w:val="0"/>
                    <w:spacing w:before="0" w:beforeAutospacing="0" w:after="0" w:afterAutospacing="0"/>
                    <w:ind w:left="0" w:right="0"/>
                    <w:jc w:val="center"/>
                    <w:rPr>
                      <w:rFonts w:hint="default"/>
                      <w:kern w:val="0"/>
                      <w:sz w:val="21"/>
                      <w:szCs w:val="21"/>
                    </w:rPr>
                  </w:pPr>
                </w:p>
              </w:tc>
              <w:tc>
                <w:tcPr>
                  <w:tcW w:w="2052" w:type="pct"/>
                  <w:vMerge w:val="continue"/>
                  <w:tcBorders>
                    <w:tl2br w:val="nil"/>
                    <w:tr2bl w:val="nil"/>
                  </w:tcBorders>
                  <w:noWrap w:val="0"/>
                  <w:vAlign w:val="center"/>
                </w:tcPr>
                <w:p w14:paraId="1175099B">
                  <w:pPr>
                    <w:keepNext w:val="0"/>
                    <w:keepLines w:val="0"/>
                    <w:widowControl/>
                    <w:suppressLineNumbers w:val="0"/>
                    <w:spacing w:before="0" w:beforeAutospacing="0" w:after="0" w:afterAutospacing="0"/>
                    <w:ind w:left="0" w:right="0"/>
                    <w:jc w:val="center"/>
                    <w:rPr>
                      <w:rFonts w:hint="default"/>
                      <w:sz w:val="21"/>
                      <w:szCs w:val="21"/>
                    </w:rPr>
                  </w:pPr>
                </w:p>
              </w:tc>
            </w:tr>
            <w:tr w14:paraId="04177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70" w:type="pct"/>
                  <w:vMerge w:val="continue"/>
                  <w:tcBorders>
                    <w:tl2br w:val="nil"/>
                    <w:tr2bl w:val="nil"/>
                  </w:tcBorders>
                  <w:noWrap w:val="0"/>
                  <w:vAlign w:val="center"/>
                </w:tcPr>
                <w:p w14:paraId="75B41E0A">
                  <w:pPr>
                    <w:keepNext w:val="0"/>
                    <w:keepLines w:val="0"/>
                    <w:widowControl/>
                    <w:suppressLineNumbers w:val="0"/>
                    <w:spacing w:before="0" w:beforeAutospacing="0" w:after="0" w:afterAutospacing="0"/>
                    <w:ind w:left="0" w:right="0"/>
                    <w:jc w:val="center"/>
                    <w:rPr>
                      <w:rFonts w:hint="default"/>
                      <w:b/>
                      <w:bCs/>
                      <w:sz w:val="21"/>
                      <w:szCs w:val="21"/>
                    </w:rPr>
                  </w:pPr>
                </w:p>
              </w:tc>
              <w:tc>
                <w:tcPr>
                  <w:tcW w:w="1477" w:type="pct"/>
                  <w:vMerge w:val="continue"/>
                  <w:tcBorders>
                    <w:tl2br w:val="nil"/>
                    <w:tr2bl w:val="nil"/>
                  </w:tcBorders>
                  <w:noWrap w:val="0"/>
                  <w:vAlign w:val="center"/>
                </w:tcPr>
                <w:p w14:paraId="5627E2CC">
                  <w:pPr>
                    <w:keepNext w:val="0"/>
                    <w:keepLines w:val="0"/>
                    <w:widowControl/>
                    <w:suppressLineNumbers w:val="0"/>
                    <w:spacing w:before="0" w:beforeAutospacing="0" w:after="0" w:afterAutospacing="0"/>
                    <w:ind w:left="0" w:right="0"/>
                    <w:jc w:val="center"/>
                    <w:rPr>
                      <w:rFonts w:hint="default"/>
                      <w:kern w:val="0"/>
                      <w:sz w:val="21"/>
                      <w:szCs w:val="21"/>
                    </w:rPr>
                  </w:pPr>
                </w:p>
              </w:tc>
              <w:tc>
                <w:tcPr>
                  <w:tcW w:w="2052" w:type="pct"/>
                  <w:vMerge w:val="continue"/>
                  <w:tcBorders>
                    <w:tl2br w:val="nil"/>
                    <w:tr2bl w:val="nil"/>
                  </w:tcBorders>
                  <w:noWrap w:val="0"/>
                  <w:vAlign w:val="center"/>
                </w:tcPr>
                <w:p w14:paraId="2437B3F8">
                  <w:pPr>
                    <w:keepNext w:val="0"/>
                    <w:keepLines w:val="0"/>
                    <w:widowControl/>
                    <w:suppressLineNumbers w:val="0"/>
                    <w:spacing w:before="0" w:beforeAutospacing="0" w:after="0" w:afterAutospacing="0"/>
                    <w:ind w:left="0" w:right="0"/>
                    <w:jc w:val="center"/>
                    <w:rPr>
                      <w:rFonts w:hint="default"/>
                      <w:sz w:val="21"/>
                      <w:szCs w:val="21"/>
                    </w:rPr>
                  </w:pPr>
                </w:p>
              </w:tc>
            </w:tr>
            <w:tr w14:paraId="72067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70" w:type="pct"/>
                  <w:tcBorders>
                    <w:tl2br w:val="nil"/>
                    <w:tr2bl w:val="nil"/>
                  </w:tcBorders>
                  <w:noWrap w:val="0"/>
                  <w:vAlign w:val="center"/>
                </w:tcPr>
                <w:p w14:paraId="76076659">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氨</w:t>
                  </w:r>
                </w:p>
              </w:tc>
              <w:tc>
                <w:tcPr>
                  <w:tcW w:w="1477" w:type="pct"/>
                  <w:tcBorders>
                    <w:tl2br w:val="nil"/>
                    <w:tr2bl w:val="nil"/>
                  </w:tcBorders>
                  <w:noWrap w:val="0"/>
                  <w:vAlign w:val="center"/>
                </w:tcPr>
                <w:p w14:paraId="7C1AC3FD">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2052" w:type="pct"/>
                  <w:vMerge w:val="restart"/>
                  <w:tcBorders>
                    <w:tl2br w:val="nil"/>
                    <w:tr2bl w:val="nil"/>
                  </w:tcBorders>
                  <w:noWrap w:val="0"/>
                  <w:vAlign w:val="center"/>
                </w:tcPr>
                <w:p w14:paraId="18C58B12">
                  <w:pPr>
                    <w:keepNext w:val="0"/>
                    <w:keepLines w:val="0"/>
                    <w:suppressLineNumbers w:val="0"/>
                    <w:spacing w:before="0" w:beforeAutospacing="0" w:after="0" w:afterAutospacing="0"/>
                    <w:ind w:left="0" w:right="0"/>
                    <w:jc w:val="center"/>
                    <w:rPr>
                      <w:rFonts w:hint="default" w:ascii="宋体" w:hAnsi="宋体"/>
                      <w:b/>
                      <w:bCs/>
                      <w:sz w:val="21"/>
                      <w:szCs w:val="21"/>
                    </w:rPr>
                  </w:pPr>
                  <w:r>
                    <w:rPr>
                      <w:rFonts w:hint="default" w:ascii="Times New Roman" w:hAnsi="Times New Roman" w:cs="Times New Roman"/>
                      <w:sz w:val="21"/>
                      <w:szCs w:val="21"/>
                    </w:rPr>
                    <w:t>《恶臭污染物排放标准》（GB14554-93）</w:t>
                  </w:r>
                </w:p>
              </w:tc>
            </w:tr>
            <w:tr w14:paraId="35162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70" w:type="pct"/>
                  <w:tcBorders>
                    <w:tl2br w:val="nil"/>
                    <w:tr2bl w:val="nil"/>
                  </w:tcBorders>
                  <w:noWrap w:val="0"/>
                  <w:vAlign w:val="center"/>
                </w:tcPr>
                <w:p w14:paraId="552244AB">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硫化氢</w:t>
                  </w:r>
                </w:p>
              </w:tc>
              <w:tc>
                <w:tcPr>
                  <w:tcW w:w="1477" w:type="pct"/>
                  <w:tcBorders>
                    <w:tl2br w:val="nil"/>
                    <w:tr2bl w:val="nil"/>
                  </w:tcBorders>
                  <w:noWrap w:val="0"/>
                  <w:vAlign w:val="center"/>
                </w:tcPr>
                <w:p w14:paraId="7EC5AAD4">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0.06</w:t>
                  </w:r>
                </w:p>
              </w:tc>
              <w:tc>
                <w:tcPr>
                  <w:tcW w:w="2052" w:type="pct"/>
                  <w:vMerge w:val="continue"/>
                  <w:tcBorders>
                    <w:tl2br w:val="nil"/>
                    <w:tr2bl w:val="nil"/>
                  </w:tcBorders>
                  <w:noWrap w:val="0"/>
                  <w:vAlign w:val="center"/>
                </w:tcPr>
                <w:p w14:paraId="54C4928F">
                  <w:pPr>
                    <w:keepNext w:val="0"/>
                    <w:keepLines w:val="0"/>
                    <w:widowControl/>
                    <w:suppressLineNumbers w:val="0"/>
                    <w:spacing w:before="0" w:beforeAutospacing="0" w:after="0" w:afterAutospacing="0"/>
                    <w:ind w:left="0" w:right="0"/>
                    <w:jc w:val="center"/>
                    <w:rPr>
                      <w:rFonts w:hint="default" w:ascii="宋体" w:hAnsi="宋体"/>
                      <w:sz w:val="18"/>
                      <w:szCs w:val="18"/>
                    </w:rPr>
                  </w:pPr>
                </w:p>
              </w:tc>
            </w:tr>
            <w:tr w14:paraId="21753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1470" w:type="pct"/>
                  <w:tcBorders>
                    <w:tl2br w:val="nil"/>
                    <w:tr2bl w:val="nil"/>
                  </w:tcBorders>
                  <w:noWrap w:val="0"/>
                  <w:vAlign w:val="center"/>
                </w:tcPr>
                <w:p w14:paraId="1C3B635F">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臭气浓度</w:t>
                  </w:r>
                </w:p>
              </w:tc>
              <w:tc>
                <w:tcPr>
                  <w:tcW w:w="1477" w:type="pct"/>
                  <w:tcBorders>
                    <w:tl2br w:val="nil"/>
                    <w:tr2bl w:val="nil"/>
                  </w:tcBorders>
                  <w:noWrap w:val="0"/>
                  <w:vAlign w:val="center"/>
                </w:tcPr>
                <w:p w14:paraId="237A2BAD">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20（无量纲）</w:t>
                  </w:r>
                </w:p>
              </w:tc>
              <w:tc>
                <w:tcPr>
                  <w:tcW w:w="2052" w:type="pct"/>
                  <w:vMerge w:val="continue"/>
                  <w:tcBorders>
                    <w:tl2br w:val="nil"/>
                    <w:tr2bl w:val="nil"/>
                  </w:tcBorders>
                  <w:noWrap w:val="0"/>
                  <w:vAlign w:val="center"/>
                </w:tcPr>
                <w:p w14:paraId="679A8302">
                  <w:pPr>
                    <w:keepNext w:val="0"/>
                    <w:keepLines w:val="0"/>
                    <w:widowControl/>
                    <w:suppressLineNumbers w:val="0"/>
                    <w:spacing w:before="0" w:beforeAutospacing="0" w:after="0" w:afterAutospacing="0"/>
                    <w:ind w:left="0" w:right="0"/>
                    <w:jc w:val="center"/>
                    <w:rPr>
                      <w:rFonts w:hint="default" w:ascii="宋体" w:hAnsi="宋体"/>
                      <w:sz w:val="18"/>
                      <w:szCs w:val="18"/>
                    </w:rPr>
                  </w:pPr>
                </w:p>
              </w:tc>
            </w:tr>
          </w:tbl>
          <w:p w14:paraId="0C3FAEA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0" w:firstLineChars="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w:t>
            </w:r>
            <w:r>
              <w:rPr>
                <w:rFonts w:hint="eastAsia" w:ascii="Times New Roman" w:hAnsi="Times New Roman" w:cs="宋体"/>
                <w:b/>
                <w:bCs/>
                <w:color w:val="auto"/>
                <w:sz w:val="24"/>
                <w:szCs w:val="24"/>
              </w:rPr>
              <w:t>、废水</w:t>
            </w:r>
          </w:p>
          <w:p w14:paraId="7AD5DA6B">
            <w:pPr>
              <w:pStyle w:val="8"/>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b/>
                <w:color w:val="auto"/>
                <w:kern w:val="0"/>
                <w:sz w:val="24"/>
                <w:szCs w:val="24"/>
              </w:rPr>
            </w:pPr>
            <w:r>
              <w:rPr>
                <w:rFonts w:hint="default" w:ascii="Times New Roman" w:hAnsi="Times New Roman" w:cs="Times New Roman"/>
                <w:color w:val="auto"/>
              </w:rPr>
              <w:t>厂区</w:t>
            </w:r>
            <w:r>
              <w:rPr>
                <w:rFonts w:hint="default" w:ascii="Times New Roman" w:hAnsi="Times New Roman" w:cs="Times New Roman"/>
                <w:color w:val="auto"/>
                <w:lang w:val="en-US" w:eastAsia="zh-CN"/>
              </w:rPr>
              <w:t>实</w:t>
            </w:r>
            <w:r>
              <w:rPr>
                <w:rFonts w:hint="default" w:ascii="Times New Roman" w:hAnsi="Times New Roman" w:cs="Times New Roman"/>
                <w:color w:val="auto"/>
              </w:rPr>
              <w:t>行雨污分流制，</w:t>
            </w:r>
            <w:r>
              <w:rPr>
                <w:rFonts w:hint="default" w:ascii="Times New Roman" w:hAnsi="Times New Roman" w:cs="Times New Roman"/>
                <w:color w:val="auto"/>
                <w:szCs w:val="24"/>
                <w:lang w:val="en-US" w:eastAsia="zh-CN"/>
              </w:rPr>
              <w:t>生活污水经化粪池（依托现有）预处理、项目生产废水经沉淀池（依托现有）与处理后接管进入</w:t>
            </w:r>
            <w:r>
              <w:rPr>
                <w:rFonts w:hint="eastAsia"/>
                <w:color w:val="auto"/>
                <w:szCs w:val="24"/>
              </w:rPr>
              <w:t>安徽淮相科技发展有限公司第二污水处理厂</w:t>
            </w:r>
            <w:r>
              <w:rPr>
                <w:rFonts w:hint="default" w:ascii="Times New Roman" w:hAnsi="Times New Roman" w:cs="Times New Roman"/>
                <w:color w:val="auto"/>
                <w:szCs w:val="24"/>
                <w:lang w:val="en-US" w:eastAsia="zh-CN"/>
              </w:rPr>
              <w:t>，从严执行</w:t>
            </w:r>
            <w:r>
              <w:rPr>
                <w:rFonts w:hint="eastAsia"/>
                <w:color w:val="auto"/>
                <w:szCs w:val="24"/>
              </w:rPr>
              <w:t>安徽淮相科技发展有限公司第二污水处理厂</w:t>
            </w:r>
            <w:r>
              <w:rPr>
                <w:rFonts w:hint="default" w:ascii="Times New Roman" w:hAnsi="Times New Roman" w:cs="Times New Roman"/>
                <w:color w:val="auto"/>
                <w:szCs w:val="24"/>
                <w:lang w:val="en-US" w:eastAsia="zh-CN"/>
              </w:rPr>
              <w:t>的接管标准和《污水综合排放标准》（GB8978-1996）表4中三级标准。</w:t>
            </w:r>
            <w:r>
              <w:rPr>
                <w:rFonts w:hint="eastAsia"/>
                <w:color w:val="auto"/>
                <w:szCs w:val="24"/>
              </w:rPr>
              <w:t>安徽淮相科技发展有限公司第二污水处理厂</w:t>
            </w:r>
            <w:r>
              <w:rPr>
                <w:rFonts w:hint="default" w:ascii="Times New Roman" w:hAnsi="Times New Roman" w:cs="Times New Roman"/>
                <w:color w:val="auto"/>
                <w:szCs w:val="24"/>
                <w:lang w:val="en-US" w:eastAsia="zh-CN"/>
              </w:rPr>
              <w:t>设计出水水质执行《城镇污水处理厂污染物排放标准》（GB18918-2002）一级标准中的A类标准，其中主要污染指标化学需氧量、氨氮</w:t>
            </w:r>
            <w:r>
              <w:rPr>
                <w:rFonts w:hint="eastAsia" w:cs="Times New Roman"/>
                <w:color w:val="auto"/>
                <w:szCs w:val="24"/>
                <w:lang w:val="en-US" w:eastAsia="zh-CN"/>
              </w:rPr>
              <w:t>、总氮、总磷</w:t>
            </w:r>
            <w:r>
              <w:rPr>
                <w:rFonts w:hint="default" w:ascii="Times New Roman" w:hAnsi="Times New Roman" w:cs="Times New Roman"/>
                <w:color w:val="auto"/>
                <w:szCs w:val="24"/>
                <w:lang w:val="en-US" w:eastAsia="zh-CN"/>
              </w:rPr>
              <w:t>参照执行《巢湖流域城镇污水处理厂和工业行业主要水污染物排放限值（DB34/2710-2016）表</w:t>
            </w:r>
            <w:r>
              <w:rPr>
                <w:rFonts w:hint="eastAsia" w:ascii="Times New Roman" w:hAnsi="Times New Roman" w:cs="Times New Roman"/>
                <w:color w:val="auto"/>
                <w:szCs w:val="24"/>
                <w:lang w:val="en-US" w:eastAsia="zh-CN"/>
              </w:rPr>
              <w:t>2</w:t>
            </w:r>
            <w:r>
              <w:rPr>
                <w:rFonts w:hint="default" w:ascii="Times New Roman" w:hAnsi="Times New Roman" w:cs="Times New Roman"/>
                <w:color w:val="auto"/>
                <w:szCs w:val="24"/>
                <w:lang w:val="en-US" w:eastAsia="zh-CN"/>
              </w:rPr>
              <w:t>中Ⅰ类排放限值。处理达标后最终排入老濉河。具体执行标准见下表。</w:t>
            </w:r>
          </w:p>
          <w:p w14:paraId="56AE8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kern w:val="0"/>
                <w:sz w:val="24"/>
                <w:szCs w:val="24"/>
                <w:lang w:val="en-US" w:eastAsia="zh-CN"/>
              </w:rPr>
            </w:pPr>
            <w:r>
              <w:rPr>
                <w:rFonts w:hint="default" w:ascii="Times New Roman" w:hAnsi="Times New Roman" w:cs="Times New Roman"/>
                <w:b/>
                <w:color w:val="auto"/>
                <w:kern w:val="0"/>
                <w:sz w:val="24"/>
                <w:szCs w:val="24"/>
              </w:rPr>
              <w:t>表</w:t>
            </w:r>
            <w:r>
              <w:rPr>
                <w:rFonts w:hint="eastAsia" w:ascii="Times New Roman" w:hAnsi="Times New Roman" w:cs="Times New Roman"/>
                <w:b/>
                <w:color w:val="auto"/>
                <w:kern w:val="0"/>
                <w:sz w:val="24"/>
                <w:szCs w:val="24"/>
                <w:lang w:val="en-US" w:eastAsia="zh-CN"/>
              </w:rPr>
              <w:t>3</w:t>
            </w:r>
            <w:r>
              <w:rPr>
                <w:rFonts w:hint="default" w:ascii="Times New Roman" w:hAnsi="Times New Roman" w:cs="Times New Roman"/>
                <w:b/>
                <w:color w:val="auto"/>
                <w:kern w:val="0"/>
                <w:sz w:val="24"/>
                <w:szCs w:val="24"/>
              </w:rPr>
              <w:t>-</w:t>
            </w:r>
            <w:r>
              <w:rPr>
                <w:rFonts w:hint="default" w:ascii="Times New Roman" w:hAnsi="Times New Roman" w:cs="Times New Roman"/>
                <w:b/>
                <w:color w:val="auto"/>
                <w:kern w:val="0"/>
                <w:sz w:val="24"/>
                <w:szCs w:val="24"/>
                <w:lang w:val="en-US" w:eastAsia="zh-CN"/>
              </w:rPr>
              <w:t>8</w:t>
            </w:r>
            <w:r>
              <w:rPr>
                <w:rFonts w:hint="eastAsia"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废水排放标准</w:t>
            </w:r>
            <w:r>
              <w:rPr>
                <w:rFonts w:hint="eastAsia" w:ascii="Times New Roman" w:hAnsi="Times New Roman" w:cs="Times New Roman"/>
                <w:b/>
                <w:color w:val="auto"/>
                <w:kern w:val="0"/>
                <w:sz w:val="24"/>
                <w:szCs w:val="24"/>
                <w:lang w:val="en-US" w:eastAsia="zh-CN"/>
              </w:rPr>
              <w:t xml:space="preserve">  </w:t>
            </w:r>
            <w:r>
              <w:rPr>
                <w:rFonts w:hint="default" w:ascii="Times New Roman" w:hAnsi="Times New Roman" w:cs="Times New Roman"/>
                <w:b/>
                <w:color w:val="auto"/>
                <w:kern w:val="0"/>
                <w:sz w:val="24"/>
                <w:szCs w:val="24"/>
              </w:rPr>
              <w:t>单位：</w:t>
            </w:r>
            <w:r>
              <w:rPr>
                <w:rFonts w:hint="default" w:ascii="Times New Roman" w:hAnsi="Times New Roman" w:eastAsia="TimesNewRomanPSMT" w:cs="Times New Roman"/>
                <w:b/>
                <w:color w:val="auto"/>
                <w:kern w:val="0"/>
                <w:sz w:val="24"/>
                <w:szCs w:val="24"/>
              </w:rPr>
              <w:t>mg/L</w:t>
            </w:r>
            <w:r>
              <w:rPr>
                <w:rFonts w:hint="eastAsia" w:ascii="Times New Roman" w:hAnsi="Times New Roman" w:eastAsia="宋体" w:cs="Times New Roman"/>
                <w:b/>
                <w:color w:val="auto"/>
                <w:kern w:val="0"/>
                <w:sz w:val="24"/>
                <w:szCs w:val="24"/>
                <w:lang w:eastAsia="zh-CN"/>
              </w:rPr>
              <w:t>，</w:t>
            </w:r>
            <w:r>
              <w:rPr>
                <w:rFonts w:hint="default" w:ascii="Times New Roman" w:hAnsi="Times New Roman" w:eastAsia="TimesNewRomanPSMT" w:cs="Times New Roman"/>
                <w:b/>
                <w:color w:val="auto"/>
                <w:kern w:val="0"/>
                <w:sz w:val="24"/>
                <w:szCs w:val="24"/>
              </w:rPr>
              <w:t>pH</w:t>
            </w:r>
            <w:r>
              <w:rPr>
                <w:rFonts w:hint="eastAsia" w:ascii="Times New Roman" w:hAnsi="Times New Roman" w:eastAsia="宋体" w:cs="Times New Roman"/>
                <w:b/>
                <w:color w:val="auto"/>
                <w:kern w:val="0"/>
                <w:sz w:val="24"/>
                <w:szCs w:val="24"/>
                <w:lang w:val="en-US" w:eastAsia="zh-CN"/>
              </w:rPr>
              <w:t>无量纲</w:t>
            </w:r>
          </w:p>
          <w:tbl>
            <w:tblPr>
              <w:tblStyle w:val="28"/>
              <w:tblW w:w="796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76"/>
              <w:gridCol w:w="926"/>
              <w:gridCol w:w="1505"/>
              <w:gridCol w:w="730"/>
              <w:gridCol w:w="1035"/>
              <w:gridCol w:w="1455"/>
              <w:gridCol w:w="1341"/>
            </w:tblGrid>
            <w:tr w14:paraId="1881E0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29" w:hRule="atLeast"/>
              </w:trPr>
              <w:tc>
                <w:tcPr>
                  <w:tcW w:w="612" w:type="pct"/>
                  <w:tcBorders>
                    <w:tl2br w:val="nil"/>
                    <w:tr2bl w:val="nil"/>
                  </w:tcBorders>
                  <w:noWrap w:val="0"/>
                  <w:vAlign w:val="center"/>
                </w:tcPr>
                <w:p w14:paraId="24C16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581" w:type="pct"/>
                  <w:tcBorders>
                    <w:tl2br w:val="nil"/>
                    <w:tr2bl w:val="nil"/>
                  </w:tcBorders>
                  <w:noWrap w:val="0"/>
                  <w:vAlign w:val="center"/>
                </w:tcPr>
                <w:p w14:paraId="0D84F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cs="Times New Roman"/>
                      <w:b/>
                      <w:bCs/>
                      <w:color w:val="auto"/>
                      <w:szCs w:val="24"/>
                      <w:lang w:val="en-US" w:eastAsia="zh-CN"/>
                    </w:rPr>
                    <w:t>GB8978-1996</w:t>
                  </w:r>
                  <w:r>
                    <w:rPr>
                      <w:rFonts w:hint="default" w:ascii="Times New Roman" w:hAnsi="Times New Roman" w:eastAsia="宋体" w:cs="Times New Roman"/>
                      <w:b/>
                      <w:bCs/>
                      <w:sz w:val="21"/>
                      <w:szCs w:val="21"/>
                    </w:rPr>
                    <w:t>三级标准浓度限值</w:t>
                  </w:r>
                </w:p>
              </w:tc>
              <w:tc>
                <w:tcPr>
                  <w:tcW w:w="944" w:type="pct"/>
                  <w:tcBorders>
                    <w:tl2br w:val="nil"/>
                    <w:tr2bl w:val="nil"/>
                  </w:tcBorders>
                  <w:noWrap w:val="0"/>
                  <w:vAlign w:val="center"/>
                </w:tcPr>
                <w:p w14:paraId="02B7A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sz w:val="21"/>
                      <w:szCs w:val="21"/>
                      <w:lang w:eastAsia="zh-CN"/>
                    </w:rPr>
                  </w:pPr>
                  <w:r>
                    <w:rPr>
                      <w:rFonts w:hint="eastAsia"/>
                      <w:b/>
                      <w:bCs/>
                      <w:szCs w:val="21"/>
                    </w:rPr>
                    <w:t>安徽淮相科技发展有限公司第二污水处理厂</w:t>
                  </w:r>
                  <w:r>
                    <w:rPr>
                      <w:rFonts w:hint="default" w:ascii="Times New Roman" w:hAnsi="Times New Roman" w:eastAsia="宋体" w:cs="Times New Roman"/>
                      <w:b/>
                      <w:bCs/>
                      <w:sz w:val="21"/>
                      <w:szCs w:val="21"/>
                    </w:rPr>
                    <w:t>接管限值</w:t>
                  </w:r>
                </w:p>
              </w:tc>
              <w:tc>
                <w:tcPr>
                  <w:tcW w:w="458" w:type="pct"/>
                  <w:tcBorders>
                    <w:tl2br w:val="nil"/>
                    <w:tr2bl w:val="nil"/>
                  </w:tcBorders>
                  <w:noWrap w:val="0"/>
                  <w:vAlign w:val="center"/>
                </w:tcPr>
                <w:p w14:paraId="2DD34E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本项目执行标准</w:t>
                  </w:r>
                </w:p>
              </w:tc>
              <w:tc>
                <w:tcPr>
                  <w:tcW w:w="649" w:type="pct"/>
                  <w:tcBorders>
                    <w:tl2br w:val="nil"/>
                    <w:tr2bl w:val="nil"/>
                  </w:tcBorders>
                  <w:noWrap w:val="0"/>
                  <w:vAlign w:val="center"/>
                </w:tcPr>
                <w:p w14:paraId="291ACDFD">
                  <w:pPr>
                    <w:keepNext w:val="0"/>
                    <w:keepLines w:val="0"/>
                    <w:widowControl/>
                    <w:suppressLineNumbers w:val="0"/>
                    <w:adjustRightInd w:val="0"/>
                    <w:snapToGrid w:val="0"/>
                    <w:spacing w:before="0" w:beforeAutospacing="0" w:after="0" w:afterAutospacing="0"/>
                    <w:ind w:left="0" w:right="0"/>
                    <w:contextualSpacing/>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kern w:val="0"/>
                      <w:szCs w:val="21"/>
                    </w:rPr>
                    <w:t>GB18918-2002一级A排放标准</w:t>
                  </w:r>
                </w:p>
              </w:tc>
              <w:tc>
                <w:tcPr>
                  <w:tcW w:w="913" w:type="pct"/>
                  <w:tcBorders>
                    <w:tl2br w:val="nil"/>
                    <w:tr2bl w:val="nil"/>
                  </w:tcBorders>
                  <w:noWrap w:val="0"/>
                  <w:vAlign w:val="center"/>
                </w:tcPr>
                <w:p w14:paraId="2969905F">
                  <w:pPr>
                    <w:keepNext w:val="0"/>
                    <w:keepLines w:val="0"/>
                    <w:widowControl/>
                    <w:suppressLineNumbers w:val="0"/>
                    <w:adjustRightInd w:val="0"/>
                    <w:snapToGrid w:val="0"/>
                    <w:spacing w:before="0" w:beforeAutospacing="0" w:after="0" w:afterAutospacing="0"/>
                    <w:ind w:left="0" w:right="0"/>
                    <w:contextualSpacing/>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kern w:val="0"/>
                      <w:szCs w:val="21"/>
                    </w:rPr>
                    <w:t>淮河/巢湖流域污水厂排放标准</w:t>
                  </w:r>
                  <w:r>
                    <w:rPr>
                      <w:rFonts w:hint="default" w:ascii="Times New Roman" w:hAnsi="Times New Roman" w:eastAsia="宋体" w:cs="Times New Roman"/>
                      <w:b/>
                      <w:bCs/>
                      <w:kern w:val="0"/>
                      <w:szCs w:val="21"/>
                    </w:rPr>
                    <w:t>中I类</w:t>
                  </w:r>
                  <w:r>
                    <w:rPr>
                      <w:rFonts w:hint="eastAsia" w:ascii="Times New Roman" w:hAnsi="Times New Roman" w:eastAsia="宋体" w:cs="Times New Roman"/>
                      <w:b/>
                      <w:bCs/>
                      <w:kern w:val="0"/>
                      <w:szCs w:val="21"/>
                    </w:rPr>
                    <w:t>排放限值</w:t>
                  </w:r>
                </w:p>
              </w:tc>
              <w:tc>
                <w:tcPr>
                  <w:tcW w:w="841" w:type="pct"/>
                  <w:tcBorders>
                    <w:tl2br w:val="nil"/>
                    <w:tr2bl w:val="nil"/>
                  </w:tcBorders>
                  <w:noWrap w:val="0"/>
                  <w:vAlign w:val="center"/>
                </w:tcPr>
                <w:p w14:paraId="324DC9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sz w:val="21"/>
                      <w:szCs w:val="21"/>
                      <w:lang w:val="en-US" w:eastAsia="zh-CN"/>
                    </w:rPr>
                  </w:pPr>
                  <w:r>
                    <w:rPr>
                      <w:rFonts w:hint="eastAsia"/>
                      <w:b/>
                      <w:bCs/>
                      <w:szCs w:val="21"/>
                    </w:rPr>
                    <w:t>安徽淮相科技发展有限公司第二污水处理厂</w:t>
                  </w:r>
                  <w:r>
                    <w:rPr>
                      <w:rFonts w:hint="eastAsia" w:ascii="Times New Roman" w:hAnsi="Times New Roman" w:eastAsia="宋体" w:cs="Times New Roman"/>
                      <w:b/>
                      <w:bCs/>
                      <w:sz w:val="21"/>
                      <w:szCs w:val="21"/>
                      <w:lang w:val="en-US" w:eastAsia="zh-CN"/>
                    </w:rPr>
                    <w:t>排放标准</w:t>
                  </w:r>
                </w:p>
              </w:tc>
            </w:tr>
            <w:tr w14:paraId="54907E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12" w:type="pct"/>
                  <w:tcBorders>
                    <w:tl2br w:val="nil"/>
                    <w:tr2bl w:val="nil"/>
                  </w:tcBorders>
                  <w:noWrap w:val="0"/>
                  <w:vAlign w:val="center"/>
                </w:tcPr>
                <w:p w14:paraId="30567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pH</w:t>
                  </w:r>
                </w:p>
              </w:tc>
              <w:tc>
                <w:tcPr>
                  <w:tcW w:w="581" w:type="pct"/>
                  <w:tcBorders>
                    <w:tl2br w:val="nil"/>
                    <w:tr2bl w:val="nil"/>
                  </w:tcBorders>
                  <w:noWrap w:val="0"/>
                  <w:vAlign w:val="center"/>
                </w:tcPr>
                <w:p w14:paraId="48F31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6~9</w:t>
                  </w:r>
                </w:p>
              </w:tc>
              <w:tc>
                <w:tcPr>
                  <w:tcW w:w="944" w:type="pct"/>
                  <w:tcBorders>
                    <w:tl2br w:val="nil"/>
                    <w:tr2bl w:val="nil"/>
                  </w:tcBorders>
                  <w:noWrap w:val="0"/>
                  <w:vAlign w:val="center"/>
                </w:tcPr>
                <w:p w14:paraId="59E490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6~9</w:t>
                  </w:r>
                </w:p>
              </w:tc>
              <w:tc>
                <w:tcPr>
                  <w:tcW w:w="458" w:type="pct"/>
                  <w:tcBorders>
                    <w:tl2br w:val="nil"/>
                    <w:tr2bl w:val="nil"/>
                  </w:tcBorders>
                  <w:noWrap w:val="0"/>
                  <w:vAlign w:val="center"/>
                </w:tcPr>
                <w:p w14:paraId="12299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6~9</w:t>
                  </w:r>
                </w:p>
              </w:tc>
              <w:tc>
                <w:tcPr>
                  <w:tcW w:w="649" w:type="pct"/>
                  <w:tcBorders>
                    <w:tl2br w:val="nil"/>
                    <w:tr2bl w:val="nil"/>
                  </w:tcBorders>
                  <w:noWrap w:val="0"/>
                  <w:vAlign w:val="center"/>
                </w:tcPr>
                <w:p w14:paraId="76870FE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等线" w:cs="Times New Roman"/>
                      <w:kern w:val="0"/>
                      <w:szCs w:val="21"/>
                    </w:rPr>
                    <w:t>6~9</w:t>
                  </w:r>
                </w:p>
              </w:tc>
              <w:tc>
                <w:tcPr>
                  <w:tcW w:w="913" w:type="pct"/>
                  <w:tcBorders>
                    <w:tl2br w:val="nil"/>
                    <w:tr2bl w:val="nil"/>
                  </w:tcBorders>
                  <w:noWrap w:val="0"/>
                  <w:vAlign w:val="center"/>
                </w:tcPr>
                <w:p w14:paraId="3A04D05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41" w:type="pct"/>
                  <w:tcBorders>
                    <w:tl2br w:val="nil"/>
                    <w:tr2bl w:val="nil"/>
                  </w:tcBorders>
                  <w:noWrap w:val="0"/>
                  <w:vAlign w:val="center"/>
                </w:tcPr>
                <w:p w14:paraId="71C44B0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6~9</w:t>
                  </w:r>
                </w:p>
              </w:tc>
            </w:tr>
            <w:tr w14:paraId="16C21D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12" w:type="pct"/>
                  <w:tcBorders>
                    <w:tl2br w:val="nil"/>
                    <w:tr2bl w:val="nil"/>
                  </w:tcBorders>
                  <w:noWrap w:val="0"/>
                  <w:vAlign w:val="center"/>
                </w:tcPr>
                <w:p w14:paraId="16CBE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COD</w:t>
                  </w:r>
                </w:p>
              </w:tc>
              <w:tc>
                <w:tcPr>
                  <w:tcW w:w="581" w:type="pct"/>
                  <w:tcBorders>
                    <w:tl2br w:val="nil"/>
                    <w:tr2bl w:val="nil"/>
                  </w:tcBorders>
                  <w:noWrap w:val="0"/>
                  <w:vAlign w:val="center"/>
                </w:tcPr>
                <w:p w14:paraId="083D8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500</w:t>
                  </w:r>
                </w:p>
              </w:tc>
              <w:tc>
                <w:tcPr>
                  <w:tcW w:w="944" w:type="pct"/>
                  <w:tcBorders>
                    <w:tl2br w:val="nil"/>
                    <w:tr2bl w:val="nil"/>
                  </w:tcBorders>
                  <w:noWrap w:val="0"/>
                  <w:vAlign w:val="center"/>
                </w:tcPr>
                <w:p w14:paraId="7A0D14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500</w:t>
                  </w:r>
                </w:p>
              </w:tc>
              <w:tc>
                <w:tcPr>
                  <w:tcW w:w="458" w:type="pct"/>
                  <w:tcBorders>
                    <w:tl2br w:val="nil"/>
                    <w:tr2bl w:val="nil"/>
                  </w:tcBorders>
                  <w:noWrap w:val="0"/>
                  <w:vAlign w:val="center"/>
                </w:tcPr>
                <w:p w14:paraId="2FA4D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sz w:val="21"/>
                      <w:szCs w:val="21"/>
                    </w:rPr>
                    <w:t>500</w:t>
                  </w:r>
                </w:p>
              </w:tc>
              <w:tc>
                <w:tcPr>
                  <w:tcW w:w="649" w:type="pct"/>
                  <w:tcBorders>
                    <w:tl2br w:val="nil"/>
                    <w:tr2bl w:val="nil"/>
                  </w:tcBorders>
                  <w:noWrap w:val="0"/>
                  <w:vAlign w:val="center"/>
                </w:tcPr>
                <w:p w14:paraId="3E7FACA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等线" w:cs="Times New Roman"/>
                      <w:kern w:val="0"/>
                      <w:szCs w:val="21"/>
                    </w:rPr>
                    <w:t>50</w:t>
                  </w:r>
                </w:p>
              </w:tc>
              <w:tc>
                <w:tcPr>
                  <w:tcW w:w="913" w:type="pct"/>
                  <w:tcBorders>
                    <w:tl2br w:val="nil"/>
                    <w:tr2bl w:val="nil"/>
                  </w:tcBorders>
                  <w:noWrap w:val="0"/>
                  <w:vAlign w:val="center"/>
                </w:tcPr>
                <w:p w14:paraId="4D0B7C7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c>
                <w:tcPr>
                  <w:tcW w:w="841" w:type="pct"/>
                  <w:tcBorders>
                    <w:tl2br w:val="nil"/>
                    <w:tr2bl w:val="nil"/>
                  </w:tcBorders>
                  <w:noWrap w:val="0"/>
                  <w:vAlign w:val="center"/>
                </w:tcPr>
                <w:p w14:paraId="0F8688D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40</w:t>
                  </w:r>
                </w:p>
              </w:tc>
            </w:tr>
            <w:tr w14:paraId="2DAF16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12" w:type="pct"/>
                  <w:tcBorders>
                    <w:tl2br w:val="nil"/>
                    <w:tr2bl w:val="nil"/>
                  </w:tcBorders>
                  <w:noWrap w:val="0"/>
                  <w:vAlign w:val="center"/>
                </w:tcPr>
                <w:p w14:paraId="3DF72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BOD</w:t>
                  </w:r>
                  <w:r>
                    <w:rPr>
                      <w:rFonts w:hint="default" w:ascii="Times New Roman" w:hAnsi="Times New Roman" w:eastAsia="宋体" w:cs="Times New Roman"/>
                      <w:b w:val="0"/>
                      <w:bCs w:val="0"/>
                      <w:sz w:val="21"/>
                      <w:szCs w:val="21"/>
                      <w:vertAlign w:val="subscript"/>
                    </w:rPr>
                    <w:t>5</w:t>
                  </w:r>
                </w:p>
              </w:tc>
              <w:tc>
                <w:tcPr>
                  <w:tcW w:w="581" w:type="pct"/>
                  <w:tcBorders>
                    <w:tl2br w:val="nil"/>
                    <w:tr2bl w:val="nil"/>
                  </w:tcBorders>
                  <w:noWrap w:val="0"/>
                  <w:vAlign w:val="center"/>
                </w:tcPr>
                <w:p w14:paraId="54C6D0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300</w:t>
                  </w:r>
                </w:p>
              </w:tc>
              <w:tc>
                <w:tcPr>
                  <w:tcW w:w="944" w:type="pct"/>
                  <w:tcBorders>
                    <w:tl2br w:val="nil"/>
                    <w:tr2bl w:val="nil"/>
                  </w:tcBorders>
                  <w:noWrap w:val="0"/>
                  <w:vAlign w:val="center"/>
                </w:tcPr>
                <w:p w14:paraId="495BDB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350</w:t>
                  </w:r>
                </w:p>
              </w:tc>
              <w:tc>
                <w:tcPr>
                  <w:tcW w:w="458" w:type="pct"/>
                  <w:tcBorders>
                    <w:tl2br w:val="nil"/>
                    <w:tr2bl w:val="nil"/>
                  </w:tcBorders>
                  <w:noWrap w:val="0"/>
                  <w:vAlign w:val="center"/>
                </w:tcPr>
                <w:p w14:paraId="5FFB2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300</w:t>
                  </w:r>
                </w:p>
              </w:tc>
              <w:tc>
                <w:tcPr>
                  <w:tcW w:w="649" w:type="pct"/>
                  <w:tcBorders>
                    <w:tl2br w:val="nil"/>
                    <w:tr2bl w:val="nil"/>
                  </w:tcBorders>
                  <w:noWrap w:val="0"/>
                  <w:vAlign w:val="center"/>
                </w:tcPr>
                <w:p w14:paraId="2228AB8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等线" w:cs="Times New Roman"/>
                      <w:kern w:val="0"/>
                      <w:szCs w:val="21"/>
                    </w:rPr>
                    <w:t>10</w:t>
                  </w:r>
                </w:p>
              </w:tc>
              <w:tc>
                <w:tcPr>
                  <w:tcW w:w="913" w:type="pct"/>
                  <w:tcBorders>
                    <w:tl2br w:val="nil"/>
                    <w:tr2bl w:val="nil"/>
                  </w:tcBorders>
                  <w:noWrap w:val="0"/>
                  <w:vAlign w:val="center"/>
                </w:tcPr>
                <w:p w14:paraId="00BFA0F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41" w:type="pct"/>
                  <w:tcBorders>
                    <w:tl2br w:val="nil"/>
                    <w:tr2bl w:val="nil"/>
                  </w:tcBorders>
                  <w:noWrap w:val="0"/>
                  <w:vAlign w:val="center"/>
                </w:tcPr>
                <w:p w14:paraId="071C548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77115E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12" w:type="pct"/>
                  <w:tcBorders>
                    <w:tl2br w:val="nil"/>
                    <w:tr2bl w:val="nil"/>
                  </w:tcBorders>
                  <w:noWrap w:val="0"/>
                  <w:vAlign w:val="center"/>
                </w:tcPr>
                <w:p w14:paraId="608A4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SS</w:t>
                  </w:r>
                </w:p>
              </w:tc>
              <w:tc>
                <w:tcPr>
                  <w:tcW w:w="581" w:type="pct"/>
                  <w:tcBorders>
                    <w:tl2br w:val="nil"/>
                    <w:tr2bl w:val="nil"/>
                  </w:tcBorders>
                  <w:noWrap w:val="0"/>
                  <w:vAlign w:val="center"/>
                </w:tcPr>
                <w:p w14:paraId="72D9E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400</w:t>
                  </w:r>
                </w:p>
              </w:tc>
              <w:tc>
                <w:tcPr>
                  <w:tcW w:w="944" w:type="pct"/>
                  <w:tcBorders>
                    <w:tl2br w:val="nil"/>
                    <w:tr2bl w:val="nil"/>
                  </w:tcBorders>
                  <w:noWrap w:val="0"/>
                  <w:vAlign w:val="center"/>
                </w:tcPr>
                <w:p w14:paraId="1C3E9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400</w:t>
                  </w:r>
                </w:p>
              </w:tc>
              <w:tc>
                <w:tcPr>
                  <w:tcW w:w="458" w:type="pct"/>
                  <w:tcBorders>
                    <w:tl2br w:val="nil"/>
                    <w:tr2bl w:val="nil"/>
                  </w:tcBorders>
                  <w:noWrap w:val="0"/>
                  <w:vAlign w:val="center"/>
                </w:tcPr>
                <w:p w14:paraId="10C25F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sz w:val="21"/>
                      <w:szCs w:val="21"/>
                    </w:rPr>
                    <w:t>400</w:t>
                  </w:r>
                </w:p>
              </w:tc>
              <w:tc>
                <w:tcPr>
                  <w:tcW w:w="649" w:type="pct"/>
                  <w:tcBorders>
                    <w:tl2br w:val="nil"/>
                    <w:tr2bl w:val="nil"/>
                  </w:tcBorders>
                  <w:noWrap w:val="0"/>
                  <w:vAlign w:val="center"/>
                </w:tcPr>
                <w:p w14:paraId="6E8BE5A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等线" w:cs="Times New Roman"/>
                      <w:kern w:val="0"/>
                      <w:szCs w:val="21"/>
                    </w:rPr>
                    <w:t>10</w:t>
                  </w:r>
                </w:p>
              </w:tc>
              <w:tc>
                <w:tcPr>
                  <w:tcW w:w="913" w:type="pct"/>
                  <w:tcBorders>
                    <w:tl2br w:val="nil"/>
                    <w:tr2bl w:val="nil"/>
                  </w:tcBorders>
                  <w:noWrap w:val="0"/>
                  <w:vAlign w:val="center"/>
                </w:tcPr>
                <w:p w14:paraId="7E01DA0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41" w:type="pct"/>
                  <w:tcBorders>
                    <w:tl2br w:val="nil"/>
                    <w:tr2bl w:val="nil"/>
                  </w:tcBorders>
                  <w:noWrap w:val="0"/>
                  <w:vAlign w:val="center"/>
                </w:tcPr>
                <w:p w14:paraId="2C292D3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24CECB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12" w:type="pct"/>
                  <w:tcBorders>
                    <w:tl2br w:val="nil"/>
                    <w:tr2bl w:val="nil"/>
                  </w:tcBorders>
                  <w:noWrap w:val="0"/>
                  <w:vAlign w:val="center"/>
                </w:tcPr>
                <w:p w14:paraId="1912C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NH</w:t>
                  </w:r>
                  <w:r>
                    <w:rPr>
                      <w:rFonts w:hint="default" w:ascii="Times New Roman" w:hAnsi="Times New Roman" w:eastAsia="宋体" w:cs="Times New Roman"/>
                      <w:b w:val="0"/>
                      <w:bCs w:val="0"/>
                      <w:sz w:val="21"/>
                      <w:szCs w:val="21"/>
                      <w:vertAlign w:val="subscript"/>
                    </w:rPr>
                    <w:t>3</w:t>
                  </w:r>
                  <w:r>
                    <w:rPr>
                      <w:rFonts w:hint="default" w:ascii="Times New Roman" w:hAnsi="Times New Roman" w:eastAsia="宋体" w:cs="Times New Roman"/>
                      <w:b w:val="0"/>
                      <w:bCs w:val="0"/>
                      <w:sz w:val="21"/>
                      <w:szCs w:val="21"/>
                    </w:rPr>
                    <w:t>-N</w:t>
                  </w:r>
                </w:p>
              </w:tc>
              <w:tc>
                <w:tcPr>
                  <w:tcW w:w="581" w:type="pct"/>
                  <w:tcBorders>
                    <w:tl2br w:val="nil"/>
                    <w:tr2bl w:val="nil"/>
                  </w:tcBorders>
                  <w:noWrap w:val="0"/>
                  <w:vAlign w:val="center"/>
                </w:tcPr>
                <w:p w14:paraId="203E33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val="en-US" w:eastAsia="zh-CN"/>
                    </w:rPr>
                    <w:t>/</w:t>
                  </w:r>
                </w:p>
              </w:tc>
              <w:tc>
                <w:tcPr>
                  <w:tcW w:w="944" w:type="pct"/>
                  <w:tcBorders>
                    <w:tl2br w:val="nil"/>
                    <w:tr2bl w:val="nil"/>
                  </w:tcBorders>
                  <w:noWrap w:val="0"/>
                  <w:vAlign w:val="center"/>
                </w:tcPr>
                <w:p w14:paraId="59519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000000"/>
                      <w:sz w:val="21"/>
                      <w:szCs w:val="21"/>
                      <w:lang w:val="en-US" w:eastAsia="zh-CN"/>
                    </w:rPr>
                    <w:t>45</w:t>
                  </w:r>
                </w:p>
              </w:tc>
              <w:tc>
                <w:tcPr>
                  <w:tcW w:w="458" w:type="pct"/>
                  <w:tcBorders>
                    <w:tl2br w:val="nil"/>
                    <w:tr2bl w:val="nil"/>
                  </w:tcBorders>
                  <w:noWrap w:val="0"/>
                  <w:vAlign w:val="center"/>
                </w:tcPr>
                <w:p w14:paraId="5CFB0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45</w:t>
                  </w:r>
                </w:p>
              </w:tc>
              <w:tc>
                <w:tcPr>
                  <w:tcW w:w="649" w:type="pct"/>
                  <w:tcBorders>
                    <w:tl2br w:val="nil"/>
                    <w:tr2bl w:val="nil"/>
                  </w:tcBorders>
                  <w:noWrap w:val="0"/>
                  <w:vAlign w:val="center"/>
                </w:tcPr>
                <w:p w14:paraId="70034FA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等线" w:cs="Times New Roman"/>
                      <w:kern w:val="0"/>
                      <w:szCs w:val="21"/>
                    </w:rPr>
                    <w:t>5(8)</w:t>
                  </w:r>
                </w:p>
              </w:tc>
              <w:tc>
                <w:tcPr>
                  <w:tcW w:w="913" w:type="pct"/>
                  <w:tcBorders>
                    <w:tl2br w:val="nil"/>
                    <w:tr2bl w:val="nil"/>
                  </w:tcBorders>
                  <w:noWrap w:val="0"/>
                  <w:vAlign w:val="center"/>
                </w:tcPr>
                <w:p w14:paraId="256089E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等线" w:cs="Times New Roman"/>
                      <w:kern w:val="0"/>
                      <w:szCs w:val="21"/>
                    </w:rPr>
                    <w:t>2(3)</w:t>
                  </w:r>
                </w:p>
              </w:tc>
              <w:tc>
                <w:tcPr>
                  <w:tcW w:w="841" w:type="pct"/>
                  <w:tcBorders>
                    <w:tl2br w:val="nil"/>
                    <w:tr2bl w:val="nil"/>
                  </w:tcBorders>
                  <w:noWrap w:val="0"/>
                  <w:vAlign w:val="center"/>
                </w:tcPr>
                <w:p w14:paraId="3D6CC73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kern w:val="2"/>
                      <w:sz w:val="21"/>
                      <w:szCs w:val="21"/>
                      <w:lang w:val="en-US" w:eastAsia="zh-CN" w:bidi="ar-SA"/>
                    </w:rPr>
                  </w:pPr>
                  <w:r>
                    <w:rPr>
                      <w:rFonts w:hint="default" w:ascii="Times New Roman" w:hAnsi="Times New Roman" w:eastAsia="等线" w:cs="Times New Roman"/>
                      <w:kern w:val="0"/>
                      <w:szCs w:val="21"/>
                    </w:rPr>
                    <w:t>2(3)</w:t>
                  </w:r>
                </w:p>
              </w:tc>
            </w:tr>
            <w:tr w14:paraId="6C62DD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12" w:type="pct"/>
                  <w:tcBorders>
                    <w:tl2br w:val="nil"/>
                    <w:tr2bl w:val="nil"/>
                  </w:tcBorders>
                  <w:noWrap w:val="0"/>
                  <w:vAlign w:val="center"/>
                </w:tcPr>
                <w:p w14:paraId="5FF7E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cs="Times New Roman"/>
                      <w:b w:val="0"/>
                      <w:bCs w:val="0"/>
                      <w:sz w:val="21"/>
                      <w:szCs w:val="21"/>
                      <w:lang w:val="en-US" w:eastAsia="zh-CN"/>
                    </w:rPr>
                  </w:pPr>
                  <w:r>
                    <w:rPr>
                      <w:rFonts w:hint="eastAsia" w:cs="Times New Roman"/>
                      <w:b w:val="0"/>
                      <w:bCs w:val="0"/>
                      <w:sz w:val="21"/>
                      <w:szCs w:val="21"/>
                      <w:lang w:val="en-US" w:eastAsia="zh-CN"/>
                    </w:rPr>
                    <w:t>总氮</w:t>
                  </w:r>
                </w:p>
              </w:tc>
              <w:tc>
                <w:tcPr>
                  <w:tcW w:w="581" w:type="pct"/>
                  <w:tcBorders>
                    <w:tl2br w:val="nil"/>
                    <w:tr2bl w:val="nil"/>
                  </w:tcBorders>
                  <w:noWrap w:val="0"/>
                  <w:vAlign w:val="center"/>
                </w:tcPr>
                <w:p w14:paraId="0501A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cs="Times New Roman"/>
                      <w:b w:val="0"/>
                      <w:bCs w:val="0"/>
                      <w:sz w:val="21"/>
                      <w:szCs w:val="21"/>
                      <w:lang w:val="en-US" w:eastAsia="zh-CN"/>
                    </w:rPr>
                  </w:pPr>
                  <w:r>
                    <w:rPr>
                      <w:rFonts w:hint="eastAsia" w:cs="Times New Roman"/>
                      <w:b w:val="0"/>
                      <w:bCs w:val="0"/>
                      <w:sz w:val="21"/>
                      <w:szCs w:val="21"/>
                      <w:lang w:val="en-US" w:eastAsia="zh-CN"/>
                    </w:rPr>
                    <w:t>/</w:t>
                  </w:r>
                </w:p>
              </w:tc>
              <w:tc>
                <w:tcPr>
                  <w:tcW w:w="944" w:type="pct"/>
                  <w:tcBorders>
                    <w:tl2br w:val="nil"/>
                    <w:tr2bl w:val="nil"/>
                  </w:tcBorders>
                  <w:noWrap w:val="0"/>
                  <w:vAlign w:val="center"/>
                </w:tcPr>
                <w:p w14:paraId="630E0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70</w:t>
                  </w:r>
                </w:p>
              </w:tc>
              <w:tc>
                <w:tcPr>
                  <w:tcW w:w="458" w:type="pct"/>
                  <w:tcBorders>
                    <w:tl2br w:val="nil"/>
                    <w:tr2bl w:val="nil"/>
                  </w:tcBorders>
                  <w:noWrap w:val="0"/>
                  <w:vAlign w:val="center"/>
                </w:tcPr>
                <w:p w14:paraId="0CA106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cs="Times New Roman"/>
                      <w:b w:val="0"/>
                      <w:bCs w:val="0"/>
                      <w:sz w:val="21"/>
                      <w:szCs w:val="21"/>
                      <w:lang w:val="en-US" w:eastAsia="zh-CN"/>
                    </w:rPr>
                  </w:pPr>
                  <w:r>
                    <w:rPr>
                      <w:rFonts w:hint="eastAsia" w:cs="Times New Roman"/>
                      <w:b w:val="0"/>
                      <w:bCs w:val="0"/>
                      <w:sz w:val="21"/>
                      <w:szCs w:val="21"/>
                      <w:lang w:val="en-US" w:eastAsia="zh-CN"/>
                    </w:rPr>
                    <w:t>70</w:t>
                  </w:r>
                </w:p>
              </w:tc>
              <w:tc>
                <w:tcPr>
                  <w:tcW w:w="649" w:type="pct"/>
                  <w:tcBorders>
                    <w:tl2br w:val="nil"/>
                    <w:tr2bl w:val="nil"/>
                  </w:tcBorders>
                  <w:noWrap w:val="0"/>
                  <w:vAlign w:val="center"/>
                </w:tcPr>
                <w:p w14:paraId="34759CD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eastAsia="等线" w:cs="Times New Roman"/>
                      <w:kern w:val="0"/>
                      <w:szCs w:val="21"/>
                      <w:lang w:val="en-US" w:eastAsia="zh-CN"/>
                    </w:rPr>
                  </w:pPr>
                  <w:r>
                    <w:rPr>
                      <w:rFonts w:hint="eastAsia" w:eastAsia="等线" w:cs="Times New Roman"/>
                      <w:kern w:val="0"/>
                      <w:szCs w:val="21"/>
                      <w:lang w:val="en-US" w:eastAsia="zh-CN"/>
                    </w:rPr>
                    <w:t>15</w:t>
                  </w:r>
                </w:p>
              </w:tc>
              <w:tc>
                <w:tcPr>
                  <w:tcW w:w="913" w:type="pct"/>
                  <w:tcBorders>
                    <w:tl2br w:val="nil"/>
                    <w:tr2bl w:val="nil"/>
                  </w:tcBorders>
                  <w:noWrap w:val="0"/>
                  <w:vAlign w:val="center"/>
                </w:tcPr>
                <w:p w14:paraId="3CD1600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eastAsia="等线" w:cs="Times New Roman"/>
                      <w:kern w:val="0"/>
                      <w:szCs w:val="21"/>
                      <w:lang w:val="en-US" w:eastAsia="zh-CN"/>
                    </w:rPr>
                  </w:pPr>
                  <w:r>
                    <w:rPr>
                      <w:rFonts w:hint="eastAsia" w:eastAsia="等线" w:cs="Times New Roman"/>
                      <w:kern w:val="0"/>
                      <w:szCs w:val="21"/>
                      <w:lang w:val="en-US" w:eastAsia="zh-CN"/>
                    </w:rPr>
                    <w:t>10(12)</w:t>
                  </w:r>
                </w:p>
              </w:tc>
              <w:tc>
                <w:tcPr>
                  <w:tcW w:w="841" w:type="pct"/>
                  <w:tcBorders>
                    <w:tl2br w:val="nil"/>
                    <w:tr2bl w:val="nil"/>
                  </w:tcBorders>
                  <w:noWrap w:val="0"/>
                  <w:vAlign w:val="center"/>
                </w:tcPr>
                <w:p w14:paraId="185DACC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eastAsia="等线" w:cs="Times New Roman"/>
                      <w:kern w:val="0"/>
                      <w:szCs w:val="21"/>
                      <w:lang w:val="en-US" w:eastAsia="zh-CN"/>
                    </w:rPr>
                  </w:pPr>
                  <w:r>
                    <w:rPr>
                      <w:rFonts w:hint="eastAsia" w:eastAsia="等线" w:cs="Times New Roman"/>
                      <w:kern w:val="0"/>
                      <w:szCs w:val="21"/>
                      <w:lang w:val="en-US" w:eastAsia="zh-CN"/>
                    </w:rPr>
                    <w:t>10(12)</w:t>
                  </w:r>
                </w:p>
              </w:tc>
            </w:tr>
            <w:tr w14:paraId="7E205C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12" w:type="pct"/>
                  <w:tcBorders>
                    <w:tl2br w:val="nil"/>
                    <w:tr2bl w:val="nil"/>
                  </w:tcBorders>
                  <w:noWrap w:val="0"/>
                  <w:vAlign w:val="center"/>
                </w:tcPr>
                <w:p w14:paraId="1FEC3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总磷</w:t>
                  </w:r>
                </w:p>
              </w:tc>
              <w:tc>
                <w:tcPr>
                  <w:tcW w:w="581" w:type="pct"/>
                  <w:tcBorders>
                    <w:tl2br w:val="nil"/>
                    <w:tr2bl w:val="nil"/>
                  </w:tcBorders>
                  <w:noWrap w:val="0"/>
                  <w:vAlign w:val="center"/>
                </w:tcPr>
                <w:p w14:paraId="708024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w:t>
                  </w:r>
                </w:p>
              </w:tc>
              <w:tc>
                <w:tcPr>
                  <w:tcW w:w="944" w:type="pct"/>
                  <w:tcBorders>
                    <w:tl2br w:val="nil"/>
                    <w:tr2bl w:val="nil"/>
                  </w:tcBorders>
                  <w:noWrap w:val="0"/>
                  <w:vAlign w:val="center"/>
                </w:tcPr>
                <w:p w14:paraId="3D716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8</w:t>
                  </w:r>
                </w:p>
              </w:tc>
              <w:tc>
                <w:tcPr>
                  <w:tcW w:w="458" w:type="pct"/>
                  <w:tcBorders>
                    <w:tl2br w:val="nil"/>
                    <w:tr2bl w:val="nil"/>
                  </w:tcBorders>
                  <w:noWrap w:val="0"/>
                  <w:vAlign w:val="center"/>
                </w:tcPr>
                <w:p w14:paraId="1AA89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8</w:t>
                  </w:r>
                </w:p>
              </w:tc>
              <w:tc>
                <w:tcPr>
                  <w:tcW w:w="649" w:type="pct"/>
                  <w:tcBorders>
                    <w:tl2br w:val="nil"/>
                    <w:tr2bl w:val="nil"/>
                  </w:tcBorders>
                  <w:noWrap w:val="0"/>
                  <w:vAlign w:val="center"/>
                </w:tcPr>
                <w:p w14:paraId="7E3B74F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0.5</w:t>
                  </w:r>
                </w:p>
              </w:tc>
              <w:tc>
                <w:tcPr>
                  <w:tcW w:w="913" w:type="pct"/>
                  <w:tcBorders>
                    <w:tl2br w:val="nil"/>
                    <w:tr2bl w:val="nil"/>
                  </w:tcBorders>
                  <w:noWrap w:val="0"/>
                  <w:vAlign w:val="center"/>
                </w:tcPr>
                <w:p w14:paraId="1547F64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0.3</w:t>
                  </w:r>
                </w:p>
              </w:tc>
              <w:tc>
                <w:tcPr>
                  <w:tcW w:w="841" w:type="pct"/>
                  <w:tcBorders>
                    <w:tl2br w:val="nil"/>
                    <w:tr2bl w:val="nil"/>
                  </w:tcBorders>
                  <w:noWrap w:val="0"/>
                  <w:vAlign w:val="center"/>
                </w:tcPr>
                <w:p w14:paraId="7A55FC9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等线" w:cs="Times New Roman"/>
                      <w:kern w:val="0"/>
                      <w:szCs w:val="21"/>
                      <w:lang w:val="en-US" w:eastAsia="zh-CN"/>
                    </w:rPr>
                  </w:pPr>
                  <w:r>
                    <w:rPr>
                      <w:rFonts w:hint="eastAsia" w:eastAsia="等线" w:cs="Times New Roman"/>
                      <w:kern w:val="0"/>
                      <w:szCs w:val="21"/>
                      <w:lang w:val="en-US" w:eastAsia="zh-CN"/>
                    </w:rPr>
                    <w:t>0.3</w:t>
                  </w:r>
                </w:p>
              </w:tc>
            </w:tr>
            <w:tr w14:paraId="5BAD06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12" w:type="pct"/>
                  <w:tcBorders>
                    <w:tl2br w:val="nil"/>
                    <w:tr2bl w:val="nil"/>
                  </w:tcBorders>
                  <w:noWrap w:val="0"/>
                  <w:vAlign w:val="center"/>
                </w:tcPr>
                <w:p w14:paraId="7AA29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动植物油</w:t>
                  </w:r>
                </w:p>
              </w:tc>
              <w:tc>
                <w:tcPr>
                  <w:tcW w:w="581" w:type="pct"/>
                  <w:tcBorders>
                    <w:tl2br w:val="nil"/>
                    <w:tr2bl w:val="nil"/>
                  </w:tcBorders>
                  <w:noWrap w:val="0"/>
                  <w:vAlign w:val="center"/>
                </w:tcPr>
                <w:p w14:paraId="52733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100</w:t>
                  </w:r>
                </w:p>
              </w:tc>
              <w:tc>
                <w:tcPr>
                  <w:tcW w:w="944" w:type="pct"/>
                  <w:tcBorders>
                    <w:tl2br w:val="nil"/>
                    <w:tr2bl w:val="nil"/>
                  </w:tcBorders>
                  <w:noWrap w:val="0"/>
                  <w:vAlign w:val="center"/>
                </w:tcPr>
                <w:p w14:paraId="08FAF0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100</w:t>
                  </w:r>
                </w:p>
              </w:tc>
              <w:tc>
                <w:tcPr>
                  <w:tcW w:w="458" w:type="pct"/>
                  <w:tcBorders>
                    <w:tl2br w:val="nil"/>
                    <w:tr2bl w:val="nil"/>
                  </w:tcBorders>
                  <w:noWrap w:val="0"/>
                  <w:vAlign w:val="center"/>
                </w:tcPr>
                <w:p w14:paraId="43C2FE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100</w:t>
                  </w:r>
                </w:p>
              </w:tc>
              <w:tc>
                <w:tcPr>
                  <w:tcW w:w="649" w:type="pct"/>
                  <w:tcBorders>
                    <w:tl2br w:val="nil"/>
                    <w:tr2bl w:val="nil"/>
                  </w:tcBorders>
                  <w:noWrap w:val="0"/>
                  <w:vAlign w:val="center"/>
                </w:tcPr>
                <w:p w14:paraId="5F188D9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等线" w:cs="Times New Roman"/>
                      <w:kern w:val="0"/>
                      <w:szCs w:val="21"/>
                      <w:lang w:val="en-US" w:eastAsia="zh-CN"/>
                    </w:rPr>
                  </w:pPr>
                  <w:r>
                    <w:rPr>
                      <w:rFonts w:hint="eastAsia" w:eastAsia="等线" w:cs="Times New Roman"/>
                      <w:kern w:val="0"/>
                      <w:szCs w:val="21"/>
                      <w:lang w:val="en-US" w:eastAsia="zh-CN"/>
                    </w:rPr>
                    <w:t>1</w:t>
                  </w:r>
                </w:p>
              </w:tc>
              <w:tc>
                <w:tcPr>
                  <w:tcW w:w="913" w:type="pct"/>
                  <w:tcBorders>
                    <w:tl2br w:val="nil"/>
                    <w:tr2bl w:val="nil"/>
                  </w:tcBorders>
                  <w:noWrap w:val="0"/>
                  <w:vAlign w:val="center"/>
                </w:tcPr>
                <w:p w14:paraId="439CDF2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等线" w:cs="Times New Roman"/>
                      <w:kern w:val="0"/>
                      <w:szCs w:val="21"/>
                      <w:lang w:val="en-US" w:eastAsia="zh-CN"/>
                    </w:rPr>
                  </w:pPr>
                  <w:r>
                    <w:rPr>
                      <w:rFonts w:hint="eastAsia" w:eastAsia="等线" w:cs="Times New Roman"/>
                      <w:kern w:val="0"/>
                      <w:szCs w:val="21"/>
                      <w:lang w:val="en-US" w:eastAsia="zh-CN"/>
                    </w:rPr>
                    <w:t>/</w:t>
                  </w:r>
                </w:p>
              </w:tc>
              <w:tc>
                <w:tcPr>
                  <w:tcW w:w="841" w:type="pct"/>
                  <w:tcBorders>
                    <w:tl2br w:val="nil"/>
                    <w:tr2bl w:val="nil"/>
                  </w:tcBorders>
                  <w:noWrap w:val="0"/>
                  <w:vAlign w:val="center"/>
                </w:tcPr>
                <w:p w14:paraId="5B4A616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等线" w:cs="Times New Roman"/>
                      <w:kern w:val="0"/>
                      <w:szCs w:val="21"/>
                      <w:lang w:val="en-US" w:eastAsia="zh-CN"/>
                    </w:rPr>
                  </w:pPr>
                  <w:r>
                    <w:rPr>
                      <w:rFonts w:hint="eastAsia" w:eastAsia="等线" w:cs="Times New Roman"/>
                      <w:kern w:val="0"/>
                      <w:szCs w:val="21"/>
                      <w:lang w:val="en-US" w:eastAsia="zh-CN"/>
                    </w:rPr>
                    <w:t>1</w:t>
                  </w:r>
                </w:p>
              </w:tc>
            </w:tr>
          </w:tbl>
          <w:p w14:paraId="58BF3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4"/>
                <w:szCs w:val="24"/>
              </w:rPr>
            </w:pPr>
          </w:p>
          <w:p w14:paraId="3620F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rPr>
              <w:t>3</w:t>
            </w:r>
            <w:r>
              <w:rPr>
                <w:rFonts w:hint="eastAsia" w:ascii="Times New Roman" w:hAnsi="Times New Roman" w:cs="宋体"/>
                <w:b/>
                <w:bCs/>
                <w:color w:val="auto"/>
                <w:sz w:val="24"/>
                <w:szCs w:val="24"/>
              </w:rPr>
              <w:t>、噪声</w:t>
            </w:r>
          </w:p>
          <w:p w14:paraId="46A18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0"/>
              <w:jc w:val="left"/>
              <w:textAlignment w:val="auto"/>
              <w:rPr>
                <w:rFonts w:hint="eastAsia" w:ascii="Times New Roman" w:hAnsi="Times New Roman" w:cs="宋体"/>
                <w:b/>
                <w:bCs/>
                <w:color w:val="auto"/>
                <w:sz w:val="24"/>
                <w:szCs w:val="24"/>
              </w:rPr>
            </w:pPr>
            <w:r>
              <w:rPr>
                <w:rFonts w:hint="eastAsia" w:ascii="Times New Roman" w:hAnsi="Times New Roman" w:cs="宋体"/>
                <w:snapToGrid w:val="0"/>
                <w:color w:val="auto"/>
                <w:sz w:val="24"/>
                <w:szCs w:val="24"/>
                <w:lang w:val="en-AU" w:eastAsia="zh-CN"/>
              </w:rPr>
              <w:t>本项目</w:t>
            </w:r>
            <w:r>
              <w:rPr>
                <w:rFonts w:hint="eastAsia" w:ascii="Times New Roman" w:hAnsi="Times New Roman" w:cs="宋体"/>
                <w:snapToGrid w:val="0"/>
                <w:color w:val="auto"/>
                <w:sz w:val="24"/>
                <w:szCs w:val="24"/>
                <w:lang w:val="en-AU"/>
              </w:rPr>
              <w:t>运营期</w:t>
            </w:r>
            <w:r>
              <w:rPr>
                <w:rFonts w:hint="eastAsia" w:ascii="Times New Roman" w:hAnsi="Times New Roman" w:cs="宋体"/>
                <w:snapToGrid w:val="0"/>
                <w:color w:val="auto"/>
                <w:sz w:val="24"/>
                <w:szCs w:val="24"/>
                <w:lang w:val="en-AU" w:eastAsia="zh-CN"/>
              </w:rPr>
              <w:t>昼</w:t>
            </w:r>
            <w:r>
              <w:rPr>
                <w:rFonts w:hint="eastAsia" w:ascii="Times New Roman" w:hAnsi="Times New Roman" w:cs="宋体"/>
                <w:snapToGrid w:val="0"/>
                <w:color w:val="auto"/>
                <w:sz w:val="24"/>
                <w:szCs w:val="24"/>
                <w:lang w:val="en-US" w:eastAsia="zh-CN"/>
              </w:rPr>
              <w:t>夜</w:t>
            </w:r>
            <w:r>
              <w:rPr>
                <w:rFonts w:hint="eastAsia" w:ascii="Times New Roman" w:hAnsi="Times New Roman" w:cs="宋体"/>
                <w:snapToGrid w:val="0"/>
                <w:color w:val="auto"/>
                <w:sz w:val="24"/>
                <w:szCs w:val="24"/>
                <w:lang w:val="en-AU"/>
              </w:rPr>
              <w:t>厂界噪声执行《工业企业厂界环境噪声排放标准》（</w:t>
            </w:r>
            <w:r>
              <w:rPr>
                <w:rFonts w:hint="default" w:ascii="Times New Roman" w:hAnsi="Times New Roman" w:cs="Times New Roman"/>
                <w:snapToGrid w:val="0"/>
                <w:color w:val="auto"/>
                <w:sz w:val="24"/>
                <w:szCs w:val="24"/>
                <w:lang w:val="en-AU"/>
              </w:rPr>
              <w:t>GB12348-2008</w:t>
            </w:r>
            <w:r>
              <w:rPr>
                <w:rFonts w:hint="eastAsia" w:ascii="Times New Roman" w:hAnsi="Times New Roman" w:cs="宋体"/>
                <w:snapToGrid w:val="0"/>
                <w:color w:val="auto"/>
                <w:sz w:val="24"/>
                <w:szCs w:val="24"/>
                <w:lang w:val="en-AU"/>
              </w:rPr>
              <w:t>）中</w:t>
            </w:r>
            <w:r>
              <w:rPr>
                <w:rFonts w:hint="eastAsia" w:ascii="Times New Roman" w:hAnsi="Times New Roman" w:cs="Times New Roman"/>
                <w:snapToGrid w:val="0"/>
                <w:color w:val="auto"/>
                <w:sz w:val="24"/>
                <w:szCs w:val="24"/>
                <w:lang w:val="en-US" w:eastAsia="zh-CN"/>
              </w:rPr>
              <w:t>3</w:t>
            </w:r>
            <w:r>
              <w:rPr>
                <w:rFonts w:hint="eastAsia" w:ascii="Times New Roman" w:hAnsi="Times New Roman" w:cs="宋体"/>
                <w:snapToGrid w:val="0"/>
                <w:color w:val="auto"/>
                <w:sz w:val="24"/>
                <w:szCs w:val="24"/>
                <w:lang w:val="en-AU"/>
              </w:rPr>
              <w:t>类标准，具体标准限值</w:t>
            </w:r>
            <w:r>
              <w:rPr>
                <w:rFonts w:hint="eastAsia" w:ascii="Times New Roman" w:hAnsi="Times New Roman" w:cs="宋体"/>
                <w:snapToGrid w:val="0"/>
                <w:color w:val="auto"/>
                <w:sz w:val="24"/>
                <w:szCs w:val="24"/>
              </w:rPr>
              <w:t>见下表</w:t>
            </w:r>
            <w:r>
              <w:rPr>
                <w:rFonts w:hint="eastAsia" w:ascii="Times New Roman" w:hAnsi="Times New Roman" w:cs="宋体"/>
                <w:snapToGrid w:val="0"/>
                <w:color w:val="auto"/>
                <w:sz w:val="24"/>
                <w:szCs w:val="24"/>
                <w:lang w:val="en-AU"/>
              </w:rPr>
              <w:t>。</w:t>
            </w:r>
          </w:p>
          <w:p w14:paraId="4E983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eastAsia" w:ascii="Times New Roman" w:hAnsi="Times New Roman" w:cs="宋体"/>
                <w:b/>
                <w:bCs/>
                <w:color w:val="auto"/>
                <w:sz w:val="24"/>
                <w:szCs w:val="24"/>
              </w:rPr>
              <w:t>表</w:t>
            </w:r>
            <w:r>
              <w:rPr>
                <w:rFonts w:hint="default" w:ascii="Times New Roman" w:hAnsi="Times New Roman" w:cs="Times New Roman"/>
                <w:b/>
                <w:bCs/>
                <w:color w:val="auto"/>
                <w:sz w:val="24"/>
                <w:szCs w:val="24"/>
              </w:rPr>
              <w:t>3-</w:t>
            </w:r>
            <w:r>
              <w:rPr>
                <w:rFonts w:hint="default" w:ascii="Times New Roman" w:hAnsi="Times New Roman" w:cs="Times New Roman"/>
                <w:b/>
                <w:bCs/>
                <w:color w:val="auto"/>
                <w:sz w:val="24"/>
                <w:szCs w:val="24"/>
                <w:lang w:val="en-US" w:eastAsia="zh-CN"/>
              </w:rPr>
              <w:t>9</w:t>
            </w:r>
            <w:r>
              <w:rPr>
                <w:rFonts w:hint="eastAsia" w:ascii="Times New Roman" w:hAnsi="Times New Roman" w:cs="Times New Roman"/>
                <w:b/>
                <w:bCs/>
                <w:color w:val="auto"/>
                <w:sz w:val="24"/>
                <w:szCs w:val="24"/>
                <w:lang w:val="en-US" w:eastAsia="zh-CN"/>
              </w:rPr>
              <w:t xml:space="preserve">  </w:t>
            </w:r>
            <w:r>
              <w:rPr>
                <w:rFonts w:hint="eastAsia" w:ascii="Times New Roman" w:hAnsi="Times New Roman" w:cs="宋体"/>
                <w:b/>
                <w:bCs/>
                <w:color w:val="auto"/>
                <w:sz w:val="24"/>
                <w:szCs w:val="24"/>
              </w:rPr>
              <w:t>环境噪声排放标准</w:t>
            </w:r>
            <w:r>
              <w:rPr>
                <w:rFonts w:hint="default" w:ascii="Times New Roman" w:hAnsi="Times New Roman" w:cs="Times New Roman"/>
                <w:b/>
                <w:bCs/>
                <w:color w:val="auto"/>
                <w:sz w:val="24"/>
                <w:szCs w:val="24"/>
              </w:rPr>
              <w:t xml:space="preserve">  </w:t>
            </w:r>
            <w:r>
              <w:rPr>
                <w:rFonts w:hint="eastAsia" w:ascii="Times New Roman" w:hAnsi="Times New Roman" w:cs="宋体"/>
                <w:b/>
                <w:bCs/>
                <w:color w:val="auto"/>
                <w:sz w:val="24"/>
                <w:szCs w:val="24"/>
              </w:rPr>
              <w:t>单位：</w:t>
            </w:r>
            <w:r>
              <w:rPr>
                <w:rFonts w:hint="default" w:ascii="Times New Roman" w:hAnsi="Times New Roman" w:cs="Times New Roman"/>
                <w:b/>
                <w:bCs/>
                <w:color w:val="auto"/>
                <w:sz w:val="24"/>
                <w:szCs w:val="24"/>
              </w:rPr>
              <w:t>dB</w:t>
            </w:r>
            <w:r>
              <w:rPr>
                <w:rFonts w:hint="eastAsia" w:ascii="Times New Roman" w:hAnsi="Times New Roman" w:cs="宋体"/>
                <w:b/>
                <w:bCs/>
                <w:color w:val="auto"/>
                <w:sz w:val="24"/>
                <w:szCs w:val="24"/>
              </w:rPr>
              <w:t>（</w:t>
            </w:r>
            <w:r>
              <w:rPr>
                <w:rFonts w:hint="default" w:ascii="Times New Roman" w:hAnsi="Times New Roman" w:cs="Times New Roman"/>
                <w:b/>
                <w:bCs/>
                <w:color w:val="auto"/>
                <w:sz w:val="24"/>
                <w:szCs w:val="24"/>
              </w:rPr>
              <w:t>A</w:t>
            </w:r>
            <w:r>
              <w:rPr>
                <w:rFonts w:hint="eastAsia" w:ascii="Times New Roman" w:hAnsi="Times New Roman" w:cs="宋体"/>
                <w:b/>
                <w:bCs/>
                <w:color w:val="auto"/>
                <w:sz w:val="24"/>
                <w:szCs w:val="24"/>
              </w:rPr>
              <w:t>）</w:t>
            </w:r>
          </w:p>
          <w:tbl>
            <w:tblPr>
              <w:tblStyle w:val="28"/>
              <w:tblW w:w="4998"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468"/>
              <w:gridCol w:w="1394"/>
              <w:gridCol w:w="1067"/>
              <w:gridCol w:w="4042"/>
            </w:tblGrid>
            <w:tr w14:paraId="7A43171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20" w:type="pct"/>
                  <w:tcBorders>
                    <w:tl2br w:val="nil"/>
                    <w:tr2bl w:val="nil"/>
                  </w:tcBorders>
                  <w:noWrap w:val="0"/>
                  <w:vAlign w:val="center"/>
                </w:tcPr>
                <w:p w14:paraId="10FCFD7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bCs/>
                      <w:sz w:val="21"/>
                      <w:szCs w:val="21"/>
                    </w:rPr>
                  </w:pPr>
                  <w:r>
                    <w:rPr>
                      <w:rFonts w:hint="eastAsia" w:ascii="Times New Roman" w:hAnsi="Times New Roman" w:cs="Times New Roman"/>
                      <w:b/>
                      <w:bCs/>
                      <w:sz w:val="21"/>
                      <w:szCs w:val="21"/>
                    </w:rPr>
                    <w:t>时段</w:t>
                  </w:r>
                </w:p>
              </w:tc>
              <w:tc>
                <w:tcPr>
                  <w:tcW w:w="874" w:type="pct"/>
                  <w:tcBorders>
                    <w:tl2br w:val="nil"/>
                    <w:tr2bl w:val="nil"/>
                  </w:tcBorders>
                  <w:noWrap w:val="0"/>
                  <w:vAlign w:val="center"/>
                </w:tcPr>
                <w:p w14:paraId="0F64760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bCs/>
                      <w:sz w:val="21"/>
                      <w:szCs w:val="21"/>
                    </w:rPr>
                  </w:pPr>
                  <w:r>
                    <w:rPr>
                      <w:rFonts w:hint="eastAsia" w:ascii="Times New Roman" w:hAnsi="Times New Roman" w:cs="Times New Roman"/>
                      <w:b/>
                      <w:bCs/>
                      <w:sz w:val="21"/>
                      <w:szCs w:val="21"/>
                    </w:rPr>
                    <w:t>昼间</w:t>
                  </w:r>
                </w:p>
              </w:tc>
              <w:tc>
                <w:tcPr>
                  <w:tcW w:w="669" w:type="pct"/>
                  <w:tcBorders>
                    <w:tl2br w:val="nil"/>
                    <w:tr2bl w:val="nil"/>
                  </w:tcBorders>
                  <w:noWrap w:val="0"/>
                  <w:vAlign w:val="center"/>
                </w:tcPr>
                <w:p w14:paraId="5588957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夜间</w:t>
                  </w:r>
                </w:p>
              </w:tc>
              <w:tc>
                <w:tcPr>
                  <w:tcW w:w="2534" w:type="pct"/>
                  <w:tcBorders>
                    <w:tl2br w:val="nil"/>
                    <w:tr2bl w:val="nil"/>
                  </w:tcBorders>
                  <w:noWrap w:val="0"/>
                  <w:vAlign w:val="center"/>
                </w:tcPr>
                <w:p w14:paraId="03D89A3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bCs/>
                      <w:sz w:val="21"/>
                      <w:szCs w:val="21"/>
                    </w:rPr>
                  </w:pPr>
                  <w:r>
                    <w:rPr>
                      <w:rFonts w:hint="eastAsia" w:ascii="Times New Roman" w:hAnsi="Times New Roman" w:cs="Times New Roman"/>
                      <w:b/>
                      <w:bCs/>
                      <w:sz w:val="21"/>
                      <w:szCs w:val="21"/>
                    </w:rPr>
                    <w:t>标准</w:t>
                  </w:r>
                </w:p>
              </w:tc>
            </w:tr>
            <w:tr w14:paraId="102F956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20" w:type="pct"/>
                  <w:tcBorders>
                    <w:tl2br w:val="nil"/>
                    <w:tr2bl w:val="nil"/>
                  </w:tcBorders>
                  <w:noWrap w:val="0"/>
                  <w:vAlign w:val="center"/>
                </w:tcPr>
                <w:p w14:paraId="098DAAF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rPr>
                    <w:t>运行期</w:t>
                  </w:r>
                </w:p>
              </w:tc>
              <w:tc>
                <w:tcPr>
                  <w:tcW w:w="874" w:type="pct"/>
                  <w:tcBorders>
                    <w:tl2br w:val="nil"/>
                    <w:tr2bl w:val="nil"/>
                  </w:tcBorders>
                  <w:noWrap w:val="0"/>
                  <w:vAlign w:val="center"/>
                </w:tcPr>
                <w:p w14:paraId="62D3DED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val="0"/>
                      <w:bCs w:val="0"/>
                      <w:sz w:val="21"/>
                      <w:szCs w:val="21"/>
                      <w:lang w:val="en-US"/>
                    </w:rPr>
                  </w:pPr>
                  <w:r>
                    <w:rPr>
                      <w:rFonts w:hint="eastAsia" w:ascii="Times New Roman" w:hAnsi="Times New Roman" w:cs="Times New Roman"/>
                      <w:b w:val="0"/>
                      <w:bCs w:val="0"/>
                      <w:sz w:val="21"/>
                      <w:szCs w:val="21"/>
                      <w:lang w:val="en-US" w:eastAsia="zh-CN"/>
                    </w:rPr>
                    <w:t>65</w:t>
                  </w:r>
                </w:p>
              </w:tc>
              <w:tc>
                <w:tcPr>
                  <w:tcW w:w="669" w:type="pct"/>
                  <w:tcBorders>
                    <w:tl2br w:val="nil"/>
                    <w:tr2bl w:val="nil"/>
                  </w:tcBorders>
                  <w:noWrap w:val="0"/>
                  <w:vAlign w:val="center"/>
                </w:tcPr>
                <w:p w14:paraId="527B8F6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55</w:t>
                  </w:r>
                </w:p>
              </w:tc>
              <w:tc>
                <w:tcPr>
                  <w:tcW w:w="2534" w:type="pct"/>
                  <w:tcBorders>
                    <w:tl2br w:val="nil"/>
                    <w:tr2bl w:val="nil"/>
                  </w:tcBorders>
                  <w:noWrap w:val="0"/>
                  <w:vAlign w:val="center"/>
                </w:tcPr>
                <w:p w14:paraId="5CEFDCC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rPr>
                    <w:t>《工业企业厂界环境噪声排放标准》（</w:t>
                  </w:r>
                  <w:r>
                    <w:rPr>
                      <w:rFonts w:hint="default" w:ascii="Times New Roman" w:hAnsi="Times New Roman" w:cs="Times New Roman"/>
                      <w:b w:val="0"/>
                      <w:bCs w:val="0"/>
                      <w:sz w:val="21"/>
                      <w:szCs w:val="21"/>
                    </w:rPr>
                    <w:t>GB12348-2008</w:t>
                  </w:r>
                  <w:r>
                    <w:rPr>
                      <w:rFonts w:hint="eastAsia" w:ascii="Times New Roman" w:hAnsi="Times New Roman" w:cs="Times New Roman"/>
                      <w:b w:val="0"/>
                      <w:bCs w:val="0"/>
                      <w:sz w:val="21"/>
                      <w:szCs w:val="21"/>
                    </w:rPr>
                    <w:t>）</w:t>
                  </w:r>
                </w:p>
              </w:tc>
            </w:tr>
          </w:tbl>
          <w:p w14:paraId="4D98A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default" w:ascii="Times New Roman" w:hAnsi="Times New Roman" w:cs="Times New Roman"/>
                <w:b/>
                <w:bCs/>
                <w:snapToGrid w:val="0"/>
                <w:color w:val="auto"/>
                <w:sz w:val="24"/>
                <w:szCs w:val="24"/>
              </w:rPr>
            </w:pPr>
            <w:r>
              <w:rPr>
                <w:rFonts w:hint="default" w:ascii="Times New Roman" w:hAnsi="Times New Roman" w:cs="Times New Roman"/>
                <w:b/>
                <w:bCs/>
                <w:snapToGrid w:val="0"/>
                <w:color w:val="auto"/>
                <w:sz w:val="24"/>
                <w:szCs w:val="24"/>
              </w:rPr>
              <w:t>4</w:t>
            </w:r>
            <w:r>
              <w:rPr>
                <w:rFonts w:hint="eastAsia" w:ascii="Times New Roman" w:hAnsi="Times New Roman" w:cs="宋体"/>
                <w:b/>
                <w:bCs/>
                <w:snapToGrid w:val="0"/>
                <w:color w:val="auto"/>
                <w:sz w:val="24"/>
                <w:szCs w:val="24"/>
              </w:rPr>
              <w:t>、固体废物</w:t>
            </w:r>
          </w:p>
          <w:p w14:paraId="296A9E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cs="宋体"/>
                <w:kern w:val="0"/>
                <w:sz w:val="24"/>
              </w:rPr>
            </w:pPr>
            <w:r>
              <w:rPr>
                <w:rFonts w:hint="eastAsia" w:ascii="Times New Roman" w:hAnsi="Times New Roman" w:cs="Times New Roman"/>
                <w:color w:val="auto"/>
                <w:sz w:val="24"/>
                <w:szCs w:val="24"/>
                <w:lang w:val="en-US" w:eastAsia="zh-CN"/>
              </w:rPr>
              <w:t>项目固体废物按照《中华人民共和国固体废物污染环境防治法》（2020.9.1施行）要求管控。一般工业固体废物处理参照执行《一般工业固体废物贮存和填埋污染控制标准》（GB18599-2020）；危险废物的贮存、处置执行《危险废物贮存污染控制标准》（GB 18597-2023）的规定。</w:t>
            </w:r>
          </w:p>
        </w:tc>
      </w:tr>
      <w:tr w14:paraId="7ECF7C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56153472">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总量</w:t>
            </w:r>
          </w:p>
          <w:p w14:paraId="1078F54B">
            <w:pPr>
              <w:keepNext w:val="0"/>
              <w:keepLines w:val="0"/>
              <w:suppressLineNumbers w:val="0"/>
              <w:adjustRightInd w:val="0"/>
              <w:snapToGrid w:val="0"/>
              <w:spacing w:before="0" w:beforeAutospacing="0" w:after="0" w:afterAutospacing="0"/>
              <w:ind w:left="0" w:right="0"/>
              <w:jc w:val="center"/>
              <w:rPr>
                <w:rFonts w:hint="eastAsia" w:ascii="宋体" w:hAnsi="宋体" w:cs="宋体"/>
                <w:kern w:val="0"/>
                <w:sz w:val="24"/>
              </w:rPr>
            </w:pPr>
            <w:r>
              <w:rPr>
                <w:rFonts w:hint="eastAsia" w:ascii="宋体" w:hAnsi="宋体" w:cs="宋体"/>
                <w:kern w:val="0"/>
                <w:sz w:val="24"/>
              </w:rPr>
              <w:t>控制</w:t>
            </w:r>
          </w:p>
          <w:p w14:paraId="748867C1">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 w:val="24"/>
              </w:rPr>
            </w:pPr>
            <w:r>
              <w:rPr>
                <w:rFonts w:hint="eastAsia" w:ascii="宋体" w:hAnsi="宋体" w:cs="宋体"/>
                <w:kern w:val="0"/>
                <w:sz w:val="24"/>
              </w:rPr>
              <w:t>指标</w:t>
            </w:r>
          </w:p>
        </w:tc>
        <w:tc>
          <w:tcPr>
            <w:tcW w:w="8190" w:type="dxa"/>
            <w:noWrap w:val="0"/>
            <w:vAlign w:val="center"/>
          </w:tcPr>
          <w:p w14:paraId="584A96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安徽省环保厅关于进一步加强建设项目新增大气主要污染物总量指标管理工作的通知》皖环发〔2017〕19号文件：三、大气主要污染物总量指标实行区域内等量或倍量削减替代。上年度空气质量不达标的城市，相应污染物指标应执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倍量替代</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。其中，上年度PM</w:t>
            </w:r>
            <w:r>
              <w:rPr>
                <w:rFonts w:hint="default" w:ascii="Times New Roman" w:hAnsi="Times New Roman" w:eastAsia="宋体" w:cs="Times New Roman"/>
                <w:sz w:val="24"/>
                <w:szCs w:val="24"/>
                <w:vertAlign w:val="subscript"/>
                <w:lang w:val="en-US" w:eastAsia="zh-CN"/>
              </w:rPr>
              <w:t>2.5</w:t>
            </w:r>
            <w:r>
              <w:rPr>
                <w:rFonts w:hint="default" w:ascii="Times New Roman" w:hAnsi="Times New Roman" w:eastAsia="宋体" w:cs="Times New Roman"/>
                <w:sz w:val="24"/>
                <w:szCs w:val="24"/>
                <w:lang w:val="en-US" w:eastAsia="zh-CN"/>
              </w:rPr>
              <w:t>不达标的城市，新增SO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、NOx和VOCs指标均要执行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倍量替代</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。上年度PM</w:t>
            </w:r>
            <w:r>
              <w:rPr>
                <w:rFonts w:hint="default" w:ascii="Times New Roman" w:hAnsi="Times New Roman" w:eastAsia="宋体" w:cs="Times New Roman"/>
                <w:sz w:val="24"/>
                <w:szCs w:val="24"/>
                <w:vertAlign w:val="subscript"/>
                <w:lang w:val="en-US" w:eastAsia="zh-CN"/>
              </w:rPr>
              <w:t>10</w:t>
            </w:r>
            <w:r>
              <w:rPr>
                <w:rFonts w:hint="default" w:ascii="Times New Roman" w:hAnsi="Times New Roman" w:eastAsia="宋体" w:cs="Times New Roman"/>
                <w:sz w:val="24"/>
                <w:szCs w:val="24"/>
                <w:lang w:val="en-US" w:eastAsia="zh-CN"/>
              </w:rPr>
              <w:t>不达标的城市，新增烟（粉）尘指标已执行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倍量替代</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。达到超低排放标准的新建火电项目无需执行</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倍量替代</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4AC8FB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厂区雨污分流制，本项目</w:t>
            </w:r>
            <w:r>
              <w:rPr>
                <w:rFonts w:hint="default" w:ascii="Times New Roman" w:hAnsi="Times New Roman" w:eastAsia="宋体" w:cs="Times New Roman"/>
                <w:color w:val="000000"/>
                <w:sz w:val="24"/>
                <w:szCs w:val="24"/>
                <w:lang w:val="en-US" w:eastAsia="zh-CN"/>
              </w:rPr>
              <w:t>新增人员</w:t>
            </w:r>
            <w:r>
              <w:rPr>
                <w:rFonts w:hint="default" w:ascii="Times New Roman" w:hAnsi="Times New Roman" w:eastAsia="宋体" w:cs="Times New Roman"/>
                <w:color w:val="000000"/>
                <w:sz w:val="24"/>
                <w:szCs w:val="24"/>
              </w:rPr>
              <w:t>生活污水经化粪池</w:t>
            </w:r>
            <w:r>
              <w:rPr>
                <w:rFonts w:hint="default" w:ascii="Times New Roman" w:hAnsi="Times New Roman" w:eastAsia="宋体" w:cs="Times New Roman"/>
                <w:color w:val="000000"/>
                <w:sz w:val="24"/>
                <w:szCs w:val="24"/>
                <w:lang w:val="en-US" w:eastAsia="zh-CN"/>
              </w:rPr>
              <w:t>（依托现有）预</w:t>
            </w:r>
            <w:r>
              <w:rPr>
                <w:rFonts w:hint="default" w:ascii="Times New Roman" w:hAnsi="Times New Roman" w:eastAsia="宋体" w:cs="Times New Roman"/>
                <w:color w:val="000000"/>
                <w:sz w:val="24"/>
                <w:szCs w:val="24"/>
              </w:rPr>
              <w:t>处理</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生产废水经沉淀池处理，</w:t>
            </w:r>
            <w:r>
              <w:rPr>
                <w:rFonts w:hint="default" w:ascii="Times New Roman" w:hAnsi="Times New Roman" w:eastAsia="宋体" w:cs="Times New Roman"/>
                <w:color w:val="000000"/>
                <w:sz w:val="24"/>
                <w:szCs w:val="24"/>
                <w:lang w:val="en-US" w:eastAsia="zh-CN"/>
              </w:rPr>
              <w:t>接管进入</w:t>
            </w:r>
            <w:r>
              <w:rPr>
                <w:rFonts w:hint="default"/>
                <w:color w:val="000000"/>
                <w:sz w:val="24"/>
              </w:rPr>
              <w:t>安徽淮相科技发展有限公司第二污水处理厂</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auto"/>
                <w:sz w:val="24"/>
                <w:szCs w:val="24"/>
                <w:lang w:val="en-US" w:eastAsia="zh-CN"/>
              </w:rPr>
              <w:t>处理达标后排入老濉河</w:t>
            </w:r>
            <w:r>
              <w:rPr>
                <w:rFonts w:hint="default" w:ascii="Times New Roman" w:hAnsi="Times New Roman" w:eastAsia="宋体" w:cs="Times New Roman"/>
                <w:color w:val="000000"/>
                <w:sz w:val="24"/>
                <w:szCs w:val="24"/>
              </w:rPr>
              <w:t>。本项目水污染物总量最终纳入</w:t>
            </w:r>
            <w:r>
              <w:rPr>
                <w:rFonts w:hint="default"/>
                <w:color w:val="000000"/>
                <w:sz w:val="24"/>
              </w:rPr>
              <w:t>安徽淮相科技发展有限公司第二污水处理厂</w:t>
            </w:r>
            <w:r>
              <w:rPr>
                <w:rFonts w:hint="default" w:ascii="Times New Roman" w:hAnsi="Times New Roman" w:eastAsia="宋体" w:cs="Times New Roman"/>
                <w:color w:val="000000"/>
                <w:sz w:val="24"/>
                <w:szCs w:val="24"/>
              </w:rPr>
              <w:t>总量范围内，无需申请总量控制指标。</w:t>
            </w:r>
          </w:p>
          <w:p w14:paraId="7317A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项目所在区域为淮北市，上年度环境空气质量不达标，新增大气污染物指标已执行</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倍量替代</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71010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由于</w:t>
            </w:r>
            <w:r>
              <w:rPr>
                <w:rFonts w:hint="eastAsia" w:cs="Times New Roman"/>
                <w:b w:val="0"/>
                <w:bCs w:val="0"/>
                <w:color w:val="auto"/>
                <w:sz w:val="24"/>
                <w:szCs w:val="24"/>
                <w:lang w:val="en-US" w:eastAsia="zh-CN"/>
              </w:rPr>
              <w:t>本项目</w:t>
            </w:r>
            <w:r>
              <w:rPr>
                <w:rFonts w:hint="default" w:ascii="Times New Roman" w:hAnsi="Times New Roman" w:eastAsia="宋体" w:cs="Times New Roman"/>
                <w:b w:val="0"/>
                <w:bCs w:val="0"/>
                <w:color w:val="auto"/>
                <w:sz w:val="24"/>
                <w:szCs w:val="24"/>
                <w:lang w:val="en-US" w:eastAsia="zh-CN"/>
              </w:rPr>
              <w:t>污染物</w:t>
            </w:r>
            <w:r>
              <w:rPr>
                <w:rFonts w:hint="eastAsia" w:ascii="Times New Roman" w:hAnsi="Times New Roman" w:eastAsia="宋体" w:cs="Times New Roman"/>
                <w:b w:val="0"/>
                <w:bCs w:val="0"/>
                <w:color w:val="auto"/>
                <w:sz w:val="24"/>
                <w:szCs w:val="24"/>
                <w:lang w:val="en-US" w:eastAsia="zh-CN"/>
              </w:rPr>
              <w:t>颗粒物无组织排放，无需申请总量</w:t>
            </w:r>
            <w:r>
              <w:rPr>
                <w:rFonts w:hint="default" w:ascii="Times New Roman" w:hAnsi="Times New Roman" w:eastAsia="宋体" w:cs="Times New Roman"/>
                <w:color w:val="000000"/>
                <w:sz w:val="24"/>
                <w:szCs w:val="24"/>
              </w:rPr>
              <w:t>控制指标</w:t>
            </w:r>
            <w:r>
              <w:rPr>
                <w:rFonts w:hint="eastAsia" w:ascii="Times New Roman" w:hAnsi="Times New Roman" w:eastAsia="宋体" w:cs="Times New Roman"/>
                <w:b w:val="0"/>
                <w:bCs w:val="0"/>
                <w:color w:val="auto"/>
                <w:sz w:val="24"/>
                <w:szCs w:val="24"/>
                <w:lang w:val="en-US" w:eastAsia="zh-CN"/>
              </w:rPr>
              <w:t>。</w:t>
            </w:r>
          </w:p>
          <w:p w14:paraId="02E470DB">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 w:val="24"/>
              </w:rPr>
            </w:pPr>
          </w:p>
        </w:tc>
      </w:tr>
    </w:tbl>
    <w:p w14:paraId="52A928C3">
      <w:pPr>
        <w:pStyle w:val="25"/>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8166"/>
      </w:tblGrid>
      <w:tr w14:paraId="28166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0" w:hRule="atLeast"/>
          <w:jc w:val="center"/>
        </w:trPr>
        <w:tc>
          <w:tcPr>
            <w:tcW w:w="746" w:type="dxa"/>
            <w:noWrap w:val="0"/>
            <w:tcMar>
              <w:left w:w="28" w:type="dxa"/>
              <w:right w:w="28" w:type="dxa"/>
            </w:tcMar>
            <w:vAlign w:val="center"/>
          </w:tcPr>
          <w:p w14:paraId="6E5562BA">
            <w:pPr>
              <w:pStyle w:val="25"/>
              <w:keepNext w:val="0"/>
              <w:keepLines w:val="0"/>
              <w:suppressLineNumbers w:val="0"/>
              <w:adjustRightInd w:val="0"/>
              <w:snapToGrid w:val="0"/>
              <w:spacing w:before="0" w:beforeAutospacing="0" w:after="0" w:afterAutospacing="0"/>
              <w:ind w:left="0" w:right="0"/>
              <w:jc w:val="center"/>
              <w:rPr>
                <w:rFonts w:hint="eastAsia" w:cs="宋体"/>
                <w:kern w:val="2"/>
                <w:szCs w:val="24"/>
              </w:rPr>
            </w:pPr>
            <w:r>
              <w:rPr>
                <w:rFonts w:hint="eastAsia" w:cs="宋体"/>
                <w:kern w:val="2"/>
                <w:szCs w:val="24"/>
              </w:rPr>
              <w:t>施工</w:t>
            </w:r>
          </w:p>
          <w:p w14:paraId="374D3220">
            <w:pPr>
              <w:pStyle w:val="25"/>
              <w:keepNext w:val="0"/>
              <w:keepLines w:val="0"/>
              <w:suppressLineNumbers w:val="0"/>
              <w:adjustRightInd w:val="0"/>
              <w:snapToGrid w:val="0"/>
              <w:spacing w:before="0" w:beforeAutospacing="0" w:after="0" w:afterAutospacing="0"/>
              <w:ind w:left="0" w:right="0"/>
              <w:jc w:val="center"/>
              <w:rPr>
                <w:rFonts w:hint="eastAsia" w:cs="宋体"/>
                <w:kern w:val="2"/>
                <w:szCs w:val="24"/>
              </w:rPr>
            </w:pPr>
            <w:r>
              <w:rPr>
                <w:rFonts w:hint="eastAsia" w:cs="宋体"/>
                <w:kern w:val="2"/>
                <w:szCs w:val="24"/>
              </w:rPr>
              <w:t>期环</w:t>
            </w:r>
          </w:p>
          <w:p w14:paraId="30BBFF49">
            <w:pPr>
              <w:pStyle w:val="25"/>
              <w:keepNext w:val="0"/>
              <w:keepLines w:val="0"/>
              <w:suppressLineNumbers w:val="0"/>
              <w:adjustRightInd w:val="0"/>
              <w:snapToGrid w:val="0"/>
              <w:spacing w:before="0" w:beforeAutospacing="0" w:after="0" w:afterAutospacing="0"/>
              <w:ind w:left="0" w:right="0"/>
              <w:jc w:val="center"/>
              <w:rPr>
                <w:rFonts w:hint="eastAsia" w:cs="宋体"/>
                <w:kern w:val="2"/>
                <w:szCs w:val="24"/>
              </w:rPr>
            </w:pPr>
            <w:r>
              <w:rPr>
                <w:rFonts w:hint="eastAsia" w:cs="宋体"/>
                <w:kern w:val="2"/>
                <w:szCs w:val="24"/>
              </w:rPr>
              <w:t>境保</w:t>
            </w:r>
          </w:p>
          <w:p w14:paraId="26DCCD39">
            <w:pPr>
              <w:pStyle w:val="25"/>
              <w:keepNext w:val="0"/>
              <w:keepLines w:val="0"/>
              <w:suppressLineNumbers w:val="0"/>
              <w:adjustRightInd w:val="0"/>
              <w:snapToGrid w:val="0"/>
              <w:spacing w:before="0" w:beforeAutospacing="0" w:after="0" w:afterAutospacing="0"/>
              <w:ind w:left="0" w:right="0"/>
              <w:jc w:val="center"/>
              <w:rPr>
                <w:rFonts w:hint="eastAsia" w:cs="宋体"/>
                <w:kern w:val="2"/>
                <w:szCs w:val="24"/>
              </w:rPr>
            </w:pPr>
            <w:r>
              <w:rPr>
                <w:rFonts w:hint="eastAsia" w:cs="宋体"/>
                <w:kern w:val="2"/>
                <w:szCs w:val="24"/>
              </w:rPr>
              <w:t>护措</w:t>
            </w:r>
          </w:p>
          <w:p w14:paraId="2A59945A">
            <w:pPr>
              <w:pStyle w:val="25"/>
              <w:keepNext w:val="0"/>
              <w:keepLines w:val="0"/>
              <w:suppressLineNumbers w:val="0"/>
              <w:adjustRightInd w:val="0"/>
              <w:snapToGrid w:val="0"/>
              <w:spacing w:before="0" w:beforeAutospacing="0" w:after="0" w:afterAutospacing="0"/>
              <w:ind w:left="0" w:right="0"/>
              <w:jc w:val="center"/>
              <w:rPr>
                <w:rFonts w:hint="eastAsia" w:cs="宋体"/>
                <w:bCs/>
                <w:kern w:val="2"/>
                <w:szCs w:val="24"/>
              </w:rPr>
            </w:pPr>
            <w:r>
              <w:rPr>
                <w:rFonts w:hint="eastAsia" w:cs="宋体"/>
                <w:kern w:val="2"/>
                <w:szCs w:val="24"/>
              </w:rPr>
              <w:t>施</w:t>
            </w:r>
          </w:p>
        </w:tc>
        <w:tc>
          <w:tcPr>
            <w:tcW w:w="8162" w:type="dxa"/>
            <w:noWrap w:val="0"/>
            <w:vAlign w:val="center"/>
          </w:tcPr>
          <w:p w14:paraId="4C22D8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sz w:val="24"/>
              </w:rPr>
            </w:pPr>
            <w:r>
              <w:rPr>
                <w:rFonts w:hint="eastAsia"/>
                <w:sz w:val="24"/>
              </w:rPr>
              <w:t>本项目利用现有厂房重新布局，同时租赁淮北市欣然食品有限责任公司空置厂房建设，项目基本不涉及土建施工过程，施工期污染不大，不产生土建施工的相关环境影响，如机械噪声和扬尘等污染问题。本项目施工期仅对其进行装修和设备安装调试，因此本项目建设施工期内主要存在的环境问题为施工机械噪声、建筑垃圾、生活垃圾及室内装修废气。装修和生产设备安装过程中会产生噪声，但此过程是短暂的，对周边环境影响不大；装修过程中产生少量的装修垃圾及生活垃圾交由环卫部门统一清运处置；厂房装修和生产设备安装会产生少量的工人生活污水，依托厂区化粪池预处理后进入市政污水管网。项目施工期短暂，对外环境的影响较小。项目施工期环境影响属于局部、短期、可恢复性的，随着设备安装调试完成，施工期的环境影响随之结束。施工期应做到如下防范措施：</w:t>
            </w:r>
          </w:p>
          <w:p w14:paraId="53BCC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sz w:val="24"/>
              </w:rPr>
            </w:pPr>
            <w:r>
              <w:rPr>
                <w:rFonts w:hint="eastAsia"/>
                <w:sz w:val="24"/>
              </w:rPr>
              <w:t>A.加强施工管理，合理安排施工机械设备组装和施工时间，避免在居民休息时（晚10:00-早6:00）施工。除特殊需要作业外（经生态环境局批准并公布），禁止夜间以后进行产生环境噪声污染的施工。</w:t>
            </w:r>
          </w:p>
          <w:p w14:paraId="0E24F8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宋体" w:hAnsi="宋体" w:cs="宋体"/>
                <w:bCs/>
                <w:spacing w:val="-10"/>
                <w:sz w:val="24"/>
              </w:rPr>
            </w:pPr>
            <w:r>
              <w:rPr>
                <w:rFonts w:hint="eastAsia"/>
                <w:sz w:val="24"/>
              </w:rPr>
              <w:t>B.尽量采用低噪音施工设备和噪声低的施工方法，作业时在高噪声设备周围设置屏蔽：对施工设备进行合理布局，选择低噪声的机械设备</w:t>
            </w:r>
            <w:r>
              <w:rPr>
                <w:rFonts w:hint="default" w:ascii="Times New Roman" w:hAnsi="Times New Roman" w:cs="Times New Roman"/>
                <w:sz w:val="24"/>
              </w:rPr>
              <w:t>。</w:t>
            </w:r>
          </w:p>
        </w:tc>
      </w:tr>
      <w:tr w14:paraId="748E0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14:paraId="44361AD6">
            <w:pPr>
              <w:keepNext w:val="0"/>
              <w:keepLines w:val="0"/>
              <w:suppressLineNumbers w:val="0"/>
              <w:adjustRightInd w:val="0"/>
              <w:snapToGrid w:val="0"/>
              <w:spacing w:before="0" w:beforeAutospacing="0" w:after="0" w:afterAutospacing="0"/>
              <w:ind w:left="0" w:right="0"/>
              <w:jc w:val="center"/>
              <w:rPr>
                <w:rFonts w:hint="eastAsia" w:ascii="宋体" w:hAnsi="宋体" w:cs="宋体"/>
                <w:bCs/>
                <w:sz w:val="24"/>
              </w:rPr>
            </w:pPr>
            <w:r>
              <w:rPr>
                <w:rFonts w:hint="eastAsia" w:ascii="宋体" w:hAnsi="宋体" w:cs="宋体"/>
                <w:bCs/>
                <w:sz w:val="24"/>
              </w:rPr>
              <w:t>运营</w:t>
            </w:r>
          </w:p>
          <w:p w14:paraId="44652C62">
            <w:pPr>
              <w:keepNext w:val="0"/>
              <w:keepLines w:val="0"/>
              <w:suppressLineNumbers w:val="0"/>
              <w:adjustRightInd w:val="0"/>
              <w:snapToGrid w:val="0"/>
              <w:spacing w:before="0" w:beforeAutospacing="0" w:after="0" w:afterAutospacing="0"/>
              <w:ind w:left="0" w:right="0"/>
              <w:jc w:val="center"/>
              <w:rPr>
                <w:rFonts w:hint="eastAsia" w:ascii="宋体" w:hAnsi="宋体" w:cs="宋体"/>
                <w:bCs/>
                <w:sz w:val="24"/>
              </w:rPr>
            </w:pPr>
            <w:r>
              <w:rPr>
                <w:rFonts w:hint="eastAsia" w:ascii="宋体" w:hAnsi="宋体" w:cs="宋体"/>
                <w:bCs/>
                <w:sz w:val="24"/>
              </w:rPr>
              <w:t>期环</w:t>
            </w:r>
          </w:p>
          <w:p w14:paraId="0920C2B4">
            <w:pPr>
              <w:keepNext w:val="0"/>
              <w:keepLines w:val="0"/>
              <w:suppressLineNumbers w:val="0"/>
              <w:adjustRightInd w:val="0"/>
              <w:snapToGrid w:val="0"/>
              <w:spacing w:before="0" w:beforeAutospacing="0" w:after="0" w:afterAutospacing="0"/>
              <w:ind w:left="0" w:right="0"/>
              <w:jc w:val="center"/>
              <w:rPr>
                <w:rFonts w:hint="eastAsia" w:ascii="宋体" w:hAnsi="宋体" w:cs="宋体"/>
                <w:bCs/>
                <w:sz w:val="24"/>
              </w:rPr>
            </w:pPr>
            <w:r>
              <w:rPr>
                <w:rFonts w:hint="eastAsia" w:ascii="宋体" w:hAnsi="宋体" w:cs="宋体"/>
                <w:bCs/>
                <w:sz w:val="24"/>
              </w:rPr>
              <w:t>境影</w:t>
            </w:r>
          </w:p>
          <w:p w14:paraId="5B85C864">
            <w:pPr>
              <w:keepNext w:val="0"/>
              <w:keepLines w:val="0"/>
              <w:suppressLineNumbers w:val="0"/>
              <w:adjustRightInd w:val="0"/>
              <w:snapToGrid w:val="0"/>
              <w:spacing w:before="0" w:beforeAutospacing="0" w:after="0" w:afterAutospacing="0"/>
              <w:ind w:left="0" w:right="0"/>
              <w:jc w:val="center"/>
              <w:rPr>
                <w:rFonts w:hint="eastAsia" w:ascii="宋体" w:hAnsi="宋体" w:cs="宋体"/>
                <w:bCs/>
                <w:sz w:val="24"/>
              </w:rPr>
            </w:pPr>
            <w:r>
              <w:rPr>
                <w:rFonts w:hint="eastAsia" w:ascii="宋体" w:hAnsi="宋体" w:cs="宋体"/>
                <w:bCs/>
                <w:sz w:val="24"/>
              </w:rPr>
              <w:t>响和</w:t>
            </w:r>
          </w:p>
          <w:p w14:paraId="0681780A">
            <w:pPr>
              <w:keepNext w:val="0"/>
              <w:keepLines w:val="0"/>
              <w:suppressLineNumbers w:val="0"/>
              <w:adjustRightInd w:val="0"/>
              <w:snapToGrid w:val="0"/>
              <w:spacing w:before="0" w:beforeAutospacing="0" w:after="0" w:afterAutospacing="0"/>
              <w:ind w:left="0" w:right="0"/>
              <w:jc w:val="center"/>
              <w:rPr>
                <w:rFonts w:hint="eastAsia" w:ascii="宋体" w:hAnsi="宋体" w:cs="宋体"/>
                <w:bCs/>
                <w:sz w:val="24"/>
              </w:rPr>
            </w:pPr>
            <w:r>
              <w:rPr>
                <w:rFonts w:hint="eastAsia" w:ascii="宋体" w:hAnsi="宋体" w:cs="宋体"/>
                <w:bCs/>
                <w:sz w:val="24"/>
              </w:rPr>
              <w:t>保护</w:t>
            </w:r>
          </w:p>
          <w:p w14:paraId="22ED1E5F">
            <w:pPr>
              <w:keepNext w:val="0"/>
              <w:keepLines w:val="0"/>
              <w:suppressLineNumbers w:val="0"/>
              <w:adjustRightInd w:val="0"/>
              <w:snapToGrid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措施</w:t>
            </w:r>
          </w:p>
        </w:tc>
        <w:tc>
          <w:tcPr>
            <w:tcW w:w="8162" w:type="dxa"/>
            <w:noWrap w:val="0"/>
            <w:vAlign w:val="center"/>
          </w:tcPr>
          <w:p w14:paraId="57F6D1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cs="Times New Roman"/>
                <w:b/>
                <w:bCs/>
                <w:sz w:val="24"/>
                <w:szCs w:val="24"/>
              </w:rPr>
            </w:pPr>
            <w:r>
              <w:rPr>
                <w:rFonts w:hint="eastAsia" w:ascii="Times New Roman" w:hAnsi="Times New Roman" w:cs="Times New Roman"/>
                <w:b/>
                <w:bCs/>
                <w:sz w:val="24"/>
                <w:szCs w:val="24"/>
              </w:rPr>
              <w:t>1、废气影响分析</w:t>
            </w:r>
          </w:p>
          <w:p w14:paraId="73AB2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cs="Times New Roman"/>
                <w:b/>
                <w:bCs/>
                <w:sz w:val="24"/>
                <w:szCs w:val="24"/>
              </w:rPr>
            </w:pPr>
            <w:r>
              <w:rPr>
                <w:rFonts w:hint="eastAsia" w:ascii="Times New Roman" w:hAnsi="Times New Roman" w:cs="Times New Roman"/>
                <w:b/>
                <w:bCs/>
                <w:sz w:val="24"/>
                <w:szCs w:val="24"/>
              </w:rPr>
              <w:t>1.1废气源强核算</w:t>
            </w:r>
          </w:p>
          <w:p w14:paraId="45A7550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本项目产生的废气主要为</w:t>
            </w:r>
            <w:r>
              <w:rPr>
                <w:rFonts w:hint="eastAsia" w:cs="Times New Roman"/>
                <w:color w:val="000000"/>
                <w:sz w:val="24"/>
                <w:szCs w:val="24"/>
                <w:lang w:val="en-US" w:eastAsia="zh-CN"/>
              </w:rPr>
              <w:t>粉碎</w:t>
            </w:r>
            <w:r>
              <w:rPr>
                <w:rFonts w:hint="eastAsia" w:ascii="Times New Roman" w:hAnsi="Times New Roman" w:cs="Times New Roman"/>
                <w:color w:val="000000"/>
                <w:sz w:val="24"/>
                <w:szCs w:val="24"/>
              </w:rPr>
              <w:t>、</w:t>
            </w:r>
            <w:r>
              <w:rPr>
                <w:rFonts w:hint="eastAsia" w:cs="Times New Roman"/>
                <w:color w:val="000000"/>
                <w:sz w:val="24"/>
                <w:szCs w:val="24"/>
                <w:lang w:val="en-US" w:eastAsia="zh-CN"/>
              </w:rPr>
              <w:t>配料</w:t>
            </w:r>
            <w:r>
              <w:rPr>
                <w:rFonts w:hint="eastAsia" w:ascii="Times New Roman" w:hAnsi="Times New Roman" w:cs="Times New Roman"/>
                <w:color w:val="000000"/>
                <w:sz w:val="24"/>
                <w:szCs w:val="24"/>
                <w:lang w:val="en-US" w:eastAsia="zh-CN"/>
              </w:rPr>
              <w:t>时产生的粉尘</w:t>
            </w:r>
            <w:r>
              <w:rPr>
                <w:rFonts w:hint="eastAsia" w:cs="Times New Roman"/>
                <w:color w:val="000000"/>
                <w:sz w:val="24"/>
                <w:szCs w:val="24"/>
                <w:lang w:val="en-US" w:eastAsia="zh-CN"/>
              </w:rPr>
              <w:t>；膨化、烘烤、调味过程产生的油烟；泡芙调味过程产生的油雾；鱼虾清洗和废水预处理环节产生的恶臭</w:t>
            </w:r>
            <w:r>
              <w:rPr>
                <w:rFonts w:hint="default" w:ascii="Times New Roman" w:hAnsi="Times New Roman" w:cs="Times New Roman"/>
                <w:color w:val="000000"/>
                <w:sz w:val="24"/>
                <w:szCs w:val="24"/>
              </w:rPr>
              <w:t>。</w:t>
            </w:r>
          </w:p>
          <w:p w14:paraId="1791A82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（1）粉碎及配料粉尘</w:t>
            </w:r>
          </w:p>
          <w:p w14:paraId="4C1B5CFD">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kern w:val="0"/>
                <w:sz w:val="24"/>
                <w:szCs w:val="24"/>
                <w:lang w:val="en-US" w:eastAsia="zh-CN" w:bidi="ar-SA"/>
              </w:rPr>
            </w:pPr>
            <w:r>
              <w:rPr>
                <w:rFonts w:hint="eastAsia" w:cs="Times New Roman"/>
                <w:color w:val="000000"/>
                <w:kern w:val="0"/>
                <w:sz w:val="24"/>
                <w:szCs w:val="24"/>
                <w:lang w:val="en-US" w:eastAsia="zh-CN" w:bidi="ar-SA"/>
              </w:rPr>
              <w:t>①粉碎</w:t>
            </w:r>
            <w:r>
              <w:rPr>
                <w:rFonts w:hint="eastAsia" w:ascii="Times New Roman" w:hAnsi="Times New Roman" w:eastAsia="宋体" w:cs="Times New Roman"/>
                <w:color w:val="000000"/>
                <w:kern w:val="0"/>
                <w:sz w:val="24"/>
                <w:szCs w:val="24"/>
                <w:lang w:val="en-US" w:eastAsia="zh-CN" w:bidi="ar-SA"/>
              </w:rPr>
              <w:t>粉尘</w:t>
            </w:r>
          </w:p>
          <w:p w14:paraId="163B6259">
            <w:pPr>
              <w:pStyle w:val="8"/>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color w:val="000000"/>
                <w:szCs w:val="24"/>
              </w:rPr>
            </w:pPr>
            <w:r>
              <w:rPr>
                <w:rFonts w:hint="eastAsia"/>
                <w:color w:val="000000"/>
                <w:szCs w:val="24"/>
              </w:rPr>
              <w:t>参照《排放源统计调查产排污核算方法和系数手册》</w:t>
            </w:r>
            <w:r>
              <w:rPr>
                <w:rFonts w:hint="eastAsia"/>
                <w:color w:val="000000"/>
                <w:szCs w:val="24"/>
                <w:lang w:eastAsia="zh-CN"/>
              </w:rPr>
              <w:t>（</w:t>
            </w:r>
            <w:r>
              <w:rPr>
                <w:rFonts w:hint="eastAsia"/>
                <w:color w:val="000000"/>
                <w:szCs w:val="24"/>
              </w:rPr>
              <w:t>2021年6月</w:t>
            </w:r>
            <w:r>
              <w:rPr>
                <w:rFonts w:hint="eastAsia"/>
                <w:color w:val="000000"/>
                <w:szCs w:val="24"/>
                <w:lang w:eastAsia="zh-CN"/>
              </w:rPr>
              <w:t>）</w:t>
            </w:r>
            <w:r>
              <w:rPr>
                <w:rFonts w:hint="eastAsia"/>
                <w:color w:val="000000"/>
                <w:szCs w:val="24"/>
              </w:rPr>
              <w:t>中131谷物磨制行业系数手册，</w:t>
            </w:r>
            <w:r>
              <w:rPr>
                <w:rFonts w:hint="eastAsia"/>
                <w:color w:val="000000"/>
                <w:szCs w:val="24"/>
                <w:lang w:val="en-US" w:eastAsia="zh-CN"/>
              </w:rPr>
              <w:t>小麦</w:t>
            </w:r>
            <w:r>
              <w:rPr>
                <w:rFonts w:hint="eastAsia"/>
                <w:color w:val="000000"/>
                <w:szCs w:val="24"/>
              </w:rPr>
              <w:t>清理、碾磨、除尘的颗粒物产排污系数为</w:t>
            </w:r>
          </w:p>
          <w:p w14:paraId="70E0AE09">
            <w:pPr>
              <w:pStyle w:val="8"/>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outlineLvl w:val="9"/>
              <w:rPr>
                <w:rFonts w:hint="eastAsia" w:ascii="Times New Roman" w:hAnsi="Times New Roman" w:eastAsia="宋体" w:cs="Times New Roman"/>
                <w:color w:val="000000"/>
                <w:kern w:val="0"/>
                <w:sz w:val="24"/>
                <w:szCs w:val="24"/>
                <w:lang w:val="en-US" w:eastAsia="zh-CN" w:bidi="ar-SA"/>
              </w:rPr>
            </w:pPr>
            <w:r>
              <w:rPr>
                <w:rFonts w:hint="eastAsia"/>
                <w:color w:val="000000"/>
                <w:szCs w:val="24"/>
              </w:rPr>
              <w:t>0.0</w:t>
            </w:r>
            <w:r>
              <w:rPr>
                <w:rFonts w:hint="eastAsia"/>
                <w:color w:val="000000"/>
                <w:szCs w:val="24"/>
                <w:lang w:eastAsia="zh-CN"/>
              </w:rPr>
              <w:t>8</w:t>
            </w:r>
            <w:r>
              <w:rPr>
                <w:rFonts w:hint="eastAsia"/>
                <w:color w:val="000000"/>
                <w:szCs w:val="24"/>
                <w:lang w:val="en-US" w:eastAsia="zh-CN"/>
              </w:rPr>
              <w:t>5</w:t>
            </w:r>
            <w:r>
              <w:rPr>
                <w:rFonts w:hint="eastAsia"/>
                <w:color w:val="000000"/>
                <w:szCs w:val="24"/>
              </w:rPr>
              <w:t>kg/t-原料</w:t>
            </w:r>
            <w:r>
              <w:rPr>
                <w:rFonts w:hint="eastAsia" w:ascii="Times New Roman" w:hAnsi="Times New Roman" w:eastAsia="宋体" w:cs="Times New Roman"/>
                <w:color w:val="000000"/>
                <w:kern w:val="0"/>
                <w:sz w:val="24"/>
                <w:szCs w:val="24"/>
                <w:lang w:val="en-US" w:eastAsia="zh-CN" w:bidi="ar-SA"/>
              </w:rPr>
              <w:t>。</w:t>
            </w:r>
            <w:r>
              <w:rPr>
                <w:rFonts w:hint="eastAsia" w:cs="Times New Roman"/>
                <w:color w:val="000000"/>
                <w:kern w:val="0"/>
                <w:sz w:val="24"/>
                <w:szCs w:val="24"/>
                <w:lang w:val="en-US" w:eastAsia="zh-CN" w:bidi="ar-SA"/>
              </w:rPr>
              <w:t>根据建设单位提供的资料，</w:t>
            </w:r>
            <w:r>
              <w:rPr>
                <w:rFonts w:hint="eastAsia" w:ascii="Times New Roman" w:hAnsi="Times New Roman" w:eastAsia="宋体" w:cs="Times New Roman"/>
                <w:color w:val="000000"/>
                <w:kern w:val="0"/>
                <w:sz w:val="24"/>
                <w:szCs w:val="24"/>
                <w:lang w:val="en-US" w:eastAsia="zh-CN" w:bidi="ar-SA"/>
              </w:rPr>
              <w:t>本项目</w:t>
            </w:r>
            <w:r>
              <w:rPr>
                <w:rFonts w:hint="eastAsia" w:cs="Times New Roman"/>
                <w:color w:val="000000"/>
                <w:kern w:val="0"/>
                <w:sz w:val="24"/>
                <w:szCs w:val="24"/>
                <w:lang w:val="en-US" w:eastAsia="zh-CN" w:bidi="ar-SA"/>
              </w:rPr>
              <w:t>部分谷物粉以及烘干后的鱼虾需要企业磨制，谷物及鱼虾</w:t>
            </w:r>
            <w:r>
              <w:rPr>
                <w:rFonts w:hint="eastAsia" w:ascii="Times New Roman" w:hAnsi="Times New Roman" w:eastAsia="宋体" w:cs="Times New Roman"/>
                <w:color w:val="000000"/>
                <w:kern w:val="0"/>
                <w:sz w:val="24"/>
                <w:szCs w:val="24"/>
                <w:lang w:val="en-US" w:eastAsia="zh-CN" w:bidi="ar-SA"/>
              </w:rPr>
              <w:t>用量</w:t>
            </w:r>
            <w:r>
              <w:rPr>
                <w:rFonts w:hint="eastAsia" w:cs="Times New Roman"/>
                <w:color w:val="000000"/>
                <w:kern w:val="0"/>
                <w:sz w:val="24"/>
                <w:szCs w:val="24"/>
                <w:lang w:val="en-US" w:eastAsia="zh-CN" w:bidi="ar-SA"/>
              </w:rPr>
              <w:t>约640</w:t>
            </w:r>
            <w:r>
              <w:rPr>
                <w:rFonts w:hint="eastAsia" w:ascii="Times New Roman" w:hAnsi="Times New Roman" w:eastAsia="宋体" w:cs="Times New Roman"/>
                <w:color w:val="000000"/>
                <w:kern w:val="0"/>
                <w:sz w:val="24"/>
                <w:szCs w:val="24"/>
                <w:lang w:val="en-US" w:eastAsia="zh-CN" w:bidi="ar-SA"/>
              </w:rPr>
              <w:t>t/a，则</w:t>
            </w:r>
            <w:r>
              <w:rPr>
                <w:rFonts w:hint="eastAsia" w:cs="Times New Roman"/>
                <w:color w:val="000000"/>
                <w:kern w:val="0"/>
                <w:sz w:val="24"/>
                <w:szCs w:val="24"/>
                <w:lang w:val="en-US" w:eastAsia="zh-CN" w:bidi="ar-SA"/>
              </w:rPr>
              <w:t>粉尘</w:t>
            </w:r>
            <w:r>
              <w:rPr>
                <w:rFonts w:hint="eastAsia" w:ascii="Times New Roman" w:hAnsi="Times New Roman" w:eastAsia="宋体" w:cs="Times New Roman"/>
                <w:color w:val="000000"/>
                <w:kern w:val="0"/>
                <w:sz w:val="24"/>
                <w:szCs w:val="24"/>
                <w:lang w:val="en-US" w:eastAsia="zh-CN" w:bidi="ar-SA"/>
              </w:rPr>
              <w:t>产生量为</w:t>
            </w:r>
            <w:r>
              <w:rPr>
                <w:rFonts w:hint="eastAsia" w:cs="Times New Roman"/>
                <w:color w:val="000000"/>
                <w:kern w:val="0"/>
                <w:sz w:val="24"/>
                <w:szCs w:val="24"/>
                <w:lang w:val="en-US" w:eastAsia="zh-CN" w:bidi="ar-SA"/>
              </w:rPr>
              <w:t>0.054</w:t>
            </w:r>
            <w:r>
              <w:rPr>
                <w:rFonts w:hint="eastAsia" w:ascii="Times New Roman" w:hAnsi="Times New Roman" w:eastAsia="宋体" w:cs="Times New Roman"/>
                <w:color w:val="000000"/>
                <w:kern w:val="0"/>
                <w:sz w:val="24"/>
                <w:szCs w:val="24"/>
                <w:lang w:val="en-US" w:eastAsia="zh-CN" w:bidi="ar-SA"/>
              </w:rPr>
              <w:t>t/a，</w:t>
            </w:r>
            <w:r>
              <w:rPr>
                <w:rFonts w:hint="eastAsia" w:cs="Times New Roman"/>
                <w:color w:val="000000"/>
                <w:kern w:val="0"/>
                <w:sz w:val="24"/>
                <w:szCs w:val="24"/>
                <w:lang w:val="en-US" w:eastAsia="zh-CN" w:bidi="ar-SA"/>
              </w:rPr>
              <w:t>本项目产生的粉尘大部分经粉碎机自带的布袋除尘器处理，</w:t>
            </w:r>
            <w:r>
              <w:rPr>
                <w:rFonts w:hint="eastAsia"/>
                <w:bCs/>
              </w:rPr>
              <w:t>除尘器效率</w:t>
            </w:r>
            <w:r>
              <w:rPr>
                <w:rFonts w:hint="eastAsia"/>
                <w:bCs/>
                <w:lang w:val="en-US" w:eastAsia="zh-CN"/>
              </w:rPr>
              <w:t>为</w:t>
            </w:r>
            <w:r>
              <w:rPr>
                <w:rFonts w:hint="eastAsia"/>
                <w:bCs/>
              </w:rPr>
              <w:t>95%</w:t>
            </w:r>
            <w:r>
              <w:rPr>
                <w:rFonts w:hint="eastAsia"/>
                <w:bCs/>
                <w:lang w:eastAsia="zh-CN"/>
              </w:rPr>
              <w:t>，</w:t>
            </w:r>
            <w:r>
              <w:rPr>
                <w:rFonts w:hint="eastAsia"/>
                <w:bCs/>
                <w:lang w:val="en-US" w:eastAsia="zh-CN"/>
              </w:rPr>
              <w:t>处理后的粉尘</w:t>
            </w:r>
            <w:r>
              <w:rPr>
                <w:rFonts w:hint="eastAsia" w:ascii="Times New Roman" w:hAnsi="Times New Roman" w:eastAsia="宋体" w:cs="Times New Roman"/>
                <w:color w:val="000000"/>
                <w:kern w:val="0"/>
                <w:sz w:val="24"/>
                <w:szCs w:val="24"/>
                <w:lang w:val="en-US" w:eastAsia="zh-CN" w:bidi="ar-SA"/>
              </w:rPr>
              <w:t>在</w:t>
            </w:r>
            <w:r>
              <w:rPr>
                <w:rFonts w:hint="eastAsia" w:cs="Times New Roman"/>
                <w:color w:val="000000"/>
                <w:kern w:val="0"/>
                <w:sz w:val="24"/>
                <w:szCs w:val="24"/>
                <w:lang w:val="en-US" w:eastAsia="zh-CN" w:bidi="ar-SA"/>
              </w:rPr>
              <w:t>磨粉</w:t>
            </w:r>
            <w:r>
              <w:rPr>
                <w:rFonts w:hint="eastAsia" w:ascii="Times New Roman" w:hAnsi="Times New Roman" w:eastAsia="宋体" w:cs="Times New Roman"/>
                <w:color w:val="000000"/>
                <w:kern w:val="0"/>
                <w:sz w:val="24"/>
                <w:szCs w:val="24"/>
                <w:lang w:val="en-US" w:eastAsia="zh-CN" w:bidi="ar-SA"/>
              </w:rPr>
              <w:t>间内无组织排放，</w:t>
            </w:r>
            <w:r>
              <w:rPr>
                <w:rFonts w:hint="eastAsia" w:cs="Times New Roman"/>
                <w:color w:val="000000"/>
                <w:kern w:val="0"/>
                <w:sz w:val="24"/>
                <w:szCs w:val="24"/>
                <w:lang w:val="en-US" w:eastAsia="zh-CN" w:bidi="ar-SA"/>
              </w:rPr>
              <w:t>故粉碎粉尘无组织排放量为0.0027t/a</w:t>
            </w:r>
            <w:r>
              <w:rPr>
                <w:rFonts w:hint="eastAsia" w:ascii="Times New Roman" w:hAnsi="Times New Roman" w:eastAsia="宋体" w:cs="Times New Roman"/>
                <w:color w:val="000000"/>
                <w:kern w:val="0"/>
                <w:sz w:val="24"/>
                <w:szCs w:val="24"/>
                <w:lang w:val="en-US" w:eastAsia="zh-CN" w:bidi="ar-SA"/>
              </w:rPr>
              <w:t>。</w:t>
            </w:r>
          </w:p>
          <w:p w14:paraId="2F920BD5">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②配料粉尘</w:t>
            </w:r>
          </w:p>
          <w:p w14:paraId="5097872C">
            <w:pPr>
              <w:pStyle w:val="8"/>
              <w:keepNext w:val="0"/>
              <w:keepLines w:val="0"/>
              <w:widowControl w:val="0"/>
              <w:numPr>
                <w:ilvl w:val="0"/>
                <w:numId w:val="0"/>
              </w:numPr>
              <w:suppressLineNumbers w:val="0"/>
              <w:spacing w:before="0" w:beforeAutospacing="0" w:after="0" w:afterAutospacing="0" w:line="360" w:lineRule="auto"/>
              <w:ind w:left="0" w:right="0" w:firstLine="480" w:firstLineChars="200"/>
              <w:jc w:val="both"/>
              <w:textAlignment w:val="auto"/>
              <w:rPr>
                <w:rFonts w:hint="eastAsia"/>
                <w:color w:val="000000"/>
                <w:sz w:val="24"/>
                <w:szCs w:val="24"/>
                <w:lang w:val="en-US" w:eastAsia="zh-CN"/>
              </w:rPr>
            </w:pPr>
            <w:r>
              <w:rPr>
                <w:rFonts w:hint="eastAsia"/>
                <w:szCs w:val="24"/>
              </w:rPr>
              <w:t>本项目</w:t>
            </w:r>
            <w:r>
              <w:rPr>
                <w:rFonts w:hint="eastAsia"/>
                <w:szCs w:val="24"/>
                <w:lang w:val="en-US" w:eastAsia="zh-CN"/>
              </w:rPr>
              <w:t>配料</w:t>
            </w:r>
            <w:r>
              <w:rPr>
                <w:rFonts w:hint="eastAsia"/>
                <w:szCs w:val="24"/>
              </w:rPr>
              <w:t>工序会产生一定量的粉尘，</w:t>
            </w:r>
            <w:r>
              <w:rPr>
                <w:rFonts w:hint="eastAsia"/>
                <w:szCs w:val="24"/>
                <w:lang w:val="en-US" w:eastAsia="zh-CN"/>
              </w:rPr>
              <w:t>谷物粉及谷物淀粉</w:t>
            </w:r>
            <w:r>
              <w:rPr>
                <w:rFonts w:hint="eastAsia"/>
                <w:szCs w:val="24"/>
              </w:rPr>
              <w:t>拆袋后，</w:t>
            </w:r>
            <w:r>
              <w:rPr>
                <w:rFonts w:hint="eastAsia"/>
                <w:szCs w:val="24"/>
                <w:lang w:val="en-US" w:eastAsia="zh-CN"/>
              </w:rPr>
              <w:t>由人工按照一定的比例配制</w:t>
            </w:r>
            <w:r>
              <w:rPr>
                <w:rFonts w:hint="eastAsia"/>
                <w:szCs w:val="24"/>
              </w:rPr>
              <w:t>后投入密闭拌料机中搅拌、混匀。环评</w:t>
            </w:r>
            <w:r>
              <w:rPr>
                <w:rFonts w:hint="eastAsia"/>
                <w:color w:val="000000"/>
                <w:szCs w:val="24"/>
              </w:rPr>
              <w:t>参照《逸散性工业粉尘控制技术》“物料的装卸运输”中给出的排放系数，投料过程粉尘排放系数为0.01kg/t-卸料</w:t>
            </w:r>
            <w:r>
              <w:rPr>
                <w:rFonts w:hint="eastAsia"/>
                <w:szCs w:val="24"/>
              </w:rPr>
              <w:t>。</w:t>
            </w:r>
            <w:r>
              <w:rPr>
                <w:rFonts w:hint="eastAsia"/>
                <w:color w:val="000000"/>
                <w:sz w:val="24"/>
                <w:szCs w:val="24"/>
                <w:lang w:val="en-US" w:eastAsia="zh-CN"/>
              </w:rPr>
              <w:t>根据建设单位提供的资料，本项目谷物粉、谷物淀粉等使用量3090t/a，则配料粉尘产生量为0.031t/a。</w:t>
            </w:r>
          </w:p>
          <w:p w14:paraId="32F67656">
            <w:pPr>
              <w:pStyle w:val="8"/>
              <w:keepNext w:val="0"/>
              <w:keepLines w:val="0"/>
              <w:widowControl w:val="0"/>
              <w:numPr>
                <w:ilvl w:val="0"/>
                <w:numId w:val="0"/>
              </w:numPr>
              <w:suppressLineNumbers w:val="0"/>
              <w:spacing w:before="0" w:beforeAutospacing="0" w:after="0" w:afterAutospacing="0" w:line="360" w:lineRule="auto"/>
              <w:ind w:left="0" w:right="0" w:firstLine="480" w:firstLineChars="200"/>
              <w:jc w:val="both"/>
              <w:textAlignment w:val="auto"/>
              <w:rPr>
                <w:rFonts w:hint="default"/>
                <w:color w:val="000000"/>
                <w:sz w:val="24"/>
                <w:szCs w:val="24"/>
                <w:lang w:val="en-US" w:eastAsia="zh-CN"/>
              </w:rPr>
            </w:pPr>
            <w:r>
              <w:rPr>
                <w:rFonts w:hint="eastAsia"/>
                <w:color w:val="000000"/>
                <w:sz w:val="24"/>
                <w:szCs w:val="24"/>
                <w:lang w:val="en-US" w:eastAsia="zh-CN"/>
              </w:rPr>
              <w:t>本项目配料粉尘采取车间封闭，定期清扫地面，参照《逸散性粉尘控制技术》“第一章、一般逸散尘排放源”中的“四、控制方法”内容，封闭卸料可减少粉尘排放90%~95%（本项目以90%计），则配料粉尘排放量为0.0031t/a。</w:t>
            </w:r>
          </w:p>
          <w:p w14:paraId="051164FD">
            <w:pPr>
              <w:pStyle w:val="8"/>
              <w:keepNext w:val="0"/>
              <w:keepLines w:val="0"/>
              <w:widowControl w:val="0"/>
              <w:numPr>
                <w:ilvl w:val="0"/>
                <w:numId w:val="0"/>
              </w:numPr>
              <w:suppressLineNumbers w:val="0"/>
              <w:spacing w:before="0" w:beforeAutospacing="0" w:after="0" w:afterAutospacing="0" w:line="360" w:lineRule="auto"/>
              <w:ind w:left="0" w:right="0" w:firstLine="480" w:firstLineChars="200"/>
              <w:jc w:val="both"/>
              <w:textAlignment w:val="auto"/>
              <w:rPr>
                <w:rFonts w:hint="default"/>
                <w:lang w:val="en-US" w:eastAsia="zh-CN"/>
              </w:rPr>
            </w:pPr>
            <w:r>
              <w:rPr>
                <w:rFonts w:hint="eastAsia"/>
                <w:lang w:val="en-US" w:eastAsia="zh-CN"/>
              </w:rPr>
              <w:t>（2）膨化、烘烤、调味过程产生的油烟废气</w:t>
            </w:r>
          </w:p>
          <w:p w14:paraId="64CBD60E">
            <w:pPr>
              <w:pStyle w:val="8"/>
              <w:keepNext w:val="0"/>
              <w:keepLines w:val="0"/>
              <w:widowControl w:val="0"/>
              <w:numPr>
                <w:ilvl w:val="0"/>
                <w:numId w:val="0"/>
              </w:numPr>
              <w:suppressLineNumbers w:val="0"/>
              <w:spacing w:before="0" w:beforeAutospacing="0" w:after="0" w:afterAutospacing="0" w:line="360" w:lineRule="auto"/>
              <w:ind w:left="0" w:right="0" w:firstLine="480" w:firstLineChars="200"/>
              <w:jc w:val="both"/>
              <w:textAlignment w:val="auto"/>
              <w:rPr>
                <w:rFonts w:hint="default"/>
              </w:rPr>
            </w:pPr>
            <w:r>
              <w:rPr>
                <w:rFonts w:hint="default"/>
              </w:rPr>
              <w:t>油烟废气是指食物烹饪、油炸加工过程中挥发的油脂、有机质及热分解或裂解产生的废气。油烟废气中含有的油脂、蛋白质在受热条件下进行物理化学反应而产生的有机烟气，也有加热操作过程的液滴裂、油料和物料分解、氧化、聚合产生的高分子化合物，存在的状态既有悬浮颗粒物又有气态有机污染物，所以油烟含有气、液、固三态污染物。</w:t>
            </w:r>
            <w:r>
              <w:rPr>
                <w:rFonts w:hint="default"/>
                <w:lang w:val="en-US" w:eastAsia="zh-CN"/>
              </w:rPr>
              <w:t>植物</w:t>
            </w:r>
            <w:r>
              <w:rPr>
                <w:rFonts w:hint="default"/>
              </w:rPr>
              <w:t>油的沸点比较复杂</w:t>
            </w:r>
            <w:r>
              <w:rPr>
                <w:rFonts w:hint="default"/>
                <w:lang w:eastAsia="zh-CN"/>
              </w:rPr>
              <w:t>，</w:t>
            </w:r>
            <w:r>
              <w:rPr>
                <w:rFonts w:hint="default"/>
              </w:rPr>
              <w:t>主要成分沸点约为300℃</w:t>
            </w:r>
            <w:r>
              <w:rPr>
                <w:rFonts w:hint="default"/>
                <w:lang w:eastAsia="zh-CN"/>
              </w:rPr>
              <w:t>，</w:t>
            </w:r>
            <w:r>
              <w:rPr>
                <w:rFonts w:hint="default"/>
                <w:lang w:val="en-US" w:eastAsia="zh-CN"/>
              </w:rPr>
              <w:t>一</w:t>
            </w:r>
            <w:r>
              <w:rPr>
                <w:rFonts w:hint="default"/>
              </w:rPr>
              <w:t>般将油加热至50-100℃时，油面有轻微热气上升，所含低沸点成分和水分首先汽化，温度上升至100-270℃时较高沸点成份开始汽化，开始形成可见的油烟，主要是由直径约10um以上的小油滴组成，温度大于270℃时，高沸点的食用油成份开始汽化，形成大量的</w:t>
            </w:r>
            <w:r>
              <w:rPr>
                <w:rFonts w:hint="eastAsia"/>
                <w:lang w:eastAsia="zh-CN"/>
              </w:rPr>
              <w:t>“</w:t>
            </w:r>
            <w:r>
              <w:rPr>
                <w:rFonts w:hint="default"/>
              </w:rPr>
              <w:t>青烟</w:t>
            </w:r>
            <w:r>
              <w:rPr>
                <w:rFonts w:hint="eastAsia"/>
                <w:lang w:eastAsia="zh-CN"/>
              </w:rPr>
              <w:t>”</w:t>
            </w:r>
            <w:r>
              <w:rPr>
                <w:rFonts w:hint="default"/>
              </w:rPr>
              <w:t>，主要成分是由直径范围为3-10um不为肉眼所见的微油滴组成。</w:t>
            </w:r>
          </w:p>
          <w:p w14:paraId="465D53EC">
            <w:pPr>
              <w:pStyle w:val="8"/>
              <w:keepNext w:val="0"/>
              <w:keepLines w:val="0"/>
              <w:widowControl w:val="0"/>
              <w:numPr>
                <w:ilvl w:val="0"/>
                <w:numId w:val="0"/>
              </w:numPr>
              <w:suppressLineNumbers w:val="0"/>
              <w:spacing w:before="0" w:beforeAutospacing="0" w:after="0" w:afterAutospacing="0" w:line="360" w:lineRule="auto"/>
              <w:ind w:left="0" w:right="0" w:firstLine="480" w:firstLineChars="200"/>
              <w:jc w:val="both"/>
              <w:textAlignment w:val="auto"/>
              <w:rPr>
                <w:rFonts w:hint="default" w:eastAsia="宋体"/>
                <w:lang w:val="en-US" w:eastAsia="zh-CN"/>
              </w:rPr>
            </w:pPr>
            <w:r>
              <w:rPr>
                <w:rFonts w:hint="default"/>
                <w:lang w:val="en-US" w:eastAsia="zh-CN"/>
              </w:rPr>
              <w:t>本项目膨化温度为120℃，在密闭膨化机中进行，膨化机出口处设有模具孔，膨化后的产品从模具孔中挤出，因此膨化过程产生的油烟废气量极少，车间内无组织排放。本项目米果及泡芙烘烤工序使用烤箱加热，温度为65-70℃；薄饼烘烤工序使用虾片机加热，温度为100℃，且薄饼生产过程使用的植物油用量较少，低于100℃仅少部分低沸点成分和水分汽化，因此烘烤过程产生的油烟废气量很少，车间内无组织排放。综上分析，本项目生产过程中油烟废气的产生及排放情况仅作定性分析。</w:t>
            </w:r>
          </w:p>
          <w:p w14:paraId="3E4C605D">
            <w:pPr>
              <w:pStyle w:val="8"/>
              <w:keepNext w:val="0"/>
              <w:keepLines w:val="0"/>
              <w:widowControl w:val="0"/>
              <w:numPr>
                <w:ilvl w:val="0"/>
                <w:numId w:val="0"/>
              </w:numPr>
              <w:suppressLineNumbers w:val="0"/>
              <w:spacing w:before="0" w:beforeAutospacing="0" w:after="0" w:afterAutospacing="0" w:line="360" w:lineRule="auto"/>
              <w:ind w:left="0" w:right="0" w:firstLine="480" w:firstLineChars="200"/>
              <w:jc w:val="both"/>
              <w:textAlignment w:val="auto"/>
              <w:rPr>
                <w:rFonts w:hint="default"/>
                <w:lang w:val="en-US" w:eastAsia="zh-CN"/>
              </w:rPr>
            </w:pPr>
            <w:r>
              <w:rPr>
                <w:rFonts w:hint="eastAsia"/>
                <w:lang w:val="en-US" w:eastAsia="zh-CN"/>
              </w:rPr>
              <w:t>（3）泡芙调味过程产生的油雾废气</w:t>
            </w:r>
          </w:p>
          <w:p w14:paraId="496DFC32">
            <w:pPr>
              <w:pStyle w:val="8"/>
              <w:keepNext w:val="0"/>
              <w:keepLines w:val="0"/>
              <w:widowControl w:val="0"/>
              <w:numPr>
                <w:ilvl w:val="0"/>
                <w:numId w:val="0"/>
              </w:numPr>
              <w:suppressLineNumbers w:val="0"/>
              <w:spacing w:before="0" w:beforeAutospacing="0" w:after="0" w:afterAutospacing="0" w:line="360" w:lineRule="auto"/>
              <w:ind w:left="0" w:right="0" w:firstLine="480" w:firstLineChars="200"/>
              <w:jc w:val="both"/>
              <w:textAlignment w:val="auto"/>
              <w:rPr>
                <w:rFonts w:hint="default"/>
                <w:lang w:val="en-US" w:eastAsia="zh-CN"/>
              </w:rPr>
            </w:pPr>
            <w:r>
              <w:rPr>
                <w:rFonts w:hint="eastAsia"/>
                <w:lang w:val="en-US" w:eastAsia="zh-CN"/>
              </w:rPr>
              <w:t>本项目需在八角桶中通过人工喷洒植物油对泡芙进行调味，喷洒过程中会产生一定的油雾，由于植物油喷洒量较少，并且在密闭车间内进行，本项目生产过程中油雾废气的产生及排放情况仅作定性分析。</w:t>
            </w:r>
          </w:p>
          <w:p w14:paraId="020493D7">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outlineLvl w:val="9"/>
              <w:rPr>
                <w:rFonts w:hint="eastAsia"/>
                <w:color w:val="000000"/>
                <w:sz w:val="24"/>
                <w:szCs w:val="24"/>
                <w:lang w:val="en-US" w:eastAsia="zh-CN"/>
              </w:rPr>
            </w:pPr>
            <w:r>
              <w:rPr>
                <w:rFonts w:hint="eastAsia"/>
                <w:color w:val="000000"/>
                <w:sz w:val="24"/>
                <w:szCs w:val="24"/>
                <w:lang w:eastAsia="zh-CN"/>
              </w:rPr>
              <w:t>（</w:t>
            </w:r>
            <w:r>
              <w:rPr>
                <w:rFonts w:hint="eastAsia"/>
                <w:color w:val="000000"/>
                <w:sz w:val="24"/>
                <w:szCs w:val="24"/>
                <w:lang w:val="en-US" w:eastAsia="zh-CN"/>
              </w:rPr>
              <w:t>4）鱼虾清洗</w:t>
            </w:r>
            <w:r>
              <w:rPr>
                <w:rFonts w:hint="eastAsia"/>
                <w:lang w:val="en-US" w:eastAsia="zh-CN"/>
              </w:rPr>
              <w:t>及废水预处理环节</w:t>
            </w:r>
            <w:r>
              <w:rPr>
                <w:rFonts w:hint="eastAsia"/>
                <w:color w:val="000000"/>
                <w:sz w:val="24"/>
                <w:szCs w:val="24"/>
                <w:lang w:val="en-US" w:eastAsia="zh-CN"/>
              </w:rPr>
              <w:t>产生的恶臭</w:t>
            </w:r>
          </w:p>
          <w:p w14:paraId="4E4B0A6E">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outlineLvl w:val="9"/>
              <w:rPr>
                <w:rFonts w:hint="default" w:eastAsia="宋体"/>
                <w:szCs w:val="24"/>
                <w:lang w:val="en-US" w:eastAsia="zh-CN"/>
              </w:rPr>
            </w:pPr>
            <w:r>
              <w:rPr>
                <w:rFonts w:hint="eastAsia"/>
                <w:szCs w:val="24"/>
                <w:lang w:val="en-US" w:eastAsia="zh-CN"/>
              </w:rPr>
              <w:t>①</w:t>
            </w:r>
            <w:r>
              <w:rPr>
                <w:rFonts w:hint="default"/>
                <w:szCs w:val="24"/>
              </w:rPr>
              <w:t>鱼虾清洗产生</w:t>
            </w:r>
            <w:r>
              <w:rPr>
                <w:rFonts w:hint="eastAsia"/>
                <w:szCs w:val="24"/>
                <w:lang w:eastAsia="zh-CN"/>
              </w:rPr>
              <w:t>的</w:t>
            </w:r>
            <w:r>
              <w:rPr>
                <w:rFonts w:hint="eastAsia"/>
                <w:szCs w:val="24"/>
                <w:lang w:val="en-US" w:eastAsia="zh-CN"/>
              </w:rPr>
              <w:t>恶臭</w:t>
            </w:r>
          </w:p>
          <w:p w14:paraId="29AFCD15">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outlineLvl w:val="9"/>
              <w:rPr>
                <w:rFonts w:hint="eastAsia"/>
                <w:szCs w:val="24"/>
                <w:lang w:val="en-US" w:eastAsia="zh-CN"/>
              </w:rPr>
            </w:pPr>
            <w:r>
              <w:rPr>
                <w:rFonts w:hint="default"/>
                <w:szCs w:val="24"/>
              </w:rPr>
              <w:t>鱼虾清洗产生主要污染物为臭气浓度、氨、硫化氢。由于生产过程中用到的鱼、虾较少，恶臭产生浓度较低，定期在食品加工车间周围喷洒微生物除臭剂，加强车间通风</w:t>
            </w:r>
            <w:r>
              <w:rPr>
                <w:rFonts w:hint="eastAsia"/>
                <w:szCs w:val="24"/>
                <w:lang w:eastAsia="zh-CN"/>
              </w:rPr>
              <w:t>，</w:t>
            </w:r>
            <w:r>
              <w:rPr>
                <w:rFonts w:hint="eastAsia"/>
                <w:szCs w:val="24"/>
                <w:lang w:val="en-US" w:eastAsia="zh-CN"/>
              </w:rPr>
              <w:t>可进一步降低恶臭污染物的排放，本项目鱼、虾清洗过程中恶臭的产生及排放情况仅作定性分析。</w:t>
            </w:r>
          </w:p>
          <w:p w14:paraId="187B2272">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outlineLvl w:val="9"/>
              <w:rPr>
                <w:rFonts w:hint="eastAsia"/>
                <w:szCs w:val="24"/>
                <w:lang w:val="en-US" w:eastAsia="zh-CN"/>
              </w:rPr>
            </w:pPr>
            <w:r>
              <w:rPr>
                <w:rFonts w:hint="eastAsia"/>
                <w:szCs w:val="24"/>
                <w:lang w:val="en-US" w:eastAsia="zh-CN"/>
              </w:rPr>
              <w:t>②废水预处理设施产生的恶臭</w:t>
            </w:r>
          </w:p>
          <w:p w14:paraId="4271FB24">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jc w:val="both"/>
              <w:outlineLvl w:val="9"/>
              <w:rPr>
                <w:rFonts w:hint="eastAsia"/>
                <w:lang w:eastAsia="zh-CN"/>
              </w:rPr>
            </w:pPr>
            <w:r>
              <w:rPr>
                <w:rFonts w:hint="eastAsia"/>
                <w:sz w:val="24"/>
                <w:lang w:val="en-US" w:eastAsia="zh-CN"/>
              </w:rPr>
              <w:t>本项目废水处理设施依托现有沉淀池，沉淀池</w:t>
            </w:r>
            <w:r>
              <w:rPr>
                <w:rFonts w:hint="eastAsia"/>
                <w:sz w:val="24"/>
              </w:rPr>
              <w:t>设密封盖板</w:t>
            </w:r>
            <w:r>
              <w:rPr>
                <w:rFonts w:hint="eastAsia"/>
                <w:sz w:val="24"/>
                <w:lang w:eastAsia="zh-CN"/>
              </w:rPr>
              <w:t>，</w:t>
            </w:r>
            <w:r>
              <w:rPr>
                <w:rFonts w:hint="eastAsia"/>
              </w:rPr>
              <w:t>本项目为食品加工企业</w:t>
            </w:r>
            <w:r>
              <w:rPr>
                <w:rFonts w:hint="eastAsia"/>
                <w:lang w:eastAsia="zh-CN"/>
              </w:rPr>
              <w:t>，</w:t>
            </w:r>
            <w:r>
              <w:rPr>
                <w:rFonts w:hint="eastAsia"/>
              </w:rPr>
              <w:t>仅食品清洗和设备清洗等环节产生废水，废水主要污染物浓度不高，生化性较好</w:t>
            </w:r>
            <w:r>
              <w:rPr>
                <w:rFonts w:hint="eastAsia"/>
                <w:lang w:eastAsia="zh-CN"/>
              </w:rPr>
              <w:t>，</w:t>
            </w:r>
            <w:r>
              <w:rPr>
                <w:rFonts w:hint="eastAsia"/>
                <w:lang w:val="en-US" w:eastAsia="zh-CN"/>
              </w:rPr>
              <w:t>恶臭产生浓度较低。</w:t>
            </w:r>
            <w:r>
              <w:rPr>
                <w:rFonts w:hint="eastAsia"/>
              </w:rPr>
              <w:t>根据美国EPA对污水处理设施恶臭污染物产生情况的研究，每处理1gBOD</w:t>
            </w:r>
            <w:r>
              <w:rPr>
                <w:rFonts w:hint="eastAsia"/>
                <w:vertAlign w:val="subscript"/>
              </w:rPr>
              <w:t>5</w:t>
            </w:r>
            <w:r>
              <w:rPr>
                <w:rFonts w:hint="eastAsia"/>
              </w:rPr>
              <w:t>，可产生0.0031gNH</w:t>
            </w:r>
            <w:r>
              <w:rPr>
                <w:rFonts w:hint="eastAsia"/>
                <w:vertAlign w:val="subscript"/>
              </w:rPr>
              <w:t>3</w:t>
            </w:r>
            <w:r>
              <w:rPr>
                <w:rFonts w:hint="eastAsia"/>
              </w:rPr>
              <w:t>和0.00012gH</w:t>
            </w:r>
            <w:r>
              <w:rPr>
                <w:rFonts w:hint="eastAsia"/>
                <w:vertAlign w:val="subscript"/>
              </w:rPr>
              <w:t>2</w:t>
            </w:r>
            <w:r>
              <w:rPr>
                <w:rFonts w:hint="eastAsia"/>
              </w:rPr>
              <w:t>S。本项目污水处理设施BOD</w:t>
            </w:r>
            <w:r>
              <w:rPr>
                <w:rFonts w:hint="eastAsia"/>
                <w:vertAlign w:val="subscript"/>
              </w:rPr>
              <w:t>5</w:t>
            </w:r>
            <w:r>
              <w:rPr>
                <w:rFonts w:hint="eastAsia"/>
              </w:rPr>
              <w:t>消减量为</w:t>
            </w:r>
            <w:r>
              <w:rPr>
                <w:rFonts w:hint="eastAsia"/>
                <w:lang w:val="en-US" w:eastAsia="zh-CN"/>
              </w:rPr>
              <w:t>0.047</w:t>
            </w:r>
            <w:r>
              <w:rPr>
                <w:rFonts w:hint="eastAsia"/>
              </w:rPr>
              <w:t>t/a，则本项目氨的产生量为0.</w:t>
            </w:r>
            <w:r>
              <w:rPr>
                <w:rFonts w:hint="eastAsia"/>
                <w:lang w:val="en-US" w:eastAsia="zh-CN"/>
              </w:rPr>
              <w:t>00015</w:t>
            </w:r>
            <w:r>
              <w:rPr>
                <w:rFonts w:hint="eastAsia"/>
              </w:rPr>
              <w:t>t/a，硫化氢的产生量为0.000</w:t>
            </w:r>
            <w:r>
              <w:rPr>
                <w:rFonts w:hint="eastAsia"/>
                <w:lang w:val="en-US" w:eastAsia="zh-CN"/>
              </w:rPr>
              <w:t>006</w:t>
            </w:r>
            <w:r>
              <w:rPr>
                <w:rFonts w:hint="eastAsia"/>
              </w:rPr>
              <w:t>t/a。恶臭气体产生量</w:t>
            </w:r>
            <w:r>
              <w:rPr>
                <w:rFonts w:hint="eastAsia"/>
                <w:lang w:val="en-US" w:eastAsia="zh-CN"/>
              </w:rPr>
              <w:t>很</w:t>
            </w:r>
            <w:r>
              <w:rPr>
                <w:rFonts w:hint="eastAsia"/>
              </w:rPr>
              <w:t>少，采取加盖后无组织排放，并定时投放除臭剂的治理措施</w:t>
            </w:r>
            <w:r>
              <w:rPr>
                <w:rFonts w:hint="eastAsia"/>
                <w:lang w:eastAsia="zh-CN"/>
              </w:rPr>
              <w:t>。</w:t>
            </w:r>
          </w:p>
          <w:p w14:paraId="5F6248E2">
            <w:pPr>
              <w:pStyle w:val="6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eastAsia"/>
                <w:b/>
                <w:bCs/>
                <w:color w:val="000000"/>
                <w:sz w:val="24"/>
                <w:szCs w:val="24"/>
              </w:rPr>
            </w:pPr>
            <w:r>
              <w:rPr>
                <w:rFonts w:hint="eastAsia"/>
                <w:b/>
                <w:bCs/>
                <w:color w:val="000000"/>
                <w:sz w:val="24"/>
                <w:szCs w:val="24"/>
              </w:rPr>
              <w:t>表4-</w:t>
            </w:r>
            <w:r>
              <w:rPr>
                <w:rFonts w:hint="eastAsia"/>
                <w:b/>
                <w:bCs/>
                <w:color w:val="000000"/>
                <w:sz w:val="24"/>
                <w:szCs w:val="24"/>
                <w:lang w:val="en-US" w:eastAsia="zh-CN"/>
              </w:rPr>
              <w:t>1</w:t>
            </w:r>
            <w:r>
              <w:rPr>
                <w:rFonts w:hint="eastAsia"/>
                <w:b/>
                <w:bCs/>
                <w:color w:val="000000"/>
                <w:sz w:val="24"/>
                <w:szCs w:val="24"/>
              </w:rPr>
              <w:t xml:space="preserve">  项目无组织废气产排情况</w:t>
            </w:r>
            <w:r>
              <w:rPr>
                <w:rFonts w:hint="eastAsia"/>
                <w:b/>
                <w:bCs/>
                <w:color w:val="000000"/>
                <w:sz w:val="24"/>
                <w:szCs w:val="24"/>
                <w:lang w:val="en-US" w:eastAsia="zh-CN"/>
              </w:rPr>
              <w:t>一览</w:t>
            </w:r>
            <w:r>
              <w:rPr>
                <w:rFonts w:hint="eastAsia"/>
                <w:b/>
                <w:bCs/>
                <w:color w:val="000000"/>
                <w:sz w:val="24"/>
                <w:szCs w:val="24"/>
              </w:rPr>
              <w:t>表</w:t>
            </w:r>
          </w:p>
          <w:tbl>
            <w:tblPr>
              <w:tblStyle w:val="28"/>
              <w:tblW w:w="4996" w:type="pct"/>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Layout w:type="autofit"/>
              <w:tblCellMar>
                <w:top w:w="0" w:type="dxa"/>
                <w:left w:w="85" w:type="dxa"/>
                <w:bottom w:w="0" w:type="dxa"/>
                <w:right w:w="85" w:type="dxa"/>
              </w:tblCellMar>
            </w:tblPr>
            <w:tblGrid>
              <w:gridCol w:w="1111"/>
              <w:gridCol w:w="957"/>
              <w:gridCol w:w="1119"/>
              <w:gridCol w:w="1385"/>
              <w:gridCol w:w="1124"/>
              <w:gridCol w:w="1124"/>
              <w:gridCol w:w="1124"/>
            </w:tblGrid>
            <w:tr w14:paraId="3CD9C2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85" w:type="dxa"/>
                  <w:bottom w:w="0" w:type="dxa"/>
                  <w:right w:w="85" w:type="dxa"/>
                </w:tblCellMar>
              </w:tblPrEx>
              <w:trPr>
                <w:trHeight w:val="340" w:hRule="atLeast"/>
              </w:trPr>
              <w:tc>
                <w:tcPr>
                  <w:tcW w:w="699" w:type="pct"/>
                  <w:tcBorders>
                    <w:tl2br w:val="nil"/>
                    <w:tr2bl w:val="nil"/>
                  </w:tcBorders>
                  <w:shd w:val="clear" w:color="auto" w:fill="auto"/>
                  <w:vAlign w:val="center"/>
                </w:tcPr>
                <w:p w14:paraId="2B5764A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污染源名称</w:t>
                  </w:r>
                </w:p>
              </w:tc>
              <w:tc>
                <w:tcPr>
                  <w:tcW w:w="602" w:type="pct"/>
                  <w:tcBorders>
                    <w:tl2br w:val="nil"/>
                    <w:tr2bl w:val="nil"/>
                  </w:tcBorders>
                  <w:shd w:val="clear" w:color="auto" w:fill="auto"/>
                  <w:vAlign w:val="center"/>
                </w:tcPr>
                <w:p w14:paraId="5454A08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污染物名称</w:t>
                  </w:r>
                </w:p>
              </w:tc>
              <w:tc>
                <w:tcPr>
                  <w:tcW w:w="704" w:type="pct"/>
                  <w:tcBorders>
                    <w:tl2br w:val="nil"/>
                    <w:tr2bl w:val="nil"/>
                  </w:tcBorders>
                  <w:shd w:val="clear" w:color="auto" w:fill="auto"/>
                  <w:vAlign w:val="center"/>
                </w:tcPr>
                <w:p w14:paraId="7E07517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污染物产生量（</w:t>
                  </w:r>
                  <w:r>
                    <w:rPr>
                      <w:rFonts w:hint="default" w:ascii="Times New Roman" w:hAnsi="Times New Roman" w:eastAsia="宋体" w:cs="Times New Roman"/>
                      <w:b/>
                      <w:bCs w:val="0"/>
                      <w:color w:val="000000"/>
                      <w:kern w:val="2"/>
                      <w:sz w:val="21"/>
                      <w:szCs w:val="21"/>
                      <w:lang w:val="en-US" w:eastAsia="zh-CN" w:bidi="ar"/>
                    </w:rPr>
                    <w:t>t/a</w:t>
                  </w:r>
                  <w:r>
                    <w:rPr>
                      <w:rFonts w:hint="eastAsia" w:ascii="宋体" w:hAnsi="宋体" w:eastAsia="宋体" w:cs="宋体"/>
                      <w:b/>
                      <w:bCs w:val="0"/>
                      <w:color w:val="000000"/>
                      <w:kern w:val="2"/>
                      <w:sz w:val="21"/>
                      <w:szCs w:val="21"/>
                      <w:lang w:val="en-US" w:eastAsia="zh-CN" w:bidi="ar"/>
                    </w:rPr>
                    <w:t>）</w:t>
                  </w:r>
                </w:p>
              </w:tc>
              <w:tc>
                <w:tcPr>
                  <w:tcW w:w="871" w:type="pct"/>
                  <w:tcBorders>
                    <w:tl2br w:val="nil"/>
                    <w:tr2bl w:val="nil"/>
                  </w:tcBorders>
                  <w:shd w:val="clear" w:color="auto" w:fill="auto"/>
                  <w:vAlign w:val="center"/>
                </w:tcPr>
                <w:p w14:paraId="6BB048B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污染物排放量（</w:t>
                  </w:r>
                  <w:r>
                    <w:rPr>
                      <w:rFonts w:hint="default" w:ascii="Times New Roman" w:hAnsi="Times New Roman" w:eastAsia="宋体" w:cs="Times New Roman"/>
                      <w:b/>
                      <w:bCs w:val="0"/>
                      <w:color w:val="000000"/>
                      <w:kern w:val="2"/>
                      <w:sz w:val="21"/>
                      <w:szCs w:val="21"/>
                      <w:lang w:val="en-US" w:eastAsia="zh-CN" w:bidi="ar"/>
                    </w:rPr>
                    <w:t>t/a</w:t>
                  </w:r>
                  <w:r>
                    <w:rPr>
                      <w:rFonts w:hint="eastAsia" w:ascii="宋体" w:hAnsi="宋体" w:eastAsia="宋体" w:cs="宋体"/>
                      <w:b/>
                      <w:bCs w:val="0"/>
                      <w:color w:val="000000"/>
                      <w:kern w:val="2"/>
                      <w:sz w:val="21"/>
                      <w:szCs w:val="21"/>
                      <w:lang w:val="en-US" w:eastAsia="zh-CN" w:bidi="ar"/>
                    </w:rPr>
                    <w:t>）</w:t>
                  </w:r>
                </w:p>
              </w:tc>
              <w:tc>
                <w:tcPr>
                  <w:tcW w:w="707" w:type="pct"/>
                  <w:tcBorders>
                    <w:tl2br w:val="nil"/>
                    <w:tr2bl w:val="nil"/>
                  </w:tcBorders>
                  <w:shd w:val="clear" w:color="auto" w:fill="auto"/>
                  <w:vAlign w:val="center"/>
                </w:tcPr>
                <w:p w14:paraId="6A76E06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面源长度（</w:t>
                  </w:r>
                  <w:r>
                    <w:rPr>
                      <w:rFonts w:hint="default" w:ascii="Times New Roman" w:hAnsi="Times New Roman" w:eastAsia="宋体" w:cs="Times New Roman"/>
                      <w:b/>
                      <w:bCs w:val="0"/>
                      <w:color w:val="000000"/>
                      <w:kern w:val="2"/>
                      <w:sz w:val="21"/>
                      <w:szCs w:val="21"/>
                      <w:lang w:val="en-US" w:eastAsia="zh-CN" w:bidi="ar"/>
                    </w:rPr>
                    <w:t>m</w:t>
                  </w:r>
                  <w:r>
                    <w:rPr>
                      <w:rFonts w:hint="eastAsia" w:ascii="宋体" w:hAnsi="宋体" w:eastAsia="宋体" w:cs="宋体"/>
                      <w:b/>
                      <w:bCs w:val="0"/>
                      <w:color w:val="000000"/>
                      <w:kern w:val="2"/>
                      <w:sz w:val="21"/>
                      <w:szCs w:val="21"/>
                      <w:lang w:val="en-US" w:eastAsia="zh-CN" w:bidi="ar"/>
                    </w:rPr>
                    <w:t>）</w:t>
                  </w:r>
                </w:p>
              </w:tc>
              <w:tc>
                <w:tcPr>
                  <w:tcW w:w="707" w:type="pct"/>
                  <w:tcBorders>
                    <w:tl2br w:val="nil"/>
                    <w:tr2bl w:val="nil"/>
                  </w:tcBorders>
                  <w:shd w:val="clear" w:color="auto" w:fill="auto"/>
                  <w:vAlign w:val="center"/>
                </w:tcPr>
                <w:p w14:paraId="265AC84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面源宽度（</w:t>
                  </w:r>
                  <w:r>
                    <w:rPr>
                      <w:rFonts w:hint="default" w:ascii="Times New Roman" w:hAnsi="Times New Roman" w:eastAsia="宋体" w:cs="Times New Roman"/>
                      <w:b/>
                      <w:bCs w:val="0"/>
                      <w:color w:val="000000"/>
                      <w:kern w:val="2"/>
                      <w:sz w:val="21"/>
                      <w:szCs w:val="21"/>
                      <w:lang w:val="en-US" w:eastAsia="zh-CN" w:bidi="ar"/>
                    </w:rPr>
                    <w:t>m</w:t>
                  </w:r>
                  <w:r>
                    <w:rPr>
                      <w:rFonts w:hint="eastAsia" w:ascii="宋体" w:hAnsi="宋体" w:eastAsia="宋体" w:cs="宋体"/>
                      <w:b/>
                      <w:bCs w:val="0"/>
                      <w:color w:val="000000"/>
                      <w:kern w:val="2"/>
                      <w:sz w:val="21"/>
                      <w:szCs w:val="21"/>
                      <w:lang w:val="en-US" w:eastAsia="zh-CN" w:bidi="ar"/>
                    </w:rPr>
                    <w:t>）</w:t>
                  </w:r>
                </w:p>
              </w:tc>
              <w:tc>
                <w:tcPr>
                  <w:tcW w:w="707" w:type="pct"/>
                  <w:tcBorders>
                    <w:tl2br w:val="nil"/>
                    <w:tr2bl w:val="nil"/>
                  </w:tcBorders>
                  <w:shd w:val="clear" w:color="auto" w:fill="auto"/>
                  <w:vAlign w:val="center"/>
                </w:tcPr>
                <w:p w14:paraId="1454B67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面源高度（</w:t>
                  </w:r>
                  <w:r>
                    <w:rPr>
                      <w:rFonts w:hint="default" w:ascii="Times New Roman" w:hAnsi="Times New Roman" w:eastAsia="宋体" w:cs="Times New Roman"/>
                      <w:b/>
                      <w:bCs w:val="0"/>
                      <w:color w:val="000000"/>
                      <w:kern w:val="2"/>
                      <w:sz w:val="21"/>
                      <w:szCs w:val="21"/>
                      <w:lang w:val="en-US" w:eastAsia="zh-CN" w:bidi="ar"/>
                    </w:rPr>
                    <w:t>m</w:t>
                  </w:r>
                  <w:r>
                    <w:rPr>
                      <w:rFonts w:hint="eastAsia" w:ascii="宋体" w:hAnsi="宋体" w:eastAsia="宋体" w:cs="宋体"/>
                      <w:b/>
                      <w:bCs w:val="0"/>
                      <w:color w:val="000000"/>
                      <w:kern w:val="2"/>
                      <w:sz w:val="21"/>
                      <w:szCs w:val="21"/>
                      <w:lang w:val="en-US" w:eastAsia="zh-CN" w:bidi="ar"/>
                    </w:rPr>
                    <w:t>）</w:t>
                  </w:r>
                </w:p>
              </w:tc>
            </w:tr>
            <w:tr w14:paraId="3BAC38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85" w:type="dxa"/>
                  <w:bottom w:w="0" w:type="dxa"/>
                  <w:right w:w="85" w:type="dxa"/>
                </w:tblCellMar>
              </w:tblPrEx>
              <w:trPr>
                <w:trHeight w:val="340" w:hRule="atLeast"/>
              </w:trPr>
              <w:tc>
                <w:tcPr>
                  <w:tcW w:w="699" w:type="pct"/>
                  <w:tcBorders>
                    <w:tl2br w:val="nil"/>
                    <w:tr2bl w:val="nil"/>
                  </w:tcBorders>
                  <w:shd w:val="clear" w:color="auto" w:fill="auto"/>
                  <w:vAlign w:val="center"/>
                </w:tcPr>
                <w:p w14:paraId="44EBC3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磨粉间</w:t>
                  </w:r>
                </w:p>
              </w:tc>
              <w:tc>
                <w:tcPr>
                  <w:tcW w:w="602" w:type="pct"/>
                  <w:tcBorders>
                    <w:tl2br w:val="nil"/>
                    <w:tr2bl w:val="nil"/>
                  </w:tcBorders>
                  <w:shd w:val="clear" w:color="auto" w:fill="auto"/>
                  <w:vAlign w:val="center"/>
                </w:tcPr>
                <w:p w14:paraId="040B80D3">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颗粒物</w:t>
                  </w:r>
                </w:p>
              </w:tc>
              <w:tc>
                <w:tcPr>
                  <w:tcW w:w="704" w:type="pct"/>
                  <w:tcBorders>
                    <w:tl2br w:val="nil"/>
                    <w:tr2bl w:val="nil"/>
                  </w:tcBorders>
                  <w:shd w:val="clear" w:color="auto" w:fill="auto"/>
                  <w:vAlign w:val="center"/>
                </w:tcPr>
                <w:p w14:paraId="266F5B47">
                  <w:pPr>
                    <w:keepNext w:val="0"/>
                    <w:keepLines w:val="0"/>
                    <w:widowControl/>
                    <w:suppressLineNumbers w:val="0"/>
                    <w:adjustRightInd w:val="0"/>
                    <w:snapToGrid w:val="0"/>
                    <w:spacing w:before="0" w:beforeAutospacing="0" w:after="0" w:afterAutospacing="0"/>
                    <w:ind w:left="0" w:right="0"/>
                    <w:jc w:val="center"/>
                    <w:rPr>
                      <w:rFonts w:hint="default" w:cs="Times New Roman"/>
                      <w:color w:val="000000"/>
                      <w:kern w:val="0"/>
                      <w:sz w:val="21"/>
                      <w:szCs w:val="21"/>
                      <w:lang w:val="en-US" w:eastAsia="zh-CN" w:bidi="ar"/>
                    </w:rPr>
                  </w:pPr>
                  <w:r>
                    <w:rPr>
                      <w:rFonts w:hint="eastAsia" w:cs="Times New Roman"/>
                      <w:color w:val="000000"/>
                      <w:kern w:val="0"/>
                      <w:sz w:val="21"/>
                      <w:szCs w:val="21"/>
                      <w:lang w:val="en-US" w:eastAsia="zh-CN" w:bidi="ar"/>
                    </w:rPr>
                    <w:t>0.054</w:t>
                  </w:r>
                </w:p>
              </w:tc>
              <w:tc>
                <w:tcPr>
                  <w:tcW w:w="871" w:type="pct"/>
                  <w:tcBorders>
                    <w:tl2br w:val="nil"/>
                    <w:tr2bl w:val="nil"/>
                  </w:tcBorders>
                  <w:shd w:val="clear" w:color="auto" w:fill="auto"/>
                  <w:vAlign w:val="center"/>
                </w:tcPr>
                <w:p w14:paraId="596407EF">
                  <w:pPr>
                    <w:keepNext w:val="0"/>
                    <w:keepLines w:val="0"/>
                    <w:widowControl/>
                    <w:suppressLineNumbers w:val="0"/>
                    <w:adjustRightInd w:val="0"/>
                    <w:snapToGrid w:val="0"/>
                    <w:spacing w:before="0" w:beforeAutospacing="0" w:after="0" w:afterAutospacing="0"/>
                    <w:ind w:left="0" w:right="0"/>
                    <w:jc w:val="center"/>
                    <w:rPr>
                      <w:rFonts w:hint="default" w:cs="Times New Roman"/>
                      <w:color w:val="000000"/>
                      <w:kern w:val="0"/>
                      <w:sz w:val="21"/>
                      <w:szCs w:val="21"/>
                      <w:lang w:val="en-US" w:eastAsia="zh-CN" w:bidi="ar"/>
                    </w:rPr>
                  </w:pPr>
                  <w:r>
                    <w:rPr>
                      <w:rFonts w:hint="eastAsia" w:cs="Times New Roman"/>
                      <w:color w:val="000000"/>
                      <w:kern w:val="0"/>
                      <w:sz w:val="21"/>
                      <w:szCs w:val="21"/>
                      <w:lang w:val="en-US" w:eastAsia="zh-CN" w:bidi="ar"/>
                    </w:rPr>
                    <w:t>0.0027</w:t>
                  </w:r>
                </w:p>
              </w:tc>
              <w:tc>
                <w:tcPr>
                  <w:tcW w:w="707" w:type="pct"/>
                  <w:tcBorders>
                    <w:tl2br w:val="nil"/>
                    <w:tr2bl w:val="nil"/>
                  </w:tcBorders>
                  <w:shd w:val="clear" w:color="auto" w:fill="auto"/>
                  <w:vAlign w:val="center"/>
                </w:tcPr>
                <w:p w14:paraId="374598C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12</w:t>
                  </w:r>
                </w:p>
              </w:tc>
              <w:tc>
                <w:tcPr>
                  <w:tcW w:w="707" w:type="pct"/>
                  <w:tcBorders>
                    <w:tl2br w:val="nil"/>
                    <w:tr2bl w:val="nil"/>
                  </w:tcBorders>
                  <w:shd w:val="clear" w:color="auto" w:fill="auto"/>
                  <w:vAlign w:val="center"/>
                </w:tcPr>
                <w:p w14:paraId="585EF2D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12</w:t>
                  </w:r>
                </w:p>
              </w:tc>
              <w:tc>
                <w:tcPr>
                  <w:tcW w:w="707" w:type="pct"/>
                  <w:tcBorders>
                    <w:tl2br w:val="nil"/>
                    <w:tr2bl w:val="nil"/>
                  </w:tcBorders>
                  <w:shd w:val="clear" w:color="auto" w:fill="auto"/>
                  <w:vAlign w:val="center"/>
                </w:tcPr>
                <w:p w14:paraId="0990E51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2.2</w:t>
                  </w:r>
                </w:p>
              </w:tc>
            </w:tr>
            <w:tr w14:paraId="080D82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85" w:type="dxa"/>
                  <w:bottom w:w="0" w:type="dxa"/>
                  <w:right w:w="85" w:type="dxa"/>
                </w:tblCellMar>
              </w:tblPrEx>
              <w:trPr>
                <w:trHeight w:val="340" w:hRule="atLeast"/>
              </w:trPr>
              <w:tc>
                <w:tcPr>
                  <w:tcW w:w="699" w:type="pct"/>
                  <w:tcBorders>
                    <w:tl2br w:val="nil"/>
                    <w:tr2bl w:val="nil"/>
                  </w:tcBorders>
                  <w:shd w:val="clear" w:color="auto" w:fill="auto"/>
                  <w:vAlign w:val="center"/>
                </w:tcPr>
                <w:p w14:paraId="2F94505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配料间</w:t>
                  </w:r>
                </w:p>
              </w:tc>
              <w:tc>
                <w:tcPr>
                  <w:tcW w:w="602" w:type="pct"/>
                  <w:tcBorders>
                    <w:tl2br w:val="nil"/>
                    <w:tr2bl w:val="nil"/>
                  </w:tcBorders>
                  <w:shd w:val="clear" w:color="auto" w:fill="auto"/>
                  <w:vAlign w:val="center"/>
                </w:tcPr>
                <w:p w14:paraId="1946E295">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bidi="ar"/>
                    </w:rPr>
                    <w:t>颗粒物</w:t>
                  </w:r>
                </w:p>
              </w:tc>
              <w:tc>
                <w:tcPr>
                  <w:tcW w:w="704" w:type="pct"/>
                  <w:tcBorders>
                    <w:tl2br w:val="nil"/>
                    <w:tr2bl w:val="nil"/>
                  </w:tcBorders>
                  <w:shd w:val="clear" w:color="auto" w:fill="auto"/>
                  <w:vAlign w:val="center"/>
                </w:tcPr>
                <w:p w14:paraId="79A1C5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lang w:val="en-US"/>
                    </w:rPr>
                  </w:pPr>
                  <w:r>
                    <w:rPr>
                      <w:rFonts w:hint="eastAsia" w:cs="Times New Roman"/>
                      <w:color w:val="000000"/>
                      <w:kern w:val="0"/>
                      <w:sz w:val="21"/>
                      <w:szCs w:val="21"/>
                      <w:lang w:val="en-US" w:eastAsia="zh-CN" w:bidi="ar"/>
                    </w:rPr>
                    <w:t>0.031</w:t>
                  </w:r>
                </w:p>
              </w:tc>
              <w:tc>
                <w:tcPr>
                  <w:tcW w:w="871" w:type="pct"/>
                  <w:tcBorders>
                    <w:tl2br w:val="nil"/>
                    <w:tr2bl w:val="nil"/>
                  </w:tcBorders>
                  <w:shd w:val="clear" w:color="auto" w:fill="auto"/>
                  <w:vAlign w:val="center"/>
                </w:tcPr>
                <w:p w14:paraId="5AFDEDA1">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color w:val="000000"/>
                      <w:kern w:val="0"/>
                      <w:sz w:val="21"/>
                      <w:szCs w:val="21"/>
                      <w:lang w:val="en-US"/>
                    </w:rPr>
                  </w:pPr>
                  <w:r>
                    <w:rPr>
                      <w:rFonts w:hint="eastAsia" w:cs="Times New Roman"/>
                      <w:color w:val="000000"/>
                      <w:kern w:val="0"/>
                      <w:sz w:val="21"/>
                      <w:szCs w:val="21"/>
                      <w:lang w:val="en-US" w:eastAsia="zh-CN" w:bidi="ar"/>
                    </w:rPr>
                    <w:t>0.0031</w:t>
                  </w:r>
                </w:p>
              </w:tc>
              <w:tc>
                <w:tcPr>
                  <w:tcW w:w="707" w:type="pct"/>
                  <w:tcBorders>
                    <w:tl2br w:val="nil"/>
                    <w:tr2bl w:val="nil"/>
                  </w:tcBorders>
                  <w:shd w:val="clear" w:color="auto" w:fill="auto"/>
                  <w:vAlign w:val="center"/>
                </w:tcPr>
                <w:p w14:paraId="0D5BDB0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bidi="ar"/>
                    </w:rPr>
                    <w:t>7</w:t>
                  </w:r>
                </w:p>
              </w:tc>
              <w:tc>
                <w:tcPr>
                  <w:tcW w:w="707" w:type="pct"/>
                  <w:tcBorders>
                    <w:tl2br w:val="nil"/>
                    <w:tr2bl w:val="nil"/>
                  </w:tcBorders>
                  <w:shd w:val="clear" w:color="auto" w:fill="auto"/>
                  <w:vAlign w:val="center"/>
                </w:tcPr>
                <w:p w14:paraId="3A852E8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bidi="ar"/>
                    </w:rPr>
                    <w:t>6</w:t>
                  </w:r>
                </w:p>
              </w:tc>
              <w:tc>
                <w:tcPr>
                  <w:tcW w:w="707" w:type="pct"/>
                  <w:tcBorders>
                    <w:tl2br w:val="nil"/>
                    <w:tr2bl w:val="nil"/>
                  </w:tcBorders>
                  <w:shd w:val="clear" w:color="auto" w:fill="auto"/>
                  <w:vAlign w:val="center"/>
                </w:tcPr>
                <w:p w14:paraId="096D24AC">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color w:val="000000"/>
                      <w:kern w:val="0"/>
                      <w:sz w:val="21"/>
                      <w:szCs w:val="21"/>
                    </w:rPr>
                  </w:pPr>
                  <w:r>
                    <w:rPr>
                      <w:rFonts w:hint="default" w:ascii="Times New Roman" w:hAnsi="Times New Roman" w:eastAsia="宋体" w:cs="Times New Roman"/>
                      <w:color w:val="000000"/>
                      <w:kern w:val="0"/>
                      <w:sz w:val="21"/>
                      <w:szCs w:val="21"/>
                      <w:lang w:val="en-US" w:eastAsia="zh-CN"/>
                    </w:rPr>
                    <w:t>2.2</w:t>
                  </w:r>
                </w:p>
              </w:tc>
            </w:tr>
            <w:tr w14:paraId="3E309B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40" w:hRule="atLeast"/>
              </w:trPr>
              <w:tc>
                <w:tcPr>
                  <w:tcW w:w="699" w:type="pct"/>
                  <w:vMerge w:val="restart"/>
                  <w:tcBorders>
                    <w:tl2br w:val="nil"/>
                    <w:tr2bl w:val="nil"/>
                  </w:tcBorders>
                  <w:shd w:val="clear" w:color="auto" w:fill="auto"/>
                  <w:vAlign w:val="center"/>
                </w:tcPr>
                <w:p w14:paraId="66FFB9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厂区</w:t>
                  </w:r>
                </w:p>
              </w:tc>
              <w:tc>
                <w:tcPr>
                  <w:tcW w:w="602" w:type="pct"/>
                  <w:tcBorders>
                    <w:tl2br w:val="nil"/>
                    <w:tr2bl w:val="nil"/>
                  </w:tcBorders>
                  <w:shd w:val="clear" w:color="auto" w:fill="auto"/>
                  <w:vAlign w:val="center"/>
                </w:tcPr>
                <w:p w14:paraId="4A2CC345">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氨</w:t>
                  </w:r>
                </w:p>
              </w:tc>
              <w:tc>
                <w:tcPr>
                  <w:tcW w:w="704" w:type="pct"/>
                  <w:tcBorders>
                    <w:tl2br w:val="nil"/>
                    <w:tr2bl w:val="nil"/>
                  </w:tcBorders>
                  <w:shd w:val="clear" w:color="auto" w:fill="auto"/>
                  <w:vAlign w:val="center"/>
                </w:tcPr>
                <w:p w14:paraId="036E9452">
                  <w:pPr>
                    <w:keepNext w:val="0"/>
                    <w:keepLines w:val="0"/>
                    <w:widowControl/>
                    <w:suppressLineNumbers w:val="0"/>
                    <w:adjustRightInd w:val="0"/>
                    <w:snapToGrid w:val="0"/>
                    <w:spacing w:before="0" w:beforeAutospacing="0" w:after="0" w:afterAutospacing="0"/>
                    <w:ind w:left="0" w:right="0"/>
                    <w:jc w:val="center"/>
                    <w:rPr>
                      <w:rFonts w:hint="default" w:cs="Times New Roman"/>
                      <w:color w:val="000000"/>
                      <w:kern w:val="0"/>
                      <w:sz w:val="21"/>
                      <w:szCs w:val="21"/>
                      <w:lang w:val="en-US" w:eastAsia="zh-CN" w:bidi="ar"/>
                    </w:rPr>
                  </w:pPr>
                  <w:r>
                    <w:rPr>
                      <w:rFonts w:hint="eastAsia" w:cs="Times New Roman"/>
                      <w:color w:val="000000"/>
                      <w:kern w:val="0"/>
                      <w:sz w:val="21"/>
                      <w:szCs w:val="21"/>
                      <w:lang w:val="en-US" w:eastAsia="zh-CN" w:bidi="ar"/>
                    </w:rPr>
                    <w:t>0.00015</w:t>
                  </w:r>
                </w:p>
              </w:tc>
              <w:tc>
                <w:tcPr>
                  <w:tcW w:w="871" w:type="pct"/>
                  <w:tcBorders>
                    <w:tl2br w:val="nil"/>
                    <w:tr2bl w:val="nil"/>
                  </w:tcBorders>
                  <w:shd w:val="clear" w:color="auto" w:fill="auto"/>
                  <w:vAlign w:val="center"/>
                </w:tcPr>
                <w:p w14:paraId="110D0066">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0.00015</w:t>
                  </w:r>
                </w:p>
              </w:tc>
              <w:tc>
                <w:tcPr>
                  <w:tcW w:w="707" w:type="pct"/>
                  <w:vMerge w:val="restart"/>
                  <w:tcBorders>
                    <w:tl2br w:val="nil"/>
                    <w:tr2bl w:val="nil"/>
                  </w:tcBorders>
                  <w:shd w:val="clear" w:color="auto" w:fill="auto"/>
                  <w:vAlign w:val="center"/>
                </w:tcPr>
                <w:p w14:paraId="71E353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c>
                <w:tcPr>
                  <w:tcW w:w="707" w:type="pct"/>
                  <w:vMerge w:val="restart"/>
                  <w:tcBorders>
                    <w:tl2br w:val="nil"/>
                    <w:tr2bl w:val="nil"/>
                  </w:tcBorders>
                  <w:shd w:val="clear" w:color="auto" w:fill="auto"/>
                  <w:vAlign w:val="center"/>
                </w:tcPr>
                <w:p w14:paraId="015C8E7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c>
                <w:tcPr>
                  <w:tcW w:w="707" w:type="pct"/>
                  <w:vMerge w:val="restart"/>
                  <w:tcBorders>
                    <w:tl2br w:val="nil"/>
                    <w:tr2bl w:val="nil"/>
                  </w:tcBorders>
                  <w:shd w:val="clear" w:color="auto" w:fill="auto"/>
                  <w:vAlign w:val="center"/>
                </w:tcPr>
                <w:p w14:paraId="659CA0F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r>
            <w:tr w14:paraId="2D27CC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85" w:type="dxa"/>
                  <w:bottom w:w="0" w:type="dxa"/>
                  <w:right w:w="85" w:type="dxa"/>
                </w:tblCellMar>
              </w:tblPrEx>
              <w:trPr>
                <w:trHeight w:val="340" w:hRule="atLeast"/>
              </w:trPr>
              <w:tc>
                <w:tcPr>
                  <w:tcW w:w="699" w:type="pct"/>
                  <w:vMerge w:val="continue"/>
                  <w:tcBorders>
                    <w:tl2br w:val="nil"/>
                    <w:tr2bl w:val="nil"/>
                  </w:tcBorders>
                  <w:shd w:val="clear" w:color="auto" w:fill="auto"/>
                  <w:vAlign w:val="center"/>
                </w:tcPr>
                <w:p w14:paraId="6951297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0"/>
                      <w:sz w:val="21"/>
                      <w:szCs w:val="21"/>
                      <w:lang w:val="en-US" w:eastAsia="zh-CN"/>
                    </w:rPr>
                  </w:pPr>
                </w:p>
              </w:tc>
              <w:tc>
                <w:tcPr>
                  <w:tcW w:w="602" w:type="pct"/>
                  <w:tcBorders>
                    <w:tl2br w:val="nil"/>
                    <w:tr2bl w:val="nil"/>
                  </w:tcBorders>
                  <w:shd w:val="clear" w:color="auto" w:fill="auto"/>
                  <w:vAlign w:val="center"/>
                </w:tcPr>
                <w:p w14:paraId="68D108A7">
                  <w:pPr>
                    <w:keepNext w:val="0"/>
                    <w:keepLines w:val="0"/>
                    <w:widowControl/>
                    <w:suppressLineNumbers w:val="0"/>
                    <w:adjustRightInd w:val="0"/>
                    <w:snapToGrid w:val="0"/>
                    <w:spacing w:before="0" w:beforeAutospacing="0" w:after="0" w:afterAutospacing="0"/>
                    <w:ind w:left="0" w:right="0"/>
                    <w:jc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硫化氢</w:t>
                  </w:r>
                </w:p>
              </w:tc>
              <w:tc>
                <w:tcPr>
                  <w:tcW w:w="704" w:type="pct"/>
                  <w:tcBorders>
                    <w:tl2br w:val="nil"/>
                    <w:tr2bl w:val="nil"/>
                  </w:tcBorders>
                  <w:shd w:val="clear" w:color="auto" w:fill="auto"/>
                  <w:vAlign w:val="center"/>
                </w:tcPr>
                <w:p w14:paraId="29E167DA">
                  <w:pPr>
                    <w:keepNext w:val="0"/>
                    <w:keepLines w:val="0"/>
                    <w:widowControl/>
                    <w:suppressLineNumbers w:val="0"/>
                    <w:adjustRightInd w:val="0"/>
                    <w:snapToGrid w:val="0"/>
                    <w:spacing w:before="0" w:beforeAutospacing="0" w:after="0" w:afterAutospacing="0"/>
                    <w:ind w:left="0" w:right="0"/>
                    <w:jc w:val="center"/>
                    <w:rPr>
                      <w:rFonts w:hint="default" w:cs="Times New Roman"/>
                      <w:color w:val="000000"/>
                      <w:kern w:val="0"/>
                      <w:sz w:val="21"/>
                      <w:szCs w:val="21"/>
                      <w:lang w:val="en-US" w:eastAsia="zh-CN" w:bidi="ar"/>
                    </w:rPr>
                  </w:pPr>
                  <w:r>
                    <w:rPr>
                      <w:rFonts w:hint="eastAsia" w:cs="Times New Roman"/>
                      <w:color w:val="000000"/>
                      <w:kern w:val="0"/>
                      <w:sz w:val="21"/>
                      <w:szCs w:val="21"/>
                      <w:lang w:val="en-US" w:eastAsia="zh-CN" w:bidi="ar"/>
                    </w:rPr>
                    <w:t>0.000006</w:t>
                  </w:r>
                </w:p>
              </w:tc>
              <w:tc>
                <w:tcPr>
                  <w:tcW w:w="871" w:type="pct"/>
                  <w:tcBorders>
                    <w:tl2br w:val="nil"/>
                    <w:tr2bl w:val="nil"/>
                  </w:tcBorders>
                  <w:shd w:val="clear" w:color="auto" w:fill="auto"/>
                  <w:vAlign w:val="center"/>
                </w:tcPr>
                <w:p w14:paraId="129448CC">
                  <w:pPr>
                    <w:keepNext w:val="0"/>
                    <w:keepLines w:val="0"/>
                    <w:widowControl/>
                    <w:suppressLineNumbers w:val="0"/>
                    <w:adjustRightInd w:val="0"/>
                    <w:snapToGrid w:val="0"/>
                    <w:spacing w:before="0" w:beforeAutospacing="0" w:after="0" w:afterAutospacing="0"/>
                    <w:ind w:left="0" w:leftChars="0" w:right="0" w:rightChars="0"/>
                    <w:jc w:val="center"/>
                    <w:rPr>
                      <w:rFonts w:hint="eastAsia" w:cs="Times New Roman"/>
                      <w:color w:val="000000"/>
                      <w:kern w:val="0"/>
                      <w:sz w:val="21"/>
                      <w:szCs w:val="21"/>
                      <w:lang w:val="en-US" w:eastAsia="zh-CN" w:bidi="ar"/>
                    </w:rPr>
                  </w:pPr>
                  <w:r>
                    <w:rPr>
                      <w:rFonts w:hint="eastAsia" w:cs="Times New Roman"/>
                      <w:color w:val="000000"/>
                      <w:kern w:val="0"/>
                      <w:sz w:val="21"/>
                      <w:szCs w:val="21"/>
                      <w:lang w:val="en-US" w:eastAsia="zh-CN" w:bidi="ar"/>
                    </w:rPr>
                    <w:t>0.000006</w:t>
                  </w:r>
                </w:p>
              </w:tc>
              <w:tc>
                <w:tcPr>
                  <w:tcW w:w="707" w:type="pct"/>
                  <w:vMerge w:val="continue"/>
                  <w:tcBorders>
                    <w:tl2br w:val="nil"/>
                    <w:tr2bl w:val="nil"/>
                  </w:tcBorders>
                  <w:shd w:val="clear" w:color="auto" w:fill="auto"/>
                  <w:vAlign w:val="center"/>
                </w:tcPr>
                <w:p w14:paraId="7BEDE55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bidi="ar"/>
                    </w:rPr>
                  </w:pPr>
                </w:p>
              </w:tc>
              <w:tc>
                <w:tcPr>
                  <w:tcW w:w="707" w:type="pct"/>
                  <w:vMerge w:val="continue"/>
                  <w:tcBorders>
                    <w:tl2br w:val="nil"/>
                    <w:tr2bl w:val="nil"/>
                  </w:tcBorders>
                  <w:shd w:val="clear" w:color="auto" w:fill="auto"/>
                  <w:vAlign w:val="center"/>
                </w:tcPr>
                <w:p w14:paraId="12F57815">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bidi="ar"/>
                    </w:rPr>
                  </w:pPr>
                </w:p>
              </w:tc>
              <w:tc>
                <w:tcPr>
                  <w:tcW w:w="707" w:type="pct"/>
                  <w:vMerge w:val="continue"/>
                  <w:tcBorders>
                    <w:tl2br w:val="nil"/>
                    <w:tr2bl w:val="nil"/>
                  </w:tcBorders>
                  <w:shd w:val="clear" w:color="auto" w:fill="auto"/>
                  <w:vAlign w:val="center"/>
                </w:tcPr>
                <w:p w14:paraId="49C3C83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21"/>
                      <w:szCs w:val="21"/>
                      <w:lang w:val="en-US" w:eastAsia="zh-CN"/>
                    </w:rPr>
                  </w:pPr>
                </w:p>
              </w:tc>
            </w:tr>
          </w:tbl>
          <w:p w14:paraId="680BB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rPr>
              <w:t>1.</w:t>
            </w:r>
            <w:r>
              <w:rPr>
                <w:rFonts w:hint="eastAsia" w:cs="Times New Roman"/>
                <w:b/>
                <w:bCs/>
                <w:color w:val="auto"/>
                <w:sz w:val="24"/>
                <w:szCs w:val="24"/>
                <w:lang w:val="en-US" w:eastAsia="zh-CN"/>
              </w:rPr>
              <w:t>2</w:t>
            </w:r>
            <w:r>
              <w:rPr>
                <w:rFonts w:hint="eastAsia" w:ascii="Times New Roman" w:hAnsi="Times New Roman" w:cs="Times New Roman"/>
                <w:b/>
                <w:bCs/>
                <w:color w:val="auto"/>
                <w:sz w:val="24"/>
                <w:szCs w:val="24"/>
              </w:rPr>
              <w:t>可行性技术</w:t>
            </w:r>
            <w:r>
              <w:rPr>
                <w:rFonts w:hint="default" w:ascii="Times New Roman" w:hAnsi="Times New Roman" w:cs="Times New Roman"/>
                <w:b/>
                <w:bCs/>
                <w:color w:val="auto"/>
                <w:sz w:val="24"/>
                <w:szCs w:val="24"/>
              </w:rPr>
              <w:t>分析</w:t>
            </w:r>
          </w:p>
          <w:p w14:paraId="13ECF122">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eastAsia="宋体" w:cs="Times New Roman"/>
                <w:lang w:val="en-US" w:eastAsia="zh-CN"/>
              </w:rPr>
            </w:pPr>
            <w:r>
              <w:rPr>
                <w:rFonts w:hint="eastAsia" w:cs="Times New Roman"/>
                <w:color w:val="auto"/>
                <w:lang w:val="en-US" w:eastAsia="zh-CN"/>
              </w:rPr>
              <w:t>参照</w:t>
            </w:r>
            <w:r>
              <w:rPr>
                <w:rFonts w:hint="default"/>
                <w:color w:val="auto"/>
              </w:rPr>
              <w:t>《排污许可证申请与核发技术规范  食品制造业—方便食品、食品及饲料添加剂制造工业》（HJ 1030.3-2019）</w:t>
            </w:r>
            <w:r>
              <w:rPr>
                <w:rFonts w:hint="eastAsia"/>
                <w:color w:val="auto"/>
                <w:lang w:val="en-US" w:eastAsia="zh-CN"/>
              </w:rPr>
              <w:t>表3-1中无组织废气排放控制要求，</w:t>
            </w:r>
            <w:r>
              <w:rPr>
                <w:rFonts w:hint="default" w:ascii="Times New Roman" w:hAnsi="Times New Roman" w:eastAsia="宋体" w:cs="Times New Roman"/>
                <w:color w:val="auto"/>
              </w:rPr>
              <w:t>本项目</w:t>
            </w:r>
            <w:r>
              <w:rPr>
                <w:rFonts w:hint="eastAsia" w:cs="Times New Roman"/>
                <w:color w:val="auto"/>
                <w:lang w:val="en-US" w:eastAsia="zh-CN"/>
              </w:rPr>
              <w:t>粉碎粉尘经粉碎机自带的布袋除尘器（除尘效率按95%）处理后，在车间内无组织排放；配料粉尘采取配料间封闭（控尘效率90%）、定期清扫地面的措施。</w:t>
            </w:r>
          </w:p>
          <w:p w14:paraId="291BEAED">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bCs/>
                <w:lang w:eastAsia="zh-CN"/>
              </w:rPr>
            </w:pPr>
            <w:r>
              <w:rPr>
                <w:rFonts w:hint="eastAsia"/>
                <w:bCs/>
              </w:rPr>
              <w:t>污水处理</w:t>
            </w:r>
            <w:r>
              <w:rPr>
                <w:rFonts w:hint="eastAsia"/>
                <w:bCs/>
                <w:lang w:val="en-US" w:eastAsia="zh-CN"/>
              </w:rPr>
              <w:t>设施</w:t>
            </w:r>
            <w:r>
              <w:rPr>
                <w:rFonts w:hint="eastAsia"/>
                <w:bCs/>
              </w:rPr>
              <w:t>产生的废气</w:t>
            </w:r>
            <w:r>
              <w:rPr>
                <w:rFonts w:hint="default"/>
                <w:kern w:val="0"/>
              </w:rPr>
              <w:t>采用加盖板密闭、投加药剂处理恶臭气体，</w:t>
            </w:r>
            <w:r>
              <w:rPr>
                <w:rFonts w:hint="eastAsia"/>
                <w:kern w:val="0"/>
              </w:rPr>
              <w:t>满足</w:t>
            </w:r>
            <w:r>
              <w:rPr>
                <w:rFonts w:hint="default"/>
                <w:color w:val="auto"/>
              </w:rPr>
              <w:t>《排污许可证申请与核发技术规范</w:t>
            </w:r>
            <w:r>
              <w:rPr>
                <w:rFonts w:hint="eastAsia"/>
                <w:color w:val="auto"/>
              </w:rPr>
              <w:t xml:space="preserve"> </w:t>
            </w:r>
            <w:r>
              <w:rPr>
                <w:rFonts w:hint="default"/>
                <w:color w:val="auto"/>
              </w:rPr>
              <w:t>食品</w:t>
            </w:r>
            <w:r>
              <w:rPr>
                <w:rFonts w:hint="eastAsia"/>
                <w:color w:val="auto"/>
              </w:rPr>
              <w:t>制造</w:t>
            </w:r>
            <w:r>
              <w:rPr>
                <w:rFonts w:hint="default"/>
                <w:color w:val="auto"/>
              </w:rPr>
              <w:t>工业—</w:t>
            </w:r>
            <w:r>
              <w:rPr>
                <w:rFonts w:hint="eastAsia"/>
                <w:color w:val="auto"/>
              </w:rPr>
              <w:t>方便食品、食品及饲料添加剂制造工业</w:t>
            </w:r>
            <w:r>
              <w:rPr>
                <w:rFonts w:hint="default"/>
                <w:color w:val="auto"/>
              </w:rPr>
              <w:t>》（HJ</w:t>
            </w:r>
            <w:r>
              <w:rPr>
                <w:rFonts w:hint="eastAsia"/>
                <w:color w:val="auto"/>
              </w:rPr>
              <w:t>1030.3-2019</w:t>
            </w:r>
            <w:r>
              <w:rPr>
                <w:rFonts w:hint="default"/>
                <w:color w:val="auto"/>
              </w:rPr>
              <w:t>）</w:t>
            </w:r>
            <w:r>
              <w:rPr>
                <w:rFonts w:hint="default"/>
                <w:bCs/>
              </w:rPr>
              <w:t>中所列</w:t>
            </w:r>
            <w:r>
              <w:rPr>
                <w:rFonts w:hint="eastAsia"/>
                <w:bCs/>
              </w:rPr>
              <w:t>污水处理</w:t>
            </w:r>
            <w:r>
              <w:rPr>
                <w:rFonts w:hint="eastAsia"/>
                <w:bCs/>
                <w:lang w:val="en-US" w:eastAsia="zh-CN"/>
              </w:rPr>
              <w:t>设施</w:t>
            </w:r>
            <w:r>
              <w:rPr>
                <w:rFonts w:hint="eastAsia"/>
                <w:bCs/>
              </w:rPr>
              <w:t>恶臭气体</w:t>
            </w:r>
            <w:r>
              <w:rPr>
                <w:rFonts w:hint="default"/>
                <w:bCs/>
              </w:rPr>
              <w:t>污染防治可行技术</w:t>
            </w:r>
            <w:r>
              <w:rPr>
                <w:rFonts w:hint="eastAsia"/>
                <w:bCs/>
              </w:rPr>
              <w:t>要求</w:t>
            </w:r>
            <w:r>
              <w:rPr>
                <w:rFonts w:hint="eastAsia"/>
                <w:bCs/>
                <w:lang w:eastAsia="zh-CN"/>
              </w:rPr>
              <w:t>。</w:t>
            </w:r>
          </w:p>
          <w:p w14:paraId="57664159">
            <w:pPr>
              <w:pStyle w:val="5"/>
              <w:keepNext w:val="0"/>
              <w:keepLines w:val="0"/>
              <w:suppressLineNumbers w:val="0"/>
              <w:spacing w:before="0" w:beforeAutospacing="0" w:after="0" w:afterAutospacing="0" w:line="360" w:lineRule="auto"/>
              <w:ind w:left="0" w:right="0" w:firstLine="480"/>
              <w:rPr>
                <w:rFonts w:hint="eastAsia"/>
                <w:sz w:val="24"/>
              </w:rPr>
            </w:pPr>
            <w:r>
              <w:rPr>
                <w:rFonts w:hint="eastAsia"/>
                <w:sz w:val="24"/>
              </w:rPr>
              <w:t>本项目在采用国内先进成熟的生产工艺和设备的基础上，对生产过程中危险的部位采取可靠的防护措施，提高设备的自动化水平，加强管理，降低跑、冒、滴、漏等各种事故的发生。具体措施如下：</w:t>
            </w:r>
          </w:p>
          <w:p w14:paraId="3777BAA1">
            <w:pPr>
              <w:pStyle w:val="5"/>
              <w:keepNext w:val="0"/>
              <w:keepLines w:val="0"/>
              <w:suppressLineNumbers w:val="0"/>
              <w:spacing w:before="0" w:beforeAutospacing="0" w:after="0" w:afterAutospacing="0" w:line="360" w:lineRule="auto"/>
              <w:ind w:left="0" w:right="0" w:firstLine="480"/>
              <w:rPr>
                <w:rFonts w:hint="eastAsia"/>
                <w:sz w:val="24"/>
              </w:rPr>
            </w:pPr>
            <w:r>
              <w:rPr>
                <w:rFonts w:hint="eastAsia"/>
                <w:sz w:val="24"/>
              </w:rPr>
              <w:t>（1）采用密闭搅拌设备减少各敞口工艺过程中物料的无组织排放，</w:t>
            </w:r>
            <w:r>
              <w:rPr>
                <w:rFonts w:hint="eastAsia"/>
                <w:sz w:val="24"/>
                <w:lang w:val="en-US" w:eastAsia="zh-CN"/>
              </w:rPr>
              <w:t>配料</w:t>
            </w:r>
            <w:r>
              <w:rPr>
                <w:rFonts w:hint="eastAsia"/>
                <w:sz w:val="24"/>
              </w:rPr>
              <w:t>在独立</w:t>
            </w:r>
            <w:r>
              <w:rPr>
                <w:rFonts w:hint="eastAsia"/>
                <w:sz w:val="24"/>
                <w:lang w:val="en-US" w:eastAsia="zh-CN"/>
              </w:rPr>
              <w:t>封闭配料</w:t>
            </w:r>
            <w:r>
              <w:rPr>
                <w:rFonts w:hint="eastAsia"/>
                <w:sz w:val="24"/>
              </w:rPr>
              <w:t>间完成，无组织粉尘通过定期清扫、拖地、合理布局厂区绿化以减少粉尘对周围大气环境的影响。</w:t>
            </w:r>
          </w:p>
          <w:p w14:paraId="11EA09BC">
            <w:pPr>
              <w:pStyle w:val="5"/>
              <w:keepNext w:val="0"/>
              <w:keepLines w:val="0"/>
              <w:suppressLineNumbers w:val="0"/>
              <w:spacing w:before="0" w:beforeAutospacing="0" w:after="0" w:afterAutospacing="0" w:line="360" w:lineRule="auto"/>
              <w:ind w:left="0" w:right="0" w:firstLine="480"/>
              <w:rPr>
                <w:rFonts w:hint="eastAsia"/>
                <w:color w:val="000000"/>
                <w:sz w:val="24"/>
                <w:szCs w:val="24"/>
              </w:rPr>
            </w:pPr>
            <w:r>
              <w:rPr>
                <w:rFonts w:hint="eastAsia"/>
                <w:sz w:val="24"/>
              </w:rPr>
              <w:t>（</w:t>
            </w:r>
            <w:r>
              <w:rPr>
                <w:rFonts w:hint="eastAsia"/>
                <w:sz w:val="24"/>
                <w:lang w:val="en-US" w:eastAsia="zh-CN"/>
              </w:rPr>
              <w:t>2</w:t>
            </w:r>
            <w:r>
              <w:rPr>
                <w:rFonts w:hint="eastAsia"/>
                <w:sz w:val="24"/>
              </w:rPr>
              <w:t>）加强厂区内的生产组织和管理，污水处理</w:t>
            </w:r>
            <w:r>
              <w:rPr>
                <w:rFonts w:hint="eastAsia"/>
                <w:sz w:val="24"/>
                <w:lang w:val="en-US" w:eastAsia="zh-CN"/>
              </w:rPr>
              <w:t>设施</w:t>
            </w:r>
            <w:r>
              <w:rPr>
                <w:rFonts w:hint="eastAsia"/>
                <w:sz w:val="24"/>
              </w:rPr>
              <w:t>须做好</w:t>
            </w:r>
            <w:r>
              <w:rPr>
                <w:rFonts w:hint="eastAsia"/>
                <w:sz w:val="24"/>
                <w:lang w:eastAsia="zh-CN"/>
              </w:rPr>
              <w:t>密闭</w:t>
            </w:r>
            <w:r>
              <w:rPr>
                <w:rFonts w:hint="eastAsia"/>
                <w:sz w:val="24"/>
              </w:rPr>
              <w:t>处理，</w:t>
            </w:r>
            <w:r>
              <w:rPr>
                <w:rFonts w:hint="eastAsia"/>
                <w:sz w:val="24"/>
                <w:lang w:eastAsia="zh-CN"/>
              </w:rPr>
              <w:t>避免</w:t>
            </w:r>
            <w:r>
              <w:rPr>
                <w:rFonts w:hint="eastAsia"/>
                <w:sz w:val="24"/>
              </w:rPr>
              <w:t>臭气以无组织形式进入大气，避免臭气对周边居民点造成不利影响</w:t>
            </w:r>
            <w:r>
              <w:rPr>
                <w:rFonts w:hint="eastAsia"/>
                <w:color w:val="000000"/>
                <w:sz w:val="24"/>
                <w:szCs w:val="24"/>
              </w:rPr>
              <w:t>。</w:t>
            </w:r>
          </w:p>
          <w:p w14:paraId="54B57C86">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eastAsia="宋体" w:cs="Times New Roman"/>
                <w:lang w:val="en-US" w:eastAsia="zh-CN"/>
              </w:rPr>
            </w:pPr>
            <w:r>
              <w:rPr>
                <w:rFonts w:hint="default"/>
                <w:color w:val="000000"/>
                <w:sz w:val="24"/>
              </w:rPr>
              <w:t>通过采取以上措施，可以有效控制无组织废气的排放</w:t>
            </w:r>
            <w:r>
              <w:rPr>
                <w:rFonts w:hint="eastAsia"/>
                <w:color w:val="000000"/>
                <w:sz w:val="24"/>
                <w:lang w:eastAsia="zh-CN"/>
              </w:rPr>
              <w:t>，</w:t>
            </w:r>
            <w:r>
              <w:rPr>
                <w:rFonts w:hint="eastAsia"/>
                <w:color w:val="000000"/>
                <w:sz w:val="24"/>
                <w:lang w:val="en-US" w:eastAsia="zh-CN"/>
              </w:rPr>
              <w:t>无组织废气能够达标排放，</w:t>
            </w:r>
            <w:r>
              <w:rPr>
                <w:rFonts w:hint="eastAsia"/>
                <w:color w:val="auto"/>
              </w:rPr>
              <w:t>对周围环境影响较小</w:t>
            </w:r>
            <w:r>
              <w:rPr>
                <w:rFonts w:hint="eastAsia"/>
                <w:color w:val="auto"/>
                <w:lang w:eastAsia="zh-CN"/>
              </w:rPr>
              <w:t>。</w:t>
            </w:r>
          </w:p>
          <w:p w14:paraId="67616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rPr>
              <w:t>废气监测计划</w:t>
            </w:r>
          </w:p>
          <w:p w14:paraId="3CD1E8B0">
            <w:pPr>
              <w:keepNext w:val="0"/>
              <w:keepLines w:val="0"/>
              <w:suppressLineNumbers w:val="0"/>
              <w:tabs>
                <w:tab w:val="left" w:pos="1835"/>
              </w:tabs>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
                <w:bCs/>
                <w:color w:val="auto"/>
                <w:sz w:val="24"/>
                <w:szCs w:val="24"/>
              </w:rPr>
            </w:pPr>
            <w:r>
              <w:rPr>
                <w:rFonts w:hint="eastAsia" w:ascii="Times New Roman" w:hAnsi="Times New Roman" w:eastAsia="宋体" w:cs="Times New Roman"/>
                <w:color w:val="auto"/>
                <w:sz w:val="24"/>
                <w:szCs w:val="24"/>
              </w:rPr>
              <w:t>参照</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"http://www.mee.gov.cn/ywgz/fgbz/bz/bzwb/pwxk/202003/W020200304702000053087.pdf"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rPr>
              <w:t>排污单位自行监测技术指南 食品制造</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rPr>
              <w:t>HJ 1084-2020</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rPr>
              <w:fldChar w:fldCharType="end"/>
            </w:r>
            <w:r>
              <w:rPr>
                <w:rFonts w:hint="default" w:ascii="Times New Roman" w:hAnsi="Times New Roman" w:cs="Times New Roman"/>
                <w:sz w:val="24"/>
                <w:lang w:val="zh-CN"/>
              </w:rPr>
              <w:t>中</w:t>
            </w:r>
            <w:r>
              <w:rPr>
                <w:rFonts w:hint="default" w:ascii="Times New Roman" w:hAnsi="Times New Roman" w:cs="Times New Roman"/>
                <w:sz w:val="24"/>
              </w:rPr>
              <w:t>表</w:t>
            </w:r>
            <w:r>
              <w:rPr>
                <w:rFonts w:hint="eastAsia" w:ascii="Times New Roman" w:hAnsi="Times New Roman" w:cs="Times New Roman"/>
                <w:sz w:val="24"/>
                <w:lang w:val="en-US" w:eastAsia="zh-CN"/>
              </w:rPr>
              <w:t>3无组织废气</w:t>
            </w:r>
            <w:r>
              <w:rPr>
                <w:rFonts w:hint="default" w:ascii="Times New Roman" w:hAnsi="Times New Roman" w:cs="Times New Roman"/>
                <w:sz w:val="24"/>
              </w:rPr>
              <w:t>排放监测点位、监测指标及最低监测频次</w:t>
            </w:r>
            <w:r>
              <w:rPr>
                <w:rFonts w:hint="eastAsia" w:ascii="Times New Roman" w:hAnsi="Times New Roman" w:eastAsia="宋体" w:cs="Times New Roman"/>
                <w:color w:val="auto"/>
                <w:sz w:val="24"/>
                <w:szCs w:val="24"/>
              </w:rPr>
              <w:t>制定污染源监测计划。若企业不具备监测条件，可委托有资质的监测单位进行监测，监测结果以报表形式上报给当地环保主管部门。</w:t>
            </w:r>
          </w:p>
          <w:p w14:paraId="30E12A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rPr>
              <w:t>4-</w:t>
            </w:r>
            <w:r>
              <w:rPr>
                <w:rFonts w:hint="eastAsia" w:cs="Times New Roman"/>
                <w:b/>
                <w:bCs/>
                <w:color w:val="auto"/>
                <w:sz w:val="24"/>
                <w:szCs w:val="24"/>
                <w:lang w:val="en-US" w:eastAsia="zh-CN"/>
              </w:rPr>
              <w:t>2</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rPr>
              <w:t>建设项目污染源监测</w:t>
            </w:r>
            <w:r>
              <w:rPr>
                <w:rFonts w:hint="default" w:ascii="Times New Roman" w:hAnsi="Times New Roman" w:cs="Times New Roman"/>
                <w:b/>
                <w:bCs/>
                <w:color w:val="auto"/>
                <w:sz w:val="24"/>
                <w:szCs w:val="24"/>
              </w:rPr>
              <w:t>计划</w:t>
            </w:r>
            <w:r>
              <w:rPr>
                <w:rFonts w:hint="eastAsia" w:ascii="Times New Roman" w:hAnsi="Times New Roman" w:cs="Times New Roman"/>
                <w:b/>
                <w:bCs/>
                <w:color w:val="auto"/>
                <w:sz w:val="24"/>
                <w:szCs w:val="24"/>
              </w:rPr>
              <w:t>表</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708"/>
              <w:gridCol w:w="1022"/>
              <w:gridCol w:w="1067"/>
              <w:gridCol w:w="1105"/>
              <w:gridCol w:w="1239"/>
              <w:gridCol w:w="2806"/>
            </w:tblGrid>
            <w:tr w14:paraId="68F5416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45" w:type="pct"/>
                  <w:tcBorders>
                    <w:tl2br w:val="nil"/>
                    <w:tr2bl w:val="nil"/>
                  </w:tcBorders>
                  <w:noWrap w:val="0"/>
                  <w:vAlign w:val="center"/>
                </w:tcPr>
                <w:p w14:paraId="737377E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b/>
                      <w:bCs w:val="0"/>
                      <w:color w:val="auto"/>
                      <w:sz w:val="21"/>
                      <w:szCs w:val="21"/>
                      <w:lang w:eastAsia="zh-CN"/>
                    </w:rPr>
                  </w:pPr>
                  <w:r>
                    <w:rPr>
                      <w:rFonts w:hint="eastAsia" w:ascii="Times New Roman" w:hAnsi="Times New Roman" w:eastAsia="宋体" w:cs="Times New Roman"/>
                      <w:b/>
                      <w:bCs w:val="0"/>
                      <w:color w:val="auto"/>
                      <w:sz w:val="21"/>
                      <w:szCs w:val="21"/>
                      <w:lang w:val="en-US" w:eastAsia="zh-CN"/>
                    </w:rPr>
                    <w:t>类别</w:t>
                  </w:r>
                </w:p>
              </w:tc>
              <w:tc>
                <w:tcPr>
                  <w:tcW w:w="1314" w:type="pct"/>
                  <w:gridSpan w:val="2"/>
                  <w:tcBorders>
                    <w:tl2br w:val="nil"/>
                    <w:tr2bl w:val="nil"/>
                  </w:tcBorders>
                  <w:noWrap w:val="0"/>
                  <w:vAlign w:val="center"/>
                </w:tcPr>
                <w:p w14:paraId="7EF125B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color w:val="auto"/>
                      <w:sz w:val="21"/>
                      <w:szCs w:val="21"/>
                    </w:rPr>
                  </w:pPr>
                  <w:bookmarkStart w:id="15" w:name="_Toc9025"/>
                  <w:bookmarkStart w:id="16" w:name="_Toc5731"/>
                  <w:r>
                    <w:rPr>
                      <w:rFonts w:hint="default" w:ascii="Times New Roman" w:hAnsi="Times New Roman" w:eastAsia="宋体" w:cs="Times New Roman"/>
                      <w:b/>
                      <w:bCs w:val="0"/>
                      <w:color w:val="auto"/>
                      <w:sz w:val="21"/>
                      <w:szCs w:val="21"/>
                    </w:rPr>
                    <w:t>监测</w:t>
                  </w:r>
                  <w:bookmarkEnd w:id="15"/>
                  <w:r>
                    <w:rPr>
                      <w:rFonts w:hint="default" w:ascii="Times New Roman" w:hAnsi="Times New Roman" w:eastAsia="宋体" w:cs="Times New Roman"/>
                      <w:b/>
                      <w:bCs w:val="0"/>
                      <w:color w:val="auto"/>
                      <w:sz w:val="21"/>
                      <w:szCs w:val="21"/>
                    </w:rPr>
                    <w:t>因子</w:t>
                  </w:r>
                  <w:bookmarkEnd w:id="16"/>
                </w:p>
              </w:tc>
              <w:tc>
                <w:tcPr>
                  <w:tcW w:w="695" w:type="pct"/>
                  <w:tcBorders>
                    <w:tl2br w:val="nil"/>
                    <w:tr2bl w:val="nil"/>
                  </w:tcBorders>
                  <w:noWrap w:val="0"/>
                  <w:vAlign w:val="center"/>
                </w:tcPr>
                <w:p w14:paraId="5953B12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b/>
                      <w:bCs w:val="0"/>
                      <w:color w:val="auto"/>
                      <w:sz w:val="21"/>
                      <w:szCs w:val="21"/>
                      <w:lang w:val="en-US" w:eastAsia="zh-CN"/>
                    </w:rPr>
                  </w:pPr>
                  <w:bookmarkStart w:id="17" w:name="_Toc4664"/>
                  <w:bookmarkStart w:id="18" w:name="_Toc7594"/>
                  <w:r>
                    <w:rPr>
                      <w:rFonts w:hint="default" w:ascii="Times New Roman" w:hAnsi="Times New Roman" w:eastAsia="宋体" w:cs="Times New Roman"/>
                      <w:b/>
                      <w:bCs w:val="0"/>
                      <w:color w:val="auto"/>
                      <w:sz w:val="21"/>
                      <w:szCs w:val="21"/>
                    </w:rPr>
                    <w:t>监测</w:t>
                  </w:r>
                  <w:bookmarkEnd w:id="17"/>
                  <w:r>
                    <w:rPr>
                      <w:rFonts w:hint="eastAsia" w:ascii="Times New Roman" w:hAnsi="Times New Roman" w:eastAsia="宋体" w:cs="Times New Roman"/>
                      <w:b/>
                      <w:bCs w:val="0"/>
                      <w:color w:val="auto"/>
                      <w:sz w:val="21"/>
                      <w:szCs w:val="21"/>
                      <w:lang w:val="en-US" w:eastAsia="zh-CN"/>
                    </w:rPr>
                    <w:t>点位</w:t>
                  </w:r>
                </w:p>
                <w:bookmarkEnd w:id="18"/>
              </w:tc>
              <w:tc>
                <w:tcPr>
                  <w:tcW w:w="779" w:type="pct"/>
                  <w:tcBorders>
                    <w:tl2br w:val="nil"/>
                    <w:tr2bl w:val="nil"/>
                  </w:tcBorders>
                  <w:noWrap w:val="0"/>
                  <w:vAlign w:val="center"/>
                </w:tcPr>
                <w:p w14:paraId="78CE7AF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color w:val="auto"/>
                      <w:sz w:val="21"/>
                      <w:szCs w:val="21"/>
                    </w:rPr>
                  </w:pPr>
                  <w:bookmarkStart w:id="19" w:name="_Toc9227"/>
                  <w:r>
                    <w:rPr>
                      <w:rFonts w:hint="default" w:ascii="Times New Roman" w:hAnsi="Times New Roman" w:eastAsia="宋体" w:cs="Times New Roman"/>
                      <w:b/>
                      <w:bCs w:val="0"/>
                      <w:color w:val="auto"/>
                      <w:sz w:val="21"/>
                      <w:szCs w:val="21"/>
                    </w:rPr>
                    <w:t>监测频次</w:t>
                  </w:r>
                  <w:bookmarkEnd w:id="19"/>
                </w:p>
              </w:tc>
              <w:tc>
                <w:tcPr>
                  <w:tcW w:w="1765" w:type="pct"/>
                  <w:tcBorders>
                    <w:tl2br w:val="nil"/>
                    <w:tr2bl w:val="nil"/>
                  </w:tcBorders>
                  <w:noWrap w:val="0"/>
                  <w:vAlign w:val="center"/>
                </w:tcPr>
                <w:p w14:paraId="0540BD0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依据</w:t>
                  </w:r>
                </w:p>
              </w:tc>
            </w:tr>
            <w:tr w14:paraId="78563DC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45" w:type="pct"/>
                  <w:vMerge w:val="restart"/>
                  <w:tcBorders>
                    <w:tl2br w:val="nil"/>
                    <w:tr2bl w:val="nil"/>
                  </w:tcBorders>
                  <w:noWrap w:val="0"/>
                  <w:vAlign w:val="center"/>
                </w:tcPr>
                <w:p w14:paraId="1F10C3A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废气</w:t>
                  </w:r>
                </w:p>
              </w:tc>
              <w:tc>
                <w:tcPr>
                  <w:tcW w:w="643" w:type="pct"/>
                  <w:vMerge w:val="restart"/>
                  <w:tcBorders>
                    <w:tl2br w:val="nil"/>
                    <w:tr2bl w:val="nil"/>
                  </w:tcBorders>
                  <w:noWrap w:val="0"/>
                  <w:vAlign w:val="center"/>
                </w:tcPr>
                <w:p w14:paraId="530D17F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无组织废气</w:t>
                  </w:r>
                </w:p>
              </w:tc>
              <w:tc>
                <w:tcPr>
                  <w:tcW w:w="671" w:type="pct"/>
                  <w:tcBorders>
                    <w:tl2br w:val="nil"/>
                    <w:tr2bl w:val="nil"/>
                  </w:tcBorders>
                  <w:noWrap w:val="0"/>
                  <w:vAlign w:val="center"/>
                </w:tcPr>
                <w:p w14:paraId="36BC9C0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颗粒物</w:t>
                  </w:r>
                </w:p>
              </w:tc>
              <w:tc>
                <w:tcPr>
                  <w:tcW w:w="695" w:type="pct"/>
                  <w:tcBorders>
                    <w:tl2br w:val="nil"/>
                    <w:tr2bl w:val="nil"/>
                  </w:tcBorders>
                  <w:noWrap w:val="0"/>
                  <w:vAlign w:val="center"/>
                </w:tcPr>
                <w:p w14:paraId="376C2F3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厂界</w:t>
                  </w:r>
                </w:p>
              </w:tc>
              <w:tc>
                <w:tcPr>
                  <w:tcW w:w="779" w:type="pct"/>
                  <w:tcBorders>
                    <w:tl2br w:val="nil"/>
                    <w:tr2bl w:val="nil"/>
                  </w:tcBorders>
                  <w:noWrap w:val="0"/>
                  <w:vAlign w:val="center"/>
                </w:tcPr>
                <w:p w14:paraId="0F45811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val="en-US" w:eastAsia="zh-CN"/>
                    </w:rPr>
                    <w:t>1次</w:t>
                  </w:r>
                  <w:r>
                    <w:rPr>
                      <w:rFonts w:hint="default" w:ascii="Times New Roman" w:hAnsi="Times New Roman" w:eastAsia="宋体" w:cs="Times New Roman"/>
                      <w:b w:val="0"/>
                      <w:bCs/>
                      <w:color w:val="auto"/>
                      <w:sz w:val="21"/>
                      <w:szCs w:val="21"/>
                    </w:rPr>
                    <w:t>/</w:t>
                  </w:r>
                  <w:r>
                    <w:rPr>
                      <w:rFonts w:hint="eastAsia" w:ascii="Times New Roman" w:hAnsi="Times New Roman" w:eastAsia="宋体" w:cs="Times New Roman"/>
                      <w:b w:val="0"/>
                      <w:bCs/>
                      <w:color w:val="auto"/>
                      <w:sz w:val="21"/>
                      <w:szCs w:val="21"/>
                      <w:lang w:val="en-US" w:eastAsia="zh-CN"/>
                    </w:rPr>
                    <w:t>半年</w:t>
                  </w:r>
                </w:p>
              </w:tc>
              <w:tc>
                <w:tcPr>
                  <w:tcW w:w="1765" w:type="pct"/>
                  <w:vMerge w:val="restart"/>
                  <w:tcBorders>
                    <w:tl2br w:val="nil"/>
                    <w:tr2bl w:val="nil"/>
                  </w:tcBorders>
                  <w:noWrap w:val="0"/>
                  <w:vAlign w:val="center"/>
                </w:tcPr>
                <w:p w14:paraId="6E21D75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b w:val="0"/>
                      <w:bCs/>
                      <w:color w:val="auto"/>
                      <w:sz w:val="21"/>
                      <w:szCs w:val="21"/>
                      <w:lang w:eastAsia="zh-CN"/>
                    </w:rPr>
                  </w:pPr>
                  <w:r>
                    <w:rPr>
                      <w:rFonts w:hint="eastAsia"/>
                      <w:color w:val="auto"/>
                      <w:szCs w:val="21"/>
                    </w:rPr>
                    <w:t>《排污单位自行监测技术指南 食品制造》（HJ 1084-2020）</w:t>
                  </w:r>
                </w:p>
              </w:tc>
            </w:tr>
            <w:tr w14:paraId="1B65550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45" w:type="pct"/>
                  <w:vMerge w:val="continue"/>
                  <w:tcBorders>
                    <w:tl2br w:val="nil"/>
                    <w:tr2bl w:val="nil"/>
                  </w:tcBorders>
                  <w:noWrap w:val="0"/>
                  <w:vAlign w:val="center"/>
                </w:tcPr>
                <w:p w14:paraId="2A64F35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b w:val="0"/>
                      <w:bCs/>
                      <w:color w:val="auto"/>
                      <w:sz w:val="21"/>
                      <w:szCs w:val="21"/>
                      <w:lang w:val="en-US" w:eastAsia="zh-CN"/>
                    </w:rPr>
                  </w:pPr>
                </w:p>
              </w:tc>
              <w:tc>
                <w:tcPr>
                  <w:tcW w:w="643" w:type="pct"/>
                  <w:vMerge w:val="continue"/>
                  <w:tcBorders>
                    <w:tl2br w:val="nil"/>
                    <w:tr2bl w:val="nil"/>
                  </w:tcBorders>
                  <w:noWrap w:val="0"/>
                  <w:vAlign w:val="center"/>
                </w:tcPr>
                <w:p w14:paraId="76D1515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color w:val="auto"/>
                      <w:sz w:val="21"/>
                      <w:szCs w:val="21"/>
                    </w:rPr>
                  </w:pPr>
                </w:p>
              </w:tc>
              <w:tc>
                <w:tcPr>
                  <w:tcW w:w="671" w:type="pct"/>
                  <w:tcBorders>
                    <w:tl2br w:val="nil"/>
                    <w:tr2bl w:val="nil"/>
                  </w:tcBorders>
                  <w:noWrap w:val="0"/>
                  <w:vAlign w:val="center"/>
                </w:tcPr>
                <w:p w14:paraId="16545FF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臭气浓度</w:t>
                  </w:r>
                </w:p>
              </w:tc>
              <w:tc>
                <w:tcPr>
                  <w:tcW w:w="695" w:type="pct"/>
                  <w:tcBorders>
                    <w:tl2br w:val="nil"/>
                    <w:tr2bl w:val="nil"/>
                  </w:tcBorders>
                  <w:noWrap w:val="0"/>
                  <w:vAlign w:val="center"/>
                </w:tcPr>
                <w:p w14:paraId="3D86F97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厂界</w:t>
                  </w:r>
                </w:p>
              </w:tc>
              <w:tc>
                <w:tcPr>
                  <w:tcW w:w="779" w:type="pct"/>
                  <w:tcBorders>
                    <w:tl2br w:val="nil"/>
                    <w:tr2bl w:val="nil"/>
                  </w:tcBorders>
                  <w:noWrap w:val="0"/>
                  <w:vAlign w:val="center"/>
                </w:tcPr>
                <w:p w14:paraId="447A7E7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1次/半年</w:t>
                  </w:r>
                </w:p>
              </w:tc>
              <w:tc>
                <w:tcPr>
                  <w:tcW w:w="1765" w:type="pct"/>
                  <w:vMerge w:val="continue"/>
                  <w:tcBorders>
                    <w:tl2br w:val="nil"/>
                    <w:tr2bl w:val="nil"/>
                  </w:tcBorders>
                  <w:noWrap w:val="0"/>
                  <w:vAlign w:val="center"/>
                </w:tcPr>
                <w:p w14:paraId="31AF154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color w:val="auto"/>
                      <w:szCs w:val="21"/>
                    </w:rPr>
                  </w:pPr>
                </w:p>
              </w:tc>
            </w:tr>
          </w:tbl>
          <w:p w14:paraId="4DC1E0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rPr>
              <w:t>2、废水</w:t>
            </w:r>
          </w:p>
          <w:p w14:paraId="7D879146">
            <w:pPr>
              <w:pStyle w:val="4"/>
              <w:suppressLineNumbers w:val="0"/>
              <w:spacing w:before="0" w:beforeAutospacing="0" w:after="0" w:afterAutospacing="0"/>
              <w:ind w:left="0" w:right="0" w:firstLine="0" w:firstLineChars="0"/>
              <w:jc w:val="both"/>
              <w:outlineLvl w:val="3"/>
              <w:rPr>
                <w:rFonts w:hint="eastAsia" w:ascii="宋体" w:hAnsi="宋体" w:eastAsia="宋体" w:cs="宋体"/>
                <w:bCs/>
                <w:color w:val="auto"/>
                <w:sz w:val="24"/>
                <w:szCs w:val="24"/>
              </w:rPr>
            </w:pPr>
            <w:r>
              <w:rPr>
                <w:rFonts w:hint="eastAsia" w:ascii="Times New Roman" w:hAnsi="Times New Roman" w:cs="Times New Roman"/>
                <w:bCs/>
                <w:color w:val="auto"/>
                <w:sz w:val="24"/>
                <w:szCs w:val="24"/>
              </w:rPr>
              <w:t>2</w:t>
            </w:r>
            <w:r>
              <w:rPr>
                <w:rFonts w:hint="default" w:ascii="Times New Roman" w:hAnsi="Times New Roman" w:cs="Times New Roman"/>
                <w:bCs/>
                <w:color w:val="auto"/>
                <w:sz w:val="24"/>
                <w:szCs w:val="24"/>
              </w:rPr>
              <w:t>.1</w:t>
            </w:r>
            <w:r>
              <w:rPr>
                <w:rFonts w:hint="eastAsia" w:ascii="宋体" w:hAnsi="宋体" w:eastAsia="宋体" w:cs="宋体"/>
                <w:bCs/>
                <w:color w:val="auto"/>
                <w:sz w:val="24"/>
                <w:szCs w:val="24"/>
              </w:rPr>
              <w:t>废水产生</w:t>
            </w:r>
          </w:p>
          <w:p w14:paraId="503B2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rPr>
              <w:t>本项目废水包括生活污水、生产废水。</w:t>
            </w:r>
            <w:r>
              <w:rPr>
                <w:rFonts w:hint="eastAsia" w:cs="Times New Roman"/>
                <w:color w:val="auto"/>
                <w:sz w:val="24"/>
                <w:szCs w:val="24"/>
                <w:lang w:val="en-US" w:eastAsia="zh-CN"/>
              </w:rPr>
              <w:t>生产废水主要为：原料清洗废水、设备清洗废水、地面清洗废水。</w:t>
            </w:r>
          </w:p>
          <w:p w14:paraId="46986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（1）生活</w:t>
            </w:r>
            <w:r>
              <w:rPr>
                <w:rFonts w:hint="eastAsia" w:cs="Times New Roman"/>
                <w:color w:val="auto"/>
                <w:sz w:val="24"/>
                <w:szCs w:val="24"/>
                <w:lang w:val="en-US" w:eastAsia="zh-CN"/>
              </w:rPr>
              <w:t>污</w:t>
            </w:r>
            <w:r>
              <w:rPr>
                <w:rFonts w:hint="eastAsia" w:ascii="Times New Roman" w:hAnsi="Times New Roman" w:cs="Times New Roman"/>
                <w:color w:val="auto"/>
                <w:sz w:val="24"/>
                <w:szCs w:val="24"/>
              </w:rPr>
              <w:t>水</w:t>
            </w:r>
          </w:p>
          <w:p w14:paraId="7F52B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本次扩建项目新增劳动定员25人，不在厂区食宿，年工作250天。根据《安徽省行业用水定额》（DB34/T 679-2019）中的相关规定，工作人员生活用水定额60L/人，则生活用水量1.5m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/d、375m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/a。生活污水产生系数按80%计，即1.2m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/d、300m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w:t>
            </w:r>
          </w:p>
          <w:p w14:paraId="2B3F60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（2）生产</w:t>
            </w:r>
            <w:r>
              <w:rPr>
                <w:rFonts w:hint="eastAsia" w:cs="Times New Roman"/>
                <w:color w:val="auto"/>
                <w:sz w:val="24"/>
                <w:szCs w:val="24"/>
                <w:lang w:val="en-US" w:eastAsia="zh-CN"/>
              </w:rPr>
              <w:t>废</w:t>
            </w:r>
            <w:r>
              <w:rPr>
                <w:rFonts w:hint="eastAsia" w:ascii="Times New Roman" w:hAnsi="Times New Roman" w:cs="Times New Roman"/>
                <w:color w:val="auto"/>
                <w:sz w:val="24"/>
                <w:szCs w:val="24"/>
              </w:rPr>
              <w:t>水</w:t>
            </w:r>
          </w:p>
          <w:p w14:paraId="1E51A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rPr>
            </w:pPr>
            <w:r>
              <w:rPr>
                <w:rFonts w:hint="eastAsia" w:cs="Times New Roman"/>
                <w:color w:val="auto"/>
                <w:sz w:val="24"/>
                <w:szCs w:val="24"/>
                <w:lang w:val="en-US" w:eastAsia="zh-CN"/>
              </w:rPr>
              <w:t>①</w:t>
            </w:r>
            <w:r>
              <w:rPr>
                <w:rFonts w:hint="eastAsia" w:ascii="Times New Roman" w:hAnsi="Times New Roman" w:cs="Times New Roman"/>
                <w:color w:val="auto"/>
                <w:sz w:val="24"/>
                <w:szCs w:val="24"/>
              </w:rPr>
              <w:t>原料清洗</w:t>
            </w:r>
            <w:r>
              <w:rPr>
                <w:rFonts w:hint="eastAsia" w:cs="Times New Roman"/>
                <w:color w:val="auto"/>
                <w:sz w:val="24"/>
                <w:szCs w:val="24"/>
                <w:lang w:val="en-US" w:eastAsia="zh-CN"/>
              </w:rPr>
              <w:t>废</w:t>
            </w:r>
            <w:r>
              <w:rPr>
                <w:rFonts w:hint="eastAsia" w:ascii="Times New Roman" w:hAnsi="Times New Roman" w:cs="Times New Roman"/>
                <w:color w:val="auto"/>
                <w:sz w:val="24"/>
                <w:szCs w:val="24"/>
              </w:rPr>
              <w:t>水</w:t>
            </w:r>
          </w:p>
          <w:p w14:paraId="0C8EF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根据企业提供资料，鱼、虾需要进行清洗，用水量约为0.35m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/t原料，本项目鱼、虾共计470t/a，则原料清洗用水量约0.658m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/d，164.5m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/a。污水产生量按用水量的0.8计，污水产生量为0.5264m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/d、131.6m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/a，项目原料清洗废水经沉淀池处理后，通过园区污水管网进入安徽淮相科技发展有限公司第二污水处理厂，处理达标后进入老濉河。</w:t>
            </w:r>
          </w:p>
          <w:p w14:paraId="2CA90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rPr>
            </w:pPr>
            <w:r>
              <w:rPr>
                <w:rFonts w:hint="eastAsia" w:cs="Times New Roman"/>
                <w:color w:val="auto"/>
                <w:sz w:val="24"/>
                <w:szCs w:val="24"/>
                <w:lang w:val="en-US" w:eastAsia="zh-CN"/>
              </w:rPr>
              <w:t>②</w:t>
            </w:r>
            <w:r>
              <w:rPr>
                <w:rFonts w:hint="eastAsia" w:ascii="Times New Roman" w:hAnsi="Times New Roman" w:cs="Times New Roman"/>
                <w:color w:val="auto"/>
                <w:sz w:val="24"/>
                <w:szCs w:val="24"/>
              </w:rPr>
              <w:t>设备清洗</w:t>
            </w:r>
            <w:r>
              <w:rPr>
                <w:rFonts w:hint="eastAsia" w:cs="Times New Roman"/>
                <w:color w:val="auto"/>
                <w:sz w:val="24"/>
                <w:szCs w:val="24"/>
                <w:lang w:val="en-US" w:eastAsia="zh-CN"/>
              </w:rPr>
              <w:t>废</w:t>
            </w:r>
            <w:r>
              <w:rPr>
                <w:rFonts w:hint="eastAsia" w:ascii="Times New Roman" w:hAnsi="Times New Roman" w:cs="Times New Roman"/>
                <w:color w:val="auto"/>
                <w:sz w:val="24"/>
                <w:szCs w:val="24"/>
              </w:rPr>
              <w:t>水</w:t>
            </w:r>
          </w:p>
          <w:p w14:paraId="18BAA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根据企业提供</w:t>
            </w:r>
            <w:r>
              <w:rPr>
                <w:rFonts w:hint="eastAsia" w:cs="Times New Roman"/>
                <w:color w:val="auto"/>
                <w:sz w:val="24"/>
                <w:szCs w:val="24"/>
                <w:lang w:val="en-US" w:eastAsia="zh-CN"/>
              </w:rPr>
              <w:t>的</w:t>
            </w:r>
            <w:r>
              <w:rPr>
                <w:rFonts w:hint="eastAsia" w:ascii="Times New Roman" w:hAnsi="Times New Roman" w:cs="Times New Roman"/>
                <w:color w:val="auto"/>
                <w:sz w:val="24"/>
                <w:szCs w:val="24"/>
              </w:rPr>
              <w:t>资料，本项目虾片机、蛋卷机等设备每天生产结束时需要清洗一次，采用食品级毛巾擦拭，每天约消耗0.35m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/d自来水，则年用水量约为87.5m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/a，污水产生量按用水量的0.8计，污水产生量为0.28m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/d、70m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/a，项目设备清洗废水经沉淀池处理后，通过园区污水管网进入安徽淮相科技发展有限公司第二污水处理厂，处理达标后进入老濉河。</w:t>
            </w:r>
          </w:p>
          <w:p w14:paraId="555E94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rPr>
            </w:pPr>
            <w:r>
              <w:rPr>
                <w:rFonts w:hint="eastAsia" w:cs="Times New Roman"/>
                <w:color w:val="auto"/>
                <w:sz w:val="24"/>
                <w:szCs w:val="24"/>
                <w:lang w:val="en-US" w:eastAsia="zh-CN"/>
              </w:rPr>
              <w:t>③</w:t>
            </w:r>
            <w:r>
              <w:rPr>
                <w:rFonts w:hint="eastAsia" w:ascii="Times New Roman" w:hAnsi="Times New Roman" w:cs="Times New Roman"/>
                <w:color w:val="auto"/>
                <w:sz w:val="24"/>
                <w:szCs w:val="24"/>
              </w:rPr>
              <w:t>地面清洗</w:t>
            </w:r>
            <w:r>
              <w:rPr>
                <w:rFonts w:hint="eastAsia" w:cs="Times New Roman"/>
                <w:color w:val="auto"/>
                <w:sz w:val="24"/>
                <w:szCs w:val="24"/>
                <w:lang w:val="en-US" w:eastAsia="zh-CN"/>
              </w:rPr>
              <w:t>废</w:t>
            </w:r>
            <w:r>
              <w:rPr>
                <w:rFonts w:hint="eastAsia" w:ascii="Times New Roman" w:hAnsi="Times New Roman" w:cs="Times New Roman"/>
                <w:color w:val="auto"/>
                <w:sz w:val="24"/>
                <w:szCs w:val="24"/>
              </w:rPr>
              <w:t>水</w:t>
            </w:r>
          </w:p>
          <w:p w14:paraId="19BD10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根据《建筑给水排水设计标准》（GB50015-2019），地面清洁用水按2.0L/m</w:t>
            </w:r>
            <w:r>
              <w:rPr>
                <w:rFonts w:hint="eastAsia" w:ascii="Times New Roman" w:hAnsi="Times New Roman" w:cs="Times New Roman"/>
                <w:color w:val="auto"/>
                <w:sz w:val="24"/>
                <w:szCs w:val="24"/>
                <w:vertAlign w:val="superscript"/>
              </w:rPr>
              <w:t>2</w:t>
            </w:r>
            <w:r>
              <w:rPr>
                <w:rFonts w:hint="eastAsia" w:ascii="Times New Roman" w:hAnsi="Times New Roman" w:cs="Times New Roman"/>
                <w:color w:val="auto"/>
                <w:sz w:val="24"/>
                <w:szCs w:val="24"/>
              </w:rPr>
              <w:t>计算，根据企业提供的资料，本项目厂房地面采取拖洗的方式进行清洁，主要清洗生产车间人员走动的区域，需要清洁的面积约500m</w:t>
            </w:r>
            <w:r>
              <w:rPr>
                <w:rFonts w:hint="eastAsia" w:ascii="Times New Roman" w:hAnsi="Times New Roman" w:cs="Times New Roman"/>
                <w:color w:val="auto"/>
                <w:sz w:val="24"/>
                <w:szCs w:val="24"/>
                <w:vertAlign w:val="superscript"/>
              </w:rPr>
              <w:t>2</w:t>
            </w:r>
            <w:r>
              <w:rPr>
                <w:rFonts w:hint="eastAsia" w:ascii="Times New Roman" w:hAnsi="Times New Roman" w:cs="Times New Roman"/>
                <w:color w:val="auto"/>
                <w:sz w:val="24"/>
                <w:szCs w:val="24"/>
              </w:rPr>
              <w:t>，地面每天清洗1次，则地面清洗用水为1m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/d、250m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/a。废水产生量按80%计算，地面清洗废水产生量为：0.8m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/d，200m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/a。项目</w:t>
            </w:r>
            <w:r>
              <w:rPr>
                <w:rFonts w:hint="eastAsia" w:cs="Times New Roman"/>
                <w:color w:val="auto"/>
                <w:sz w:val="24"/>
                <w:szCs w:val="24"/>
                <w:lang w:val="en-US" w:eastAsia="zh-CN"/>
              </w:rPr>
              <w:t>地面</w:t>
            </w:r>
            <w:r>
              <w:rPr>
                <w:rFonts w:hint="eastAsia" w:ascii="Times New Roman" w:hAnsi="Times New Roman" w:cs="Times New Roman"/>
                <w:color w:val="auto"/>
                <w:sz w:val="24"/>
                <w:szCs w:val="24"/>
              </w:rPr>
              <w:t>清洗废水经沉淀池处理后，通过园区污水管网进入安徽淮相科技发展有限公司第二污水处理厂，处理达标后进入老濉河。</w:t>
            </w:r>
          </w:p>
          <w:p w14:paraId="6FAE8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宋体"/>
                <w:color w:val="auto"/>
                <w:sz w:val="24"/>
                <w:szCs w:val="24"/>
                <w:lang w:val="en-US" w:eastAsia="zh-CN"/>
              </w:rPr>
            </w:pPr>
            <w:r>
              <w:rPr>
                <w:rFonts w:hint="eastAsia" w:ascii="Times New Roman" w:hAnsi="Times New Roman" w:cs="Times New Roman"/>
                <w:color w:val="auto"/>
                <w:sz w:val="24"/>
                <w:szCs w:val="24"/>
              </w:rPr>
              <w:t>厂区</w:t>
            </w:r>
            <w:r>
              <w:rPr>
                <w:rFonts w:hint="eastAsia" w:ascii="Times New Roman" w:hAnsi="Times New Roman" w:cs="Times New Roman"/>
                <w:color w:val="auto"/>
                <w:sz w:val="24"/>
                <w:szCs w:val="24"/>
                <w:lang w:val="en-US" w:eastAsia="zh-CN"/>
              </w:rPr>
              <w:t>实</w:t>
            </w:r>
            <w:r>
              <w:rPr>
                <w:rFonts w:hint="eastAsia" w:ascii="Times New Roman" w:hAnsi="Times New Roman" w:cs="Times New Roman"/>
                <w:color w:val="auto"/>
                <w:sz w:val="24"/>
                <w:szCs w:val="24"/>
              </w:rPr>
              <w:t>行雨污分流制，</w:t>
            </w:r>
            <w:r>
              <w:rPr>
                <w:rFonts w:hint="eastAsia" w:ascii="Times New Roman" w:hAnsi="Times New Roman" w:cs="Times New Roman"/>
                <w:color w:val="auto"/>
                <w:sz w:val="24"/>
                <w:szCs w:val="24"/>
                <w:lang w:val="en-US" w:eastAsia="zh-CN"/>
              </w:rPr>
              <w:t>本项目</w:t>
            </w:r>
            <w:r>
              <w:rPr>
                <w:rFonts w:hint="eastAsia" w:ascii="Times New Roman" w:hAnsi="Times New Roman" w:cs="宋体"/>
                <w:color w:val="auto"/>
                <w:sz w:val="24"/>
                <w:szCs w:val="24"/>
                <w:lang w:val="en-US" w:eastAsia="zh-CN"/>
              </w:rPr>
              <w:t>生活污水经化粪池预处理后接管进入</w:t>
            </w:r>
            <w:r>
              <w:rPr>
                <w:rFonts w:hint="eastAsia" w:cs="宋体"/>
                <w:color w:val="auto"/>
                <w:sz w:val="24"/>
              </w:rPr>
              <w:t>安徽淮相科技发展有限公司第二污水处理厂</w:t>
            </w:r>
            <w:r>
              <w:rPr>
                <w:rFonts w:hint="eastAsia" w:cs="宋体"/>
                <w:color w:val="auto"/>
                <w:sz w:val="24"/>
                <w:lang w:eastAsia="zh-CN"/>
              </w:rPr>
              <w:t>；</w:t>
            </w:r>
            <w:r>
              <w:rPr>
                <w:rFonts w:hint="eastAsia" w:ascii="Times New Roman" w:hAnsi="Times New Roman" w:cs="宋体"/>
                <w:color w:val="auto"/>
                <w:sz w:val="24"/>
                <w:szCs w:val="24"/>
                <w:lang w:val="en-US" w:eastAsia="zh-CN"/>
              </w:rPr>
              <w:t>本项目原料清洗废水、设备清洗废水</w:t>
            </w:r>
            <w:r>
              <w:rPr>
                <w:rFonts w:hint="eastAsia" w:cs="宋体"/>
                <w:color w:val="auto"/>
                <w:sz w:val="24"/>
                <w:szCs w:val="24"/>
                <w:lang w:val="en-US" w:eastAsia="zh-CN"/>
              </w:rPr>
              <w:t>、地面清洗废水</w:t>
            </w:r>
            <w:r>
              <w:rPr>
                <w:rFonts w:hint="eastAsia" w:ascii="Times New Roman" w:hAnsi="Times New Roman" w:cs="宋体"/>
                <w:color w:val="auto"/>
                <w:sz w:val="24"/>
                <w:szCs w:val="24"/>
                <w:lang w:val="en-US" w:eastAsia="zh-CN"/>
              </w:rPr>
              <w:t>经沉淀池处理后接管进入</w:t>
            </w:r>
            <w:r>
              <w:rPr>
                <w:rFonts w:hint="eastAsia" w:cs="宋体"/>
                <w:color w:val="auto"/>
                <w:sz w:val="24"/>
              </w:rPr>
              <w:t>安徽淮相科技发展有限公司第二污水处理厂</w:t>
            </w:r>
            <w:r>
              <w:rPr>
                <w:rFonts w:hint="eastAsia" w:ascii="Times New Roman" w:hAnsi="Times New Roman" w:cs="宋体"/>
                <w:color w:val="auto"/>
                <w:sz w:val="24"/>
                <w:szCs w:val="24"/>
                <w:lang w:val="en-US" w:eastAsia="zh-CN"/>
              </w:rPr>
              <w:t>，处理达标后排入老濉河</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生活</w:t>
            </w:r>
            <w:r>
              <w:rPr>
                <w:rFonts w:hint="eastAsia" w:ascii="Times New Roman" w:hAnsi="Times New Roman" w:eastAsia="宋体" w:cs="宋体"/>
                <w:color w:val="auto"/>
                <w:sz w:val="24"/>
                <w:szCs w:val="24"/>
                <w:lang w:val="en-US" w:eastAsia="zh-CN"/>
              </w:rPr>
              <w:t>废水污染物产生浓度参照</w:t>
            </w:r>
            <w:r>
              <w:rPr>
                <w:rFonts w:hint="eastAsia" w:ascii="Times New Roman" w:hAnsi="Times New Roman" w:eastAsia="宋体" w:cs="宋体"/>
                <w:color w:val="auto"/>
                <w:sz w:val="24"/>
                <w:szCs w:val="24"/>
                <w:lang w:val="en-US" w:eastAsia="zh-CN"/>
              </w:rPr>
              <w:fldChar w:fldCharType="begin"/>
            </w:r>
            <w:r>
              <w:rPr>
                <w:rFonts w:hint="eastAsia" w:ascii="Times New Roman" w:hAnsi="Times New Roman" w:eastAsia="宋体" w:cs="宋体"/>
                <w:color w:val="auto"/>
                <w:sz w:val="24"/>
                <w:szCs w:val="24"/>
                <w:lang w:val="en-US" w:eastAsia="zh-CN"/>
              </w:rPr>
              <w:instrText xml:space="preserve"> HYPERLINK "https://gf.1190119.com/list-1228.htm" </w:instrText>
            </w:r>
            <w:r>
              <w:rPr>
                <w:rFonts w:hint="eastAsia" w:ascii="Times New Roman" w:hAnsi="Times New Roman" w:eastAsia="宋体" w:cs="宋体"/>
                <w:color w:val="auto"/>
                <w:sz w:val="24"/>
                <w:szCs w:val="24"/>
                <w:lang w:val="en-US" w:eastAsia="zh-CN"/>
              </w:rPr>
              <w:fldChar w:fldCharType="separate"/>
            </w:r>
            <w:r>
              <w:rPr>
                <w:rFonts w:hint="eastAsia" w:ascii="Times New Roman" w:hAnsi="Times New Roman" w:eastAsia="宋体" w:cs="宋体"/>
                <w:color w:val="auto"/>
                <w:sz w:val="24"/>
                <w:szCs w:val="24"/>
                <w:lang w:val="en-US" w:eastAsia="zh-CN"/>
              </w:rPr>
              <w:t>《建筑中水设计标准》</w:t>
            </w:r>
            <w:r>
              <w:rPr>
                <w:rFonts w:hint="eastAsia" w:ascii="Times New Roman" w:hAnsi="Times New Roman" w:eastAsia="宋体" w:cs="宋体"/>
                <w:color w:val="auto"/>
                <w:sz w:val="24"/>
                <w:szCs w:val="24"/>
                <w:lang w:val="en-US" w:eastAsia="zh-CN"/>
              </w:rPr>
              <w:fldChar w:fldCharType="end"/>
            </w:r>
            <w:r>
              <w:rPr>
                <w:rFonts w:hint="eastAsia" w:ascii="Times New Roman" w:hAnsi="Times New Roman" w:eastAsia="宋体" w:cs="宋体"/>
                <w:color w:val="auto"/>
                <w:sz w:val="24"/>
                <w:szCs w:val="24"/>
                <w:lang w:val="en-US" w:eastAsia="zh-CN"/>
              </w:rPr>
              <w:t>（GB50336-2018）表3.1.7办公楼、教学楼的排水污染物浓度。</w:t>
            </w:r>
            <w:r>
              <w:rPr>
                <w:rFonts w:hint="eastAsia" w:cs="宋体"/>
                <w:color w:val="auto"/>
                <w:sz w:val="24"/>
                <w:szCs w:val="24"/>
                <w:lang w:val="en-US" w:eastAsia="zh-CN"/>
              </w:rPr>
              <w:t>本项目增加鱼、虾的清洗环节，由于</w:t>
            </w:r>
            <w:r>
              <w:rPr>
                <w:rFonts w:hint="eastAsia" w:cs="宋体"/>
                <w:color w:val="auto"/>
                <w:sz w:val="24"/>
              </w:rPr>
              <w:t>鱼</w:t>
            </w:r>
            <w:r>
              <w:rPr>
                <w:rFonts w:hint="eastAsia" w:cs="宋体"/>
                <w:color w:val="auto"/>
                <w:sz w:val="24"/>
                <w:lang w:eastAsia="zh-CN"/>
              </w:rPr>
              <w:t>、</w:t>
            </w:r>
            <w:r>
              <w:rPr>
                <w:rFonts w:hint="eastAsia" w:cs="宋体"/>
                <w:color w:val="auto"/>
                <w:sz w:val="24"/>
              </w:rPr>
              <w:t>虾在原辅材料中的占比不大</w:t>
            </w:r>
            <w:r>
              <w:rPr>
                <w:rFonts w:hint="eastAsia" w:cs="宋体"/>
                <w:color w:val="auto"/>
                <w:sz w:val="24"/>
                <w:lang w:eastAsia="zh-CN"/>
              </w:rPr>
              <w:t>，</w:t>
            </w:r>
            <w:r>
              <w:rPr>
                <w:rFonts w:hint="eastAsia" w:cs="宋体"/>
                <w:color w:val="auto"/>
                <w:sz w:val="24"/>
                <w:lang w:val="en-US" w:eastAsia="zh-CN"/>
              </w:rPr>
              <w:t>故本项目</w:t>
            </w:r>
            <w:r>
              <w:rPr>
                <w:rFonts w:hint="eastAsia" w:cs="宋体"/>
                <w:color w:val="auto"/>
                <w:sz w:val="24"/>
                <w:szCs w:val="24"/>
                <w:lang w:val="en-US" w:eastAsia="zh-CN"/>
              </w:rPr>
              <w:t>生产废水污染物浓度类比现有项目废水污染物浓度。</w:t>
            </w:r>
            <w:r>
              <w:rPr>
                <w:rFonts w:hint="eastAsia" w:ascii="Times New Roman" w:hAnsi="Times New Roman" w:eastAsia="宋体" w:cs="宋体"/>
                <w:color w:val="auto"/>
                <w:sz w:val="24"/>
                <w:szCs w:val="24"/>
                <w:lang w:val="en-US" w:eastAsia="zh-CN"/>
              </w:rPr>
              <w:t>具体产排概况如下</w:t>
            </w:r>
            <w:r>
              <w:rPr>
                <w:rFonts w:hint="eastAsia" w:cs="宋体"/>
                <w:color w:val="auto"/>
                <w:sz w:val="24"/>
                <w:szCs w:val="24"/>
                <w:lang w:val="en-US" w:eastAsia="zh-CN"/>
              </w:rPr>
              <w:t>：</w:t>
            </w:r>
          </w:p>
          <w:p w14:paraId="104F7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b/>
                <w:bCs/>
                <w:color w:val="auto"/>
              </w:rPr>
            </w:pPr>
            <w:r>
              <w:rPr>
                <w:rFonts w:hint="default" w:ascii="Times New Roman" w:hAnsi="Times New Roman" w:cs="Times New Roman"/>
                <w:b/>
                <w:color w:val="auto"/>
                <w:sz w:val="24"/>
                <w:szCs w:val="24"/>
              </w:rPr>
              <w:t>表</w:t>
            </w:r>
            <w:r>
              <w:rPr>
                <w:rFonts w:hint="eastAsia" w:ascii="Times New Roman" w:hAnsi="Times New Roman" w:cs="Times New Roman"/>
                <w:b/>
                <w:color w:val="auto"/>
                <w:sz w:val="24"/>
                <w:szCs w:val="24"/>
              </w:rPr>
              <w:t>4</w:t>
            </w:r>
            <w:r>
              <w:rPr>
                <w:rFonts w:hint="default" w:ascii="Times New Roman" w:hAnsi="Times New Roman" w:cs="Times New Roman"/>
                <w:b/>
                <w:color w:val="auto"/>
                <w:sz w:val="24"/>
                <w:szCs w:val="24"/>
              </w:rPr>
              <w:t>-</w:t>
            </w:r>
            <w:r>
              <w:rPr>
                <w:rFonts w:hint="eastAsia" w:cs="Times New Roman"/>
                <w:b/>
                <w:color w:val="auto"/>
                <w:sz w:val="24"/>
                <w:szCs w:val="24"/>
                <w:lang w:val="en-US" w:eastAsia="zh-CN"/>
              </w:rPr>
              <w:t>3</w:t>
            </w:r>
            <w:r>
              <w:rPr>
                <w:rFonts w:hint="eastAsia" w:ascii="Times New Roman" w:hAnsi="Times New Roman" w:cs="Times New Roman"/>
                <w:b/>
                <w:color w:val="auto"/>
                <w:sz w:val="24"/>
                <w:szCs w:val="24"/>
              </w:rPr>
              <w:t xml:space="preserve">  </w:t>
            </w:r>
            <w:r>
              <w:rPr>
                <w:rFonts w:hint="eastAsia" w:ascii="Times New Roman" w:hAnsi="Times New Roman" w:cs="Times New Roman"/>
                <w:b/>
                <w:bCs/>
                <w:color w:val="auto"/>
                <w:sz w:val="24"/>
                <w:szCs w:val="24"/>
              </w:rPr>
              <w:t>项目废水产排情况一览表</w:t>
            </w:r>
          </w:p>
          <w:tbl>
            <w:tblPr>
              <w:tblStyle w:val="29"/>
              <w:tblW w:w="0" w:type="auto"/>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105"/>
              <w:gridCol w:w="1100"/>
              <w:gridCol w:w="1116"/>
              <w:gridCol w:w="1101"/>
              <w:gridCol w:w="940"/>
              <w:gridCol w:w="1277"/>
              <w:gridCol w:w="1306"/>
            </w:tblGrid>
            <w:tr w14:paraId="7F705A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restart"/>
                  <w:tcBorders>
                    <w:tl2br w:val="nil"/>
                    <w:tr2bl w:val="nil"/>
                  </w:tcBorders>
                  <w:noWrap w:val="0"/>
                  <w:vAlign w:val="center"/>
                </w:tcPr>
                <w:p w14:paraId="671D7478">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废水种类</w:t>
                  </w:r>
                </w:p>
              </w:tc>
              <w:tc>
                <w:tcPr>
                  <w:tcW w:w="698" w:type="pct"/>
                  <w:vMerge w:val="restart"/>
                  <w:tcBorders>
                    <w:tl2br w:val="nil"/>
                    <w:tr2bl w:val="nil"/>
                  </w:tcBorders>
                  <w:noWrap w:val="0"/>
                  <w:vAlign w:val="center"/>
                </w:tcPr>
                <w:p w14:paraId="06DAFF95">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1365" w:type="pct"/>
                  <w:gridSpan w:val="2"/>
                  <w:tcBorders>
                    <w:tl2br w:val="nil"/>
                    <w:tr2bl w:val="nil"/>
                  </w:tcBorders>
                  <w:noWrap w:val="0"/>
                  <w:vAlign w:val="center"/>
                </w:tcPr>
                <w:p w14:paraId="4034341B">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597" w:type="pct"/>
                  <w:vMerge w:val="restart"/>
                  <w:tcBorders>
                    <w:tl2br w:val="nil"/>
                    <w:tr2bl w:val="nil"/>
                  </w:tcBorders>
                  <w:noWrap w:val="0"/>
                  <w:vAlign w:val="center"/>
                </w:tcPr>
                <w:p w14:paraId="57F0F1D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处理措施</w:t>
                  </w:r>
                </w:p>
              </w:tc>
              <w:tc>
                <w:tcPr>
                  <w:tcW w:w="1636" w:type="pct"/>
                  <w:gridSpan w:val="2"/>
                  <w:tcBorders>
                    <w:tl2br w:val="nil"/>
                    <w:tr2bl w:val="nil"/>
                  </w:tcBorders>
                  <w:noWrap w:val="0"/>
                  <w:vAlign w:val="center"/>
                </w:tcPr>
                <w:p w14:paraId="76C060BB">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r>
            <w:tr w14:paraId="7A6404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373E9D9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p>
              </w:tc>
              <w:tc>
                <w:tcPr>
                  <w:tcW w:w="698" w:type="pct"/>
                  <w:vMerge w:val="continue"/>
                  <w:tcBorders>
                    <w:tl2br w:val="nil"/>
                    <w:tr2bl w:val="nil"/>
                  </w:tcBorders>
                  <w:noWrap w:val="0"/>
                  <w:vAlign w:val="center"/>
                </w:tcPr>
                <w:p w14:paraId="466595E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p>
              </w:tc>
              <w:tc>
                <w:tcPr>
                  <w:tcW w:w="666" w:type="pct"/>
                  <w:tcBorders>
                    <w:tl2br w:val="nil"/>
                    <w:tr2bl w:val="nil"/>
                  </w:tcBorders>
                  <w:noWrap w:val="0"/>
                  <w:vAlign w:val="center"/>
                </w:tcPr>
                <w:p w14:paraId="224A2D06">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699" w:type="pct"/>
                  <w:tcBorders>
                    <w:tl2br w:val="nil"/>
                    <w:tr2bl w:val="nil"/>
                  </w:tcBorders>
                  <w:noWrap w:val="0"/>
                  <w:vAlign w:val="center"/>
                </w:tcPr>
                <w:p w14:paraId="2F40CF26">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/a）</w:t>
                  </w:r>
                </w:p>
              </w:tc>
              <w:tc>
                <w:tcPr>
                  <w:tcW w:w="597" w:type="pct"/>
                  <w:vMerge w:val="continue"/>
                  <w:tcBorders>
                    <w:tl2br w:val="nil"/>
                    <w:tr2bl w:val="nil"/>
                  </w:tcBorders>
                  <w:noWrap w:val="0"/>
                  <w:vAlign w:val="center"/>
                </w:tcPr>
                <w:p w14:paraId="4A73B116">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p>
              </w:tc>
              <w:tc>
                <w:tcPr>
                  <w:tcW w:w="809" w:type="pct"/>
                  <w:tcBorders>
                    <w:tl2br w:val="nil"/>
                    <w:tr2bl w:val="nil"/>
                  </w:tcBorders>
                  <w:noWrap w:val="0"/>
                  <w:vAlign w:val="center"/>
                </w:tcPr>
                <w:p w14:paraId="54D8344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浓度（mg/L）</w:t>
                  </w:r>
                </w:p>
              </w:tc>
              <w:tc>
                <w:tcPr>
                  <w:tcW w:w="827" w:type="pct"/>
                  <w:tcBorders>
                    <w:tl2br w:val="nil"/>
                    <w:tr2bl w:val="nil"/>
                  </w:tcBorders>
                  <w:noWrap w:val="0"/>
                  <w:vAlign w:val="center"/>
                </w:tcPr>
                <w:p w14:paraId="443BFE9E">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/a）</w:t>
                  </w:r>
                </w:p>
              </w:tc>
            </w:tr>
            <w:tr w14:paraId="586C50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restart"/>
                  <w:tcBorders>
                    <w:tl2br w:val="nil"/>
                    <w:tr2bl w:val="nil"/>
                  </w:tcBorders>
                  <w:noWrap w:val="0"/>
                  <w:vAlign w:val="center"/>
                </w:tcPr>
                <w:p w14:paraId="467A348D">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r>
                    <w:rPr>
                      <w:rFonts w:hint="eastAsia"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698" w:type="pct"/>
                  <w:tcBorders>
                    <w:tl2br w:val="nil"/>
                    <w:tr2bl w:val="nil"/>
                  </w:tcBorders>
                  <w:noWrap w:val="0"/>
                  <w:vAlign w:val="center"/>
                </w:tcPr>
                <w:p w14:paraId="30110223">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666" w:type="pct"/>
                  <w:tcBorders>
                    <w:tl2br w:val="nil"/>
                    <w:tr2bl w:val="nil"/>
                  </w:tcBorders>
                  <w:noWrap w:val="0"/>
                  <w:vAlign w:val="center"/>
                </w:tcPr>
                <w:p w14:paraId="40C51028">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en-US" w:eastAsia="zh-CN"/>
                    </w:rPr>
                    <w:t>40</w:t>
                  </w:r>
                </w:p>
              </w:tc>
              <w:tc>
                <w:tcPr>
                  <w:tcW w:w="699" w:type="pct"/>
                  <w:tcBorders>
                    <w:tl2br w:val="nil"/>
                    <w:tr2bl w:val="nil"/>
                  </w:tcBorders>
                  <w:noWrap w:val="0"/>
                  <w:vAlign w:val="center"/>
                </w:tcPr>
                <w:p w14:paraId="099E8CB2">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102</w:t>
                  </w:r>
                </w:p>
              </w:tc>
              <w:tc>
                <w:tcPr>
                  <w:tcW w:w="597" w:type="pct"/>
                  <w:vMerge w:val="restart"/>
                  <w:tcBorders>
                    <w:tl2br w:val="nil"/>
                    <w:tr2bl w:val="nil"/>
                  </w:tcBorders>
                  <w:noWrap w:val="0"/>
                  <w:vAlign w:val="center"/>
                </w:tcPr>
                <w:p w14:paraId="11188723">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化粪池处理</w:t>
                  </w:r>
                </w:p>
              </w:tc>
              <w:tc>
                <w:tcPr>
                  <w:tcW w:w="809" w:type="pct"/>
                  <w:tcBorders>
                    <w:tl2br w:val="nil"/>
                    <w:tr2bl w:val="nil"/>
                  </w:tcBorders>
                  <w:noWrap w:val="0"/>
                  <w:vAlign w:val="center"/>
                </w:tcPr>
                <w:p w14:paraId="7339E6F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340</w:t>
                  </w:r>
                </w:p>
              </w:tc>
              <w:tc>
                <w:tcPr>
                  <w:tcW w:w="827" w:type="pct"/>
                  <w:tcBorders>
                    <w:tl2br w:val="nil"/>
                    <w:tr2bl w:val="nil"/>
                  </w:tcBorders>
                  <w:noWrap w:val="0"/>
                  <w:vAlign w:val="center"/>
                </w:tcPr>
                <w:p w14:paraId="4B853DA7">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0.102</w:t>
                  </w:r>
                </w:p>
              </w:tc>
            </w:tr>
            <w:tr w14:paraId="2682D2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67C11CE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noWrap w:val="0"/>
                  <w:vAlign w:val="center"/>
                </w:tcPr>
                <w:p w14:paraId="4FD65124">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666" w:type="pct"/>
                  <w:tcBorders>
                    <w:tl2br w:val="nil"/>
                    <w:tr2bl w:val="nil"/>
                  </w:tcBorders>
                  <w:noWrap w:val="0"/>
                  <w:vAlign w:val="center"/>
                </w:tcPr>
                <w:p w14:paraId="4F4A5615">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w:t>
                  </w:r>
                </w:p>
              </w:tc>
              <w:tc>
                <w:tcPr>
                  <w:tcW w:w="699" w:type="pct"/>
                  <w:tcBorders>
                    <w:tl2br w:val="nil"/>
                    <w:tr2bl w:val="nil"/>
                  </w:tcBorders>
                  <w:noWrap w:val="0"/>
                  <w:vAlign w:val="center"/>
                </w:tcPr>
                <w:p w14:paraId="66CABE3D">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78</w:t>
                  </w:r>
                </w:p>
              </w:tc>
              <w:tc>
                <w:tcPr>
                  <w:tcW w:w="597" w:type="pct"/>
                  <w:vMerge w:val="continue"/>
                  <w:tcBorders>
                    <w:tl2br w:val="nil"/>
                    <w:tr2bl w:val="nil"/>
                  </w:tcBorders>
                  <w:noWrap w:val="0"/>
                  <w:vAlign w:val="center"/>
                </w:tcPr>
                <w:p w14:paraId="696AC20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5B87A1F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827" w:type="pct"/>
                  <w:tcBorders>
                    <w:tl2br w:val="nil"/>
                    <w:tr2bl w:val="nil"/>
                  </w:tcBorders>
                  <w:noWrap w:val="0"/>
                  <w:vAlign w:val="center"/>
                </w:tcPr>
                <w:p w14:paraId="75A7FA0D">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0.078</w:t>
                  </w:r>
                </w:p>
              </w:tc>
            </w:tr>
            <w:tr w14:paraId="148123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6FA25D4D">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noWrap w:val="0"/>
                  <w:vAlign w:val="center"/>
                </w:tcPr>
                <w:p w14:paraId="395D155C">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666" w:type="pct"/>
                  <w:tcBorders>
                    <w:tl2br w:val="nil"/>
                    <w:tr2bl w:val="nil"/>
                  </w:tcBorders>
                  <w:noWrap w:val="0"/>
                  <w:vAlign w:val="center"/>
                </w:tcPr>
                <w:p w14:paraId="1C39E3C6">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w:t>
                  </w:r>
                </w:p>
              </w:tc>
              <w:tc>
                <w:tcPr>
                  <w:tcW w:w="699" w:type="pct"/>
                  <w:tcBorders>
                    <w:tl2br w:val="nil"/>
                    <w:tr2bl w:val="nil"/>
                  </w:tcBorders>
                  <w:noWrap w:val="0"/>
                  <w:vAlign w:val="center"/>
                </w:tcPr>
                <w:p w14:paraId="14ACC22F">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78</w:t>
                  </w:r>
                </w:p>
              </w:tc>
              <w:tc>
                <w:tcPr>
                  <w:tcW w:w="597" w:type="pct"/>
                  <w:vMerge w:val="continue"/>
                  <w:tcBorders>
                    <w:tl2br w:val="nil"/>
                    <w:tr2bl w:val="nil"/>
                  </w:tcBorders>
                  <w:noWrap w:val="0"/>
                  <w:vAlign w:val="center"/>
                </w:tcPr>
                <w:p w14:paraId="085B3B66">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2229D112">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827" w:type="pct"/>
                  <w:tcBorders>
                    <w:tl2br w:val="nil"/>
                    <w:tr2bl w:val="nil"/>
                  </w:tcBorders>
                  <w:noWrap w:val="0"/>
                  <w:vAlign w:val="center"/>
                </w:tcPr>
                <w:p w14:paraId="68BCCB92">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0.078</w:t>
                  </w:r>
                </w:p>
              </w:tc>
            </w:tr>
            <w:tr w14:paraId="3CB63F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40C7CBFF">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noWrap w:val="0"/>
                  <w:vAlign w:val="center"/>
                </w:tcPr>
                <w:p w14:paraId="27AC6EA4">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666" w:type="pct"/>
                  <w:tcBorders>
                    <w:tl2br w:val="nil"/>
                    <w:tr2bl w:val="nil"/>
                  </w:tcBorders>
                  <w:noWrap w:val="0"/>
                  <w:vAlign w:val="center"/>
                </w:tcPr>
                <w:p w14:paraId="30487B0D">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35</w:t>
                  </w:r>
                </w:p>
              </w:tc>
              <w:tc>
                <w:tcPr>
                  <w:tcW w:w="699" w:type="pct"/>
                  <w:tcBorders>
                    <w:tl2br w:val="nil"/>
                    <w:tr2bl w:val="nil"/>
                  </w:tcBorders>
                  <w:noWrap w:val="0"/>
                  <w:vAlign w:val="center"/>
                </w:tcPr>
                <w:p w14:paraId="207147E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05</w:t>
                  </w:r>
                </w:p>
              </w:tc>
              <w:tc>
                <w:tcPr>
                  <w:tcW w:w="597" w:type="pct"/>
                  <w:vMerge w:val="continue"/>
                  <w:tcBorders>
                    <w:tl2br w:val="nil"/>
                    <w:tr2bl w:val="nil"/>
                  </w:tcBorders>
                  <w:noWrap w:val="0"/>
                  <w:vAlign w:val="center"/>
                </w:tcPr>
                <w:p w14:paraId="4E3229FE">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15F29CBE">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827" w:type="pct"/>
                  <w:tcBorders>
                    <w:tl2br w:val="nil"/>
                    <w:tr2bl w:val="nil"/>
                  </w:tcBorders>
                  <w:noWrap w:val="0"/>
                  <w:vAlign w:val="center"/>
                </w:tcPr>
                <w:p w14:paraId="3E7DF05B">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0.105</w:t>
                  </w:r>
                </w:p>
              </w:tc>
            </w:tr>
            <w:tr w14:paraId="0AF2C3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restart"/>
                  <w:tcBorders>
                    <w:tl2br w:val="nil"/>
                    <w:tr2bl w:val="nil"/>
                  </w:tcBorders>
                  <w:noWrap w:val="0"/>
                  <w:vAlign w:val="center"/>
                </w:tcPr>
                <w:p w14:paraId="0261B4E2">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原料清洗废水131.6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p w14:paraId="167EF5D7">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shd w:val="clear" w:color="auto" w:fill="auto"/>
                  <w:noWrap w:val="0"/>
                  <w:vAlign w:val="center"/>
                </w:tcPr>
                <w:p w14:paraId="44DF79DA">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666" w:type="pct"/>
                  <w:tcBorders>
                    <w:tl2br w:val="nil"/>
                    <w:tr2bl w:val="nil"/>
                  </w:tcBorders>
                  <w:noWrap w:val="0"/>
                  <w:vAlign w:val="center"/>
                </w:tcPr>
                <w:p w14:paraId="03878AC6">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699" w:type="pct"/>
                  <w:tcBorders>
                    <w:tl2br w:val="nil"/>
                    <w:tr2bl w:val="nil"/>
                  </w:tcBorders>
                  <w:noWrap w:val="0"/>
                  <w:vAlign w:val="center"/>
                </w:tcPr>
                <w:p w14:paraId="71DCB2EA">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0.0658</w:t>
                  </w:r>
                </w:p>
              </w:tc>
              <w:tc>
                <w:tcPr>
                  <w:tcW w:w="597" w:type="pct"/>
                  <w:vMerge w:val="restart"/>
                  <w:tcBorders>
                    <w:tl2br w:val="nil"/>
                    <w:tr2bl w:val="nil"/>
                  </w:tcBorders>
                  <w:noWrap w:val="0"/>
                  <w:vAlign w:val="center"/>
                </w:tcPr>
                <w:p w14:paraId="28C17A9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沉淀池处理</w:t>
                  </w:r>
                </w:p>
              </w:tc>
              <w:tc>
                <w:tcPr>
                  <w:tcW w:w="809" w:type="pct"/>
                  <w:tcBorders>
                    <w:tl2br w:val="nil"/>
                    <w:tr2bl w:val="nil"/>
                  </w:tcBorders>
                  <w:noWrap w:val="0"/>
                  <w:vAlign w:val="center"/>
                </w:tcPr>
                <w:p w14:paraId="66F25C8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475</w:t>
                  </w:r>
                </w:p>
              </w:tc>
              <w:tc>
                <w:tcPr>
                  <w:tcW w:w="827" w:type="pct"/>
                  <w:tcBorders>
                    <w:tl2br w:val="nil"/>
                    <w:tr2bl w:val="nil"/>
                  </w:tcBorders>
                  <w:noWrap w:val="0"/>
                  <w:vAlign w:val="center"/>
                </w:tcPr>
                <w:p w14:paraId="0F647EE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0.0625</w:t>
                  </w:r>
                </w:p>
              </w:tc>
            </w:tr>
            <w:tr w14:paraId="75D9B2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73D0D3D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shd w:val="clear" w:color="auto" w:fill="auto"/>
                  <w:noWrap w:val="0"/>
                  <w:vAlign w:val="center"/>
                </w:tcPr>
                <w:p w14:paraId="4DFB0B05">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666" w:type="pct"/>
                  <w:tcBorders>
                    <w:tl2br w:val="nil"/>
                    <w:tr2bl w:val="nil"/>
                  </w:tcBorders>
                  <w:noWrap w:val="0"/>
                  <w:vAlign w:val="center"/>
                </w:tcPr>
                <w:p w14:paraId="4B166B3E">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350</w:t>
                  </w:r>
                </w:p>
              </w:tc>
              <w:tc>
                <w:tcPr>
                  <w:tcW w:w="699" w:type="pct"/>
                  <w:tcBorders>
                    <w:tl2br w:val="nil"/>
                    <w:tr2bl w:val="nil"/>
                  </w:tcBorders>
                  <w:noWrap w:val="0"/>
                  <w:vAlign w:val="center"/>
                </w:tcPr>
                <w:p w14:paraId="701D99AD">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0.0461</w:t>
                  </w:r>
                </w:p>
              </w:tc>
              <w:tc>
                <w:tcPr>
                  <w:tcW w:w="597" w:type="pct"/>
                  <w:vMerge w:val="continue"/>
                  <w:tcBorders>
                    <w:tl2br w:val="nil"/>
                    <w:tr2bl w:val="nil"/>
                  </w:tcBorders>
                  <w:noWrap w:val="0"/>
                  <w:vAlign w:val="center"/>
                </w:tcPr>
                <w:p w14:paraId="2CBB345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253A6E5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297.5</w:t>
                  </w:r>
                </w:p>
              </w:tc>
              <w:tc>
                <w:tcPr>
                  <w:tcW w:w="827" w:type="pct"/>
                  <w:tcBorders>
                    <w:tl2br w:val="nil"/>
                    <w:tr2bl w:val="nil"/>
                  </w:tcBorders>
                  <w:noWrap w:val="0"/>
                  <w:vAlign w:val="center"/>
                </w:tcPr>
                <w:p w14:paraId="70821F6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0.0392</w:t>
                  </w:r>
                </w:p>
              </w:tc>
            </w:tr>
            <w:tr w14:paraId="2690FE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19778C9B">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shd w:val="clear" w:color="auto" w:fill="auto"/>
                  <w:noWrap w:val="0"/>
                  <w:vAlign w:val="center"/>
                </w:tcPr>
                <w:p w14:paraId="40D14885">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666" w:type="pct"/>
                  <w:tcBorders>
                    <w:tl2br w:val="nil"/>
                    <w:tr2bl w:val="nil"/>
                  </w:tcBorders>
                  <w:noWrap w:val="0"/>
                  <w:vAlign w:val="center"/>
                </w:tcPr>
                <w:p w14:paraId="0FE30429">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450</w:t>
                  </w:r>
                </w:p>
              </w:tc>
              <w:tc>
                <w:tcPr>
                  <w:tcW w:w="699" w:type="pct"/>
                  <w:tcBorders>
                    <w:tl2br w:val="nil"/>
                    <w:tr2bl w:val="nil"/>
                  </w:tcBorders>
                  <w:noWrap w:val="0"/>
                  <w:vAlign w:val="center"/>
                </w:tcPr>
                <w:p w14:paraId="3C473225">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0.0592</w:t>
                  </w:r>
                </w:p>
              </w:tc>
              <w:tc>
                <w:tcPr>
                  <w:tcW w:w="597" w:type="pct"/>
                  <w:vMerge w:val="continue"/>
                  <w:tcBorders>
                    <w:tl2br w:val="nil"/>
                    <w:tr2bl w:val="nil"/>
                  </w:tcBorders>
                  <w:noWrap w:val="0"/>
                  <w:vAlign w:val="center"/>
                </w:tcPr>
                <w:p w14:paraId="73CDA8D7">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7DF422C4">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225</w:t>
                  </w:r>
                </w:p>
              </w:tc>
              <w:tc>
                <w:tcPr>
                  <w:tcW w:w="827" w:type="pct"/>
                  <w:tcBorders>
                    <w:tl2br w:val="nil"/>
                    <w:tr2bl w:val="nil"/>
                  </w:tcBorders>
                  <w:noWrap w:val="0"/>
                  <w:vAlign w:val="center"/>
                </w:tcPr>
                <w:p w14:paraId="66DCC64B">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0.0296</w:t>
                  </w:r>
                </w:p>
              </w:tc>
            </w:tr>
            <w:tr w14:paraId="4BFA24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137E9C9A">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shd w:val="clear" w:color="auto" w:fill="auto"/>
                  <w:noWrap w:val="0"/>
                  <w:vAlign w:val="center"/>
                </w:tcPr>
                <w:p w14:paraId="6FBAC1C5">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666" w:type="pct"/>
                  <w:tcBorders>
                    <w:tl2br w:val="nil"/>
                    <w:tr2bl w:val="nil"/>
                  </w:tcBorders>
                  <w:noWrap w:val="0"/>
                  <w:vAlign w:val="center"/>
                </w:tcPr>
                <w:p w14:paraId="02AE53D8">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699" w:type="pct"/>
                  <w:tcBorders>
                    <w:tl2br w:val="nil"/>
                    <w:tr2bl w:val="nil"/>
                  </w:tcBorders>
                  <w:noWrap w:val="0"/>
                  <w:vAlign w:val="center"/>
                </w:tcPr>
                <w:p w14:paraId="114EC8E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0.0033</w:t>
                  </w:r>
                </w:p>
              </w:tc>
              <w:tc>
                <w:tcPr>
                  <w:tcW w:w="597" w:type="pct"/>
                  <w:vMerge w:val="continue"/>
                  <w:tcBorders>
                    <w:tl2br w:val="nil"/>
                    <w:tr2bl w:val="nil"/>
                  </w:tcBorders>
                  <w:noWrap w:val="0"/>
                  <w:vAlign w:val="center"/>
                </w:tcPr>
                <w:p w14:paraId="250A386F">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7D8A0E1A">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827" w:type="pct"/>
                  <w:tcBorders>
                    <w:tl2br w:val="nil"/>
                    <w:tr2bl w:val="nil"/>
                  </w:tcBorders>
                  <w:noWrap w:val="0"/>
                  <w:vAlign w:val="center"/>
                </w:tcPr>
                <w:p w14:paraId="1FC0BF15">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0.0033</w:t>
                  </w:r>
                </w:p>
              </w:tc>
            </w:tr>
            <w:tr w14:paraId="3A5E34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72CF87C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shd w:val="clear" w:color="auto" w:fill="auto"/>
                  <w:noWrap w:val="0"/>
                  <w:vAlign w:val="center"/>
                </w:tcPr>
                <w:p w14:paraId="7C925DBD">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总氮</w:t>
                  </w:r>
                </w:p>
              </w:tc>
              <w:tc>
                <w:tcPr>
                  <w:tcW w:w="666" w:type="pct"/>
                  <w:tcBorders>
                    <w:tl2br w:val="nil"/>
                    <w:tr2bl w:val="nil"/>
                  </w:tcBorders>
                  <w:noWrap w:val="0"/>
                  <w:vAlign w:val="center"/>
                </w:tcPr>
                <w:p w14:paraId="7634EFE7">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699" w:type="pct"/>
                  <w:tcBorders>
                    <w:tl2br w:val="nil"/>
                    <w:tr2bl w:val="nil"/>
                  </w:tcBorders>
                  <w:noWrap w:val="0"/>
                  <w:vAlign w:val="center"/>
                </w:tcPr>
                <w:p w14:paraId="071F8146">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0.0066</w:t>
                  </w:r>
                </w:p>
              </w:tc>
              <w:tc>
                <w:tcPr>
                  <w:tcW w:w="597" w:type="pct"/>
                  <w:vMerge w:val="continue"/>
                  <w:tcBorders>
                    <w:tl2br w:val="nil"/>
                    <w:tr2bl w:val="nil"/>
                  </w:tcBorders>
                  <w:noWrap w:val="0"/>
                  <w:vAlign w:val="center"/>
                </w:tcPr>
                <w:p w14:paraId="31EF662D">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1277" w:type="dxa"/>
                  <w:tcBorders>
                    <w:tl2br w:val="nil"/>
                    <w:tr2bl w:val="nil"/>
                  </w:tcBorders>
                  <w:noWrap w:val="0"/>
                  <w:vAlign w:val="center"/>
                </w:tcPr>
                <w:p w14:paraId="22F18BF7">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eastAsia" w:cs="Times New Roman"/>
                      <w:color w:val="auto"/>
                      <w:sz w:val="21"/>
                      <w:szCs w:val="21"/>
                      <w:lang w:val="en-US" w:eastAsia="zh-CN"/>
                    </w:rPr>
                  </w:pPr>
                  <w:r>
                    <w:rPr>
                      <w:rFonts w:hint="eastAsia" w:cs="Times New Roman"/>
                      <w:color w:val="auto"/>
                      <w:sz w:val="21"/>
                      <w:szCs w:val="21"/>
                      <w:lang w:val="en-US" w:eastAsia="zh-CN"/>
                    </w:rPr>
                    <w:t>50</w:t>
                  </w:r>
                </w:p>
              </w:tc>
              <w:tc>
                <w:tcPr>
                  <w:tcW w:w="1306" w:type="dxa"/>
                  <w:tcBorders>
                    <w:tl2br w:val="nil"/>
                    <w:tr2bl w:val="nil"/>
                  </w:tcBorders>
                  <w:noWrap w:val="0"/>
                  <w:vAlign w:val="center"/>
                </w:tcPr>
                <w:p w14:paraId="672F4C07">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eastAsia" w:cs="Times New Roman"/>
                      <w:color w:val="auto"/>
                      <w:sz w:val="21"/>
                      <w:szCs w:val="21"/>
                      <w:lang w:val="en-US" w:eastAsia="zh-CN"/>
                    </w:rPr>
                  </w:pPr>
                  <w:r>
                    <w:rPr>
                      <w:rFonts w:hint="eastAsia" w:cs="Times New Roman"/>
                      <w:color w:val="auto"/>
                      <w:sz w:val="21"/>
                      <w:szCs w:val="21"/>
                      <w:lang w:val="en-US" w:eastAsia="zh-CN"/>
                    </w:rPr>
                    <w:t>0.0066</w:t>
                  </w:r>
                </w:p>
              </w:tc>
            </w:tr>
            <w:tr w14:paraId="5ADFDC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521A7B88">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shd w:val="clear" w:color="auto" w:fill="auto"/>
                  <w:noWrap w:val="0"/>
                  <w:vAlign w:val="center"/>
                </w:tcPr>
                <w:p w14:paraId="6646081E">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总磷</w:t>
                  </w:r>
                </w:p>
              </w:tc>
              <w:tc>
                <w:tcPr>
                  <w:tcW w:w="666" w:type="pct"/>
                  <w:tcBorders>
                    <w:tl2br w:val="nil"/>
                    <w:tr2bl w:val="nil"/>
                  </w:tcBorders>
                  <w:noWrap w:val="0"/>
                  <w:vAlign w:val="center"/>
                </w:tcPr>
                <w:p w14:paraId="456EA553">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699" w:type="pct"/>
                  <w:tcBorders>
                    <w:tl2br w:val="nil"/>
                    <w:tr2bl w:val="nil"/>
                  </w:tcBorders>
                  <w:noWrap w:val="0"/>
                  <w:vAlign w:val="center"/>
                </w:tcPr>
                <w:p w14:paraId="28C0FDC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0.0008</w:t>
                  </w:r>
                </w:p>
              </w:tc>
              <w:tc>
                <w:tcPr>
                  <w:tcW w:w="597" w:type="pct"/>
                  <w:vMerge w:val="continue"/>
                  <w:tcBorders>
                    <w:tl2br w:val="nil"/>
                    <w:tr2bl w:val="nil"/>
                  </w:tcBorders>
                  <w:noWrap w:val="0"/>
                  <w:vAlign w:val="center"/>
                </w:tcPr>
                <w:p w14:paraId="00EF3225">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0F80337E">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827" w:type="pct"/>
                  <w:tcBorders>
                    <w:tl2br w:val="nil"/>
                    <w:tr2bl w:val="nil"/>
                  </w:tcBorders>
                  <w:noWrap w:val="0"/>
                  <w:vAlign w:val="center"/>
                </w:tcPr>
                <w:p w14:paraId="6FA16767">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0.0008</w:t>
                  </w:r>
                </w:p>
              </w:tc>
            </w:tr>
            <w:tr w14:paraId="3232B6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399C1FB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shd w:val="clear" w:color="auto" w:fill="auto"/>
                  <w:noWrap w:val="0"/>
                  <w:vAlign w:val="center"/>
                </w:tcPr>
                <w:p w14:paraId="2E7D7B3A">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动植物油</w:t>
                  </w:r>
                </w:p>
              </w:tc>
              <w:tc>
                <w:tcPr>
                  <w:tcW w:w="666" w:type="pct"/>
                  <w:tcBorders>
                    <w:tl2br w:val="nil"/>
                    <w:tr2bl w:val="nil"/>
                  </w:tcBorders>
                  <w:noWrap w:val="0"/>
                  <w:vAlign w:val="center"/>
                </w:tcPr>
                <w:p w14:paraId="579AB47C">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699" w:type="pct"/>
                  <w:tcBorders>
                    <w:tl2br w:val="nil"/>
                    <w:tr2bl w:val="nil"/>
                  </w:tcBorders>
                  <w:noWrap w:val="0"/>
                  <w:vAlign w:val="center"/>
                </w:tcPr>
                <w:p w14:paraId="1AF629C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0.0066</w:t>
                  </w:r>
                </w:p>
              </w:tc>
              <w:tc>
                <w:tcPr>
                  <w:tcW w:w="597" w:type="pct"/>
                  <w:vMerge w:val="continue"/>
                  <w:tcBorders>
                    <w:tl2br w:val="nil"/>
                    <w:tr2bl w:val="nil"/>
                  </w:tcBorders>
                  <w:noWrap w:val="0"/>
                  <w:vAlign w:val="center"/>
                </w:tcPr>
                <w:p w14:paraId="4F16663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6ADBB514">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827" w:type="pct"/>
                  <w:tcBorders>
                    <w:tl2br w:val="nil"/>
                    <w:tr2bl w:val="nil"/>
                  </w:tcBorders>
                  <w:noWrap w:val="0"/>
                  <w:vAlign w:val="center"/>
                </w:tcPr>
                <w:p w14:paraId="62493E4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0.0066</w:t>
                  </w:r>
                </w:p>
              </w:tc>
            </w:tr>
            <w:tr w14:paraId="64A28D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restart"/>
                  <w:tcBorders>
                    <w:tl2br w:val="nil"/>
                    <w:tr2bl w:val="nil"/>
                  </w:tcBorders>
                  <w:noWrap w:val="0"/>
                  <w:vAlign w:val="center"/>
                </w:tcPr>
                <w:p w14:paraId="4D505CB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设备清洗废水</w:t>
                  </w:r>
                </w:p>
                <w:p w14:paraId="36C3C283">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4"/>
                      <w:szCs w:val="24"/>
                    </w:rPr>
                    <w:t>70m</w:t>
                  </w:r>
                  <w:r>
                    <w:rPr>
                      <w:rFonts w:hint="eastAsia" w:ascii="Times New Roman" w:hAnsi="Times New Roman" w:cs="Times New Roman"/>
                      <w:color w:val="auto"/>
                      <w:sz w:val="24"/>
                      <w:szCs w:val="24"/>
                      <w:vertAlign w:val="superscript"/>
                    </w:rPr>
                    <w:t>3</w:t>
                  </w:r>
                  <w:r>
                    <w:rPr>
                      <w:rFonts w:hint="eastAsia" w:ascii="Times New Roman" w:hAnsi="Times New Roman" w:cs="Times New Roman"/>
                      <w:color w:val="auto"/>
                      <w:sz w:val="24"/>
                      <w:szCs w:val="24"/>
                    </w:rPr>
                    <w:t>/a</w:t>
                  </w:r>
                </w:p>
              </w:tc>
              <w:tc>
                <w:tcPr>
                  <w:tcW w:w="698" w:type="pct"/>
                  <w:tcBorders>
                    <w:tl2br w:val="nil"/>
                    <w:tr2bl w:val="nil"/>
                  </w:tcBorders>
                  <w:shd w:val="clear" w:color="auto" w:fill="auto"/>
                  <w:noWrap w:val="0"/>
                  <w:vAlign w:val="center"/>
                </w:tcPr>
                <w:p w14:paraId="762D42F2">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666" w:type="pct"/>
                  <w:tcBorders>
                    <w:tl2br w:val="nil"/>
                    <w:tr2bl w:val="nil"/>
                  </w:tcBorders>
                  <w:noWrap w:val="0"/>
                  <w:vAlign w:val="center"/>
                </w:tcPr>
                <w:p w14:paraId="18D63F98">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cs="Times New Roman"/>
                      <w:color w:val="auto"/>
                      <w:sz w:val="21"/>
                      <w:szCs w:val="21"/>
                      <w:lang w:val="en-US" w:eastAsia="zh-CN"/>
                    </w:rPr>
                  </w:pPr>
                  <w:r>
                    <w:rPr>
                      <w:rFonts w:hint="eastAsia" w:cs="Times New Roman"/>
                      <w:color w:val="auto"/>
                      <w:sz w:val="21"/>
                      <w:szCs w:val="21"/>
                      <w:lang w:val="en-US" w:eastAsia="zh-CN"/>
                    </w:rPr>
                    <w:t>500</w:t>
                  </w:r>
                </w:p>
              </w:tc>
              <w:tc>
                <w:tcPr>
                  <w:tcW w:w="699" w:type="pct"/>
                  <w:tcBorders>
                    <w:tl2br w:val="nil"/>
                    <w:tr2bl w:val="nil"/>
                  </w:tcBorders>
                  <w:noWrap w:val="0"/>
                  <w:vAlign w:val="center"/>
                </w:tcPr>
                <w:p w14:paraId="63E13B3B">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0.035</w:t>
                  </w:r>
                </w:p>
              </w:tc>
              <w:tc>
                <w:tcPr>
                  <w:tcW w:w="597" w:type="pct"/>
                  <w:vMerge w:val="continue"/>
                  <w:tcBorders>
                    <w:tl2br w:val="nil"/>
                    <w:tr2bl w:val="nil"/>
                  </w:tcBorders>
                  <w:noWrap w:val="0"/>
                  <w:vAlign w:val="center"/>
                </w:tcPr>
                <w:p w14:paraId="719DEC3E">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01D925BF">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475</w:t>
                  </w:r>
                </w:p>
              </w:tc>
              <w:tc>
                <w:tcPr>
                  <w:tcW w:w="827" w:type="pct"/>
                  <w:tcBorders>
                    <w:tl2br w:val="nil"/>
                    <w:tr2bl w:val="nil"/>
                  </w:tcBorders>
                  <w:noWrap w:val="0"/>
                  <w:vAlign w:val="center"/>
                </w:tcPr>
                <w:p w14:paraId="764D773C">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0.0333</w:t>
                  </w:r>
                </w:p>
              </w:tc>
            </w:tr>
            <w:tr w14:paraId="6177C3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0DCF9A42">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shd w:val="clear" w:color="auto" w:fill="auto"/>
                  <w:noWrap w:val="0"/>
                  <w:vAlign w:val="center"/>
                </w:tcPr>
                <w:p w14:paraId="349D44D1">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666" w:type="pct"/>
                  <w:tcBorders>
                    <w:tl2br w:val="nil"/>
                    <w:tr2bl w:val="nil"/>
                  </w:tcBorders>
                  <w:noWrap w:val="0"/>
                  <w:vAlign w:val="center"/>
                </w:tcPr>
                <w:p w14:paraId="53B4EFA1">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cs="Times New Roman"/>
                      <w:color w:val="auto"/>
                      <w:sz w:val="21"/>
                      <w:szCs w:val="21"/>
                      <w:lang w:val="en-US" w:eastAsia="zh-CN"/>
                    </w:rPr>
                  </w:pPr>
                  <w:r>
                    <w:rPr>
                      <w:rFonts w:hint="eastAsia" w:cs="Times New Roman"/>
                      <w:color w:val="auto"/>
                      <w:sz w:val="21"/>
                      <w:szCs w:val="21"/>
                      <w:lang w:val="en-US" w:eastAsia="zh-CN"/>
                    </w:rPr>
                    <w:t>300</w:t>
                  </w:r>
                </w:p>
              </w:tc>
              <w:tc>
                <w:tcPr>
                  <w:tcW w:w="699" w:type="pct"/>
                  <w:tcBorders>
                    <w:tl2br w:val="nil"/>
                    <w:tr2bl w:val="nil"/>
                  </w:tcBorders>
                  <w:noWrap w:val="0"/>
                  <w:vAlign w:val="center"/>
                </w:tcPr>
                <w:p w14:paraId="37F0CE18">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0.021</w:t>
                  </w:r>
                </w:p>
              </w:tc>
              <w:tc>
                <w:tcPr>
                  <w:tcW w:w="597" w:type="pct"/>
                  <w:vMerge w:val="continue"/>
                  <w:tcBorders>
                    <w:tl2br w:val="nil"/>
                    <w:tr2bl w:val="nil"/>
                  </w:tcBorders>
                  <w:noWrap w:val="0"/>
                  <w:vAlign w:val="center"/>
                </w:tcPr>
                <w:p w14:paraId="5E91D4DF">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66AAD116">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255</w:t>
                  </w:r>
                </w:p>
              </w:tc>
              <w:tc>
                <w:tcPr>
                  <w:tcW w:w="827" w:type="pct"/>
                  <w:tcBorders>
                    <w:tl2br w:val="nil"/>
                    <w:tr2bl w:val="nil"/>
                  </w:tcBorders>
                  <w:noWrap w:val="0"/>
                  <w:vAlign w:val="center"/>
                </w:tcPr>
                <w:p w14:paraId="6490C7E8">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0.0179</w:t>
                  </w:r>
                </w:p>
              </w:tc>
            </w:tr>
            <w:tr w14:paraId="682FF8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5FFBCAB2">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shd w:val="clear" w:color="auto" w:fill="auto"/>
                  <w:noWrap w:val="0"/>
                  <w:vAlign w:val="center"/>
                </w:tcPr>
                <w:p w14:paraId="20AC0C44">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666" w:type="pct"/>
                  <w:tcBorders>
                    <w:tl2br w:val="nil"/>
                    <w:tr2bl w:val="nil"/>
                  </w:tcBorders>
                  <w:noWrap w:val="0"/>
                  <w:vAlign w:val="center"/>
                </w:tcPr>
                <w:p w14:paraId="324D7326">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cs="Times New Roman"/>
                      <w:color w:val="auto"/>
                      <w:sz w:val="21"/>
                      <w:szCs w:val="21"/>
                      <w:lang w:val="en-US" w:eastAsia="zh-CN"/>
                    </w:rPr>
                  </w:pPr>
                  <w:r>
                    <w:rPr>
                      <w:rFonts w:hint="eastAsia" w:cs="Times New Roman"/>
                      <w:color w:val="auto"/>
                      <w:sz w:val="21"/>
                      <w:szCs w:val="21"/>
                      <w:lang w:val="en-US" w:eastAsia="zh-CN"/>
                    </w:rPr>
                    <w:t>500</w:t>
                  </w:r>
                </w:p>
              </w:tc>
              <w:tc>
                <w:tcPr>
                  <w:tcW w:w="699" w:type="pct"/>
                  <w:tcBorders>
                    <w:tl2br w:val="nil"/>
                    <w:tr2bl w:val="nil"/>
                  </w:tcBorders>
                  <w:noWrap w:val="0"/>
                  <w:vAlign w:val="center"/>
                </w:tcPr>
                <w:p w14:paraId="0ED9ED8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0.035</w:t>
                  </w:r>
                </w:p>
              </w:tc>
              <w:tc>
                <w:tcPr>
                  <w:tcW w:w="597" w:type="pct"/>
                  <w:vMerge w:val="continue"/>
                  <w:tcBorders>
                    <w:tl2br w:val="nil"/>
                    <w:tr2bl w:val="nil"/>
                  </w:tcBorders>
                  <w:noWrap w:val="0"/>
                  <w:vAlign w:val="center"/>
                </w:tcPr>
                <w:p w14:paraId="5F36B58C">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327C8C9A">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w:t>
                  </w:r>
                </w:p>
              </w:tc>
              <w:tc>
                <w:tcPr>
                  <w:tcW w:w="827" w:type="pct"/>
                  <w:tcBorders>
                    <w:tl2br w:val="nil"/>
                    <w:tr2bl w:val="nil"/>
                  </w:tcBorders>
                  <w:noWrap w:val="0"/>
                  <w:vAlign w:val="center"/>
                </w:tcPr>
                <w:p w14:paraId="43191FA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0.0175</w:t>
                  </w:r>
                </w:p>
              </w:tc>
            </w:tr>
            <w:tr w14:paraId="751A0A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233D656B">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698" w:type="pct"/>
                  <w:tcBorders>
                    <w:tl2br w:val="nil"/>
                    <w:tr2bl w:val="nil"/>
                  </w:tcBorders>
                  <w:shd w:val="clear" w:color="auto" w:fill="auto"/>
                  <w:noWrap w:val="0"/>
                  <w:vAlign w:val="center"/>
                </w:tcPr>
                <w:p w14:paraId="22BCA2DD">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动植物油</w:t>
                  </w:r>
                </w:p>
              </w:tc>
              <w:tc>
                <w:tcPr>
                  <w:tcW w:w="666" w:type="pct"/>
                  <w:tcBorders>
                    <w:tl2br w:val="nil"/>
                    <w:tr2bl w:val="nil"/>
                  </w:tcBorders>
                  <w:noWrap w:val="0"/>
                  <w:vAlign w:val="center"/>
                </w:tcPr>
                <w:p w14:paraId="4A3C393D">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cs="Times New Roman"/>
                      <w:color w:val="auto"/>
                      <w:sz w:val="21"/>
                      <w:szCs w:val="21"/>
                      <w:lang w:val="en-US" w:eastAsia="zh-CN"/>
                    </w:rPr>
                  </w:pPr>
                  <w:r>
                    <w:rPr>
                      <w:rFonts w:hint="eastAsia" w:cs="Times New Roman"/>
                      <w:color w:val="auto"/>
                      <w:sz w:val="21"/>
                      <w:szCs w:val="21"/>
                      <w:lang w:val="en-US" w:eastAsia="zh-CN"/>
                    </w:rPr>
                    <w:t>30</w:t>
                  </w:r>
                </w:p>
              </w:tc>
              <w:tc>
                <w:tcPr>
                  <w:tcW w:w="699" w:type="pct"/>
                  <w:tcBorders>
                    <w:tl2br w:val="nil"/>
                    <w:tr2bl w:val="nil"/>
                  </w:tcBorders>
                  <w:noWrap w:val="0"/>
                  <w:vAlign w:val="center"/>
                </w:tcPr>
                <w:p w14:paraId="0AB84423">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0.0021</w:t>
                  </w:r>
                </w:p>
              </w:tc>
              <w:tc>
                <w:tcPr>
                  <w:tcW w:w="597" w:type="pct"/>
                  <w:vMerge w:val="continue"/>
                  <w:tcBorders>
                    <w:tl2br w:val="nil"/>
                    <w:tr2bl w:val="nil"/>
                  </w:tcBorders>
                  <w:noWrap w:val="0"/>
                  <w:vAlign w:val="center"/>
                </w:tcPr>
                <w:p w14:paraId="222704D4">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74677DD3">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827" w:type="pct"/>
                  <w:tcBorders>
                    <w:tl2br w:val="nil"/>
                    <w:tr2bl w:val="nil"/>
                  </w:tcBorders>
                  <w:noWrap w:val="0"/>
                  <w:vAlign w:val="center"/>
                </w:tcPr>
                <w:p w14:paraId="354E464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0.0021</w:t>
                  </w:r>
                </w:p>
              </w:tc>
            </w:tr>
            <w:tr w14:paraId="1D786C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restart"/>
                  <w:tcBorders>
                    <w:tl2br w:val="nil"/>
                    <w:tr2bl w:val="nil"/>
                  </w:tcBorders>
                  <w:noWrap w:val="0"/>
                  <w:vAlign w:val="center"/>
                </w:tcPr>
                <w:p w14:paraId="2DCB05BC">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地面清洗废水</w:t>
                  </w:r>
                </w:p>
                <w:p w14:paraId="3D22E37C">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698" w:type="pct"/>
                  <w:tcBorders>
                    <w:tl2br w:val="nil"/>
                    <w:tr2bl w:val="nil"/>
                  </w:tcBorders>
                  <w:noWrap w:val="0"/>
                  <w:vAlign w:val="center"/>
                </w:tcPr>
                <w:p w14:paraId="3C25E687">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666" w:type="pct"/>
                  <w:tcBorders>
                    <w:tl2br w:val="nil"/>
                    <w:tr2bl w:val="nil"/>
                  </w:tcBorders>
                  <w:noWrap w:val="0"/>
                  <w:vAlign w:val="center"/>
                </w:tcPr>
                <w:p w14:paraId="69165074">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699" w:type="pct"/>
                  <w:tcBorders>
                    <w:tl2br w:val="nil"/>
                    <w:tr2bl w:val="nil"/>
                  </w:tcBorders>
                  <w:noWrap w:val="0"/>
                  <w:vAlign w:val="center"/>
                </w:tcPr>
                <w:p w14:paraId="29BD18EB">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597" w:type="pct"/>
                  <w:vMerge w:val="continue"/>
                  <w:tcBorders>
                    <w:tl2br w:val="nil"/>
                    <w:tr2bl w:val="nil"/>
                  </w:tcBorders>
                  <w:noWrap w:val="0"/>
                  <w:vAlign w:val="center"/>
                </w:tcPr>
                <w:p w14:paraId="203C3176">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p>
              </w:tc>
              <w:tc>
                <w:tcPr>
                  <w:tcW w:w="809" w:type="pct"/>
                  <w:tcBorders>
                    <w:tl2br w:val="nil"/>
                    <w:tr2bl w:val="nil"/>
                  </w:tcBorders>
                  <w:noWrap w:val="0"/>
                  <w:vAlign w:val="center"/>
                </w:tcPr>
                <w:p w14:paraId="6E67EAC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475</w:t>
                  </w:r>
                </w:p>
              </w:tc>
              <w:tc>
                <w:tcPr>
                  <w:tcW w:w="827" w:type="pct"/>
                  <w:tcBorders>
                    <w:tl2br w:val="nil"/>
                    <w:tr2bl w:val="nil"/>
                  </w:tcBorders>
                  <w:noWrap w:val="0"/>
                  <w:vAlign w:val="center"/>
                </w:tcPr>
                <w:p w14:paraId="47025D0D">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0.095</w:t>
                  </w:r>
                </w:p>
              </w:tc>
            </w:tr>
            <w:tr w14:paraId="3652B9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2CEF71A7">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p>
              </w:tc>
              <w:tc>
                <w:tcPr>
                  <w:tcW w:w="698" w:type="pct"/>
                  <w:tcBorders>
                    <w:tl2br w:val="nil"/>
                    <w:tr2bl w:val="nil"/>
                  </w:tcBorders>
                  <w:noWrap w:val="0"/>
                  <w:vAlign w:val="center"/>
                </w:tcPr>
                <w:p w14:paraId="07D5B2FF">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666" w:type="pct"/>
                  <w:tcBorders>
                    <w:tl2br w:val="nil"/>
                    <w:tr2bl w:val="nil"/>
                  </w:tcBorders>
                  <w:noWrap w:val="0"/>
                  <w:vAlign w:val="center"/>
                </w:tcPr>
                <w:p w14:paraId="3155A34A">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c>
                <w:tcPr>
                  <w:tcW w:w="699" w:type="pct"/>
                  <w:tcBorders>
                    <w:tl2br w:val="nil"/>
                    <w:tr2bl w:val="nil"/>
                  </w:tcBorders>
                  <w:noWrap w:val="0"/>
                  <w:vAlign w:val="center"/>
                </w:tcPr>
                <w:p w14:paraId="51B1D3AE">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06</w:t>
                  </w:r>
                </w:p>
              </w:tc>
              <w:tc>
                <w:tcPr>
                  <w:tcW w:w="597" w:type="pct"/>
                  <w:vMerge w:val="continue"/>
                  <w:tcBorders>
                    <w:tl2br w:val="nil"/>
                    <w:tr2bl w:val="nil"/>
                  </w:tcBorders>
                  <w:noWrap w:val="0"/>
                  <w:vAlign w:val="center"/>
                </w:tcPr>
                <w:p w14:paraId="361DF026">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7F4DEA68">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255</w:t>
                  </w:r>
                </w:p>
              </w:tc>
              <w:tc>
                <w:tcPr>
                  <w:tcW w:w="827" w:type="pct"/>
                  <w:tcBorders>
                    <w:tl2br w:val="nil"/>
                    <w:tr2bl w:val="nil"/>
                  </w:tcBorders>
                  <w:noWrap w:val="0"/>
                  <w:vAlign w:val="center"/>
                </w:tcPr>
                <w:p w14:paraId="60C38857">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0.051</w:t>
                  </w:r>
                </w:p>
              </w:tc>
            </w:tr>
            <w:tr w14:paraId="53D74E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3134B6E5">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p>
              </w:tc>
              <w:tc>
                <w:tcPr>
                  <w:tcW w:w="698" w:type="pct"/>
                  <w:tcBorders>
                    <w:tl2br w:val="nil"/>
                    <w:tr2bl w:val="nil"/>
                  </w:tcBorders>
                  <w:noWrap w:val="0"/>
                  <w:vAlign w:val="center"/>
                </w:tcPr>
                <w:p w14:paraId="7C28126E">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p>
              </w:tc>
              <w:tc>
                <w:tcPr>
                  <w:tcW w:w="666" w:type="pct"/>
                  <w:tcBorders>
                    <w:tl2br w:val="nil"/>
                    <w:tr2bl w:val="nil"/>
                  </w:tcBorders>
                  <w:noWrap w:val="0"/>
                  <w:vAlign w:val="center"/>
                </w:tcPr>
                <w:p w14:paraId="39621C65">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699" w:type="pct"/>
                  <w:tcBorders>
                    <w:tl2br w:val="nil"/>
                    <w:tr2bl w:val="nil"/>
                  </w:tcBorders>
                  <w:noWrap w:val="0"/>
                  <w:vAlign w:val="center"/>
                </w:tcPr>
                <w:p w14:paraId="084E8703">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597" w:type="pct"/>
                  <w:vMerge w:val="continue"/>
                  <w:tcBorders>
                    <w:tl2br w:val="nil"/>
                    <w:tr2bl w:val="nil"/>
                  </w:tcBorders>
                  <w:noWrap w:val="0"/>
                  <w:vAlign w:val="center"/>
                </w:tcPr>
                <w:p w14:paraId="32B79724">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noWrap w:val="0"/>
                  <w:vAlign w:val="center"/>
                </w:tcPr>
                <w:p w14:paraId="1D0B47D8">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w:t>
                  </w:r>
                </w:p>
              </w:tc>
              <w:tc>
                <w:tcPr>
                  <w:tcW w:w="827" w:type="pct"/>
                  <w:tcBorders>
                    <w:tl2br w:val="nil"/>
                    <w:tr2bl w:val="nil"/>
                  </w:tcBorders>
                  <w:noWrap w:val="0"/>
                  <w:vAlign w:val="center"/>
                </w:tcPr>
                <w:p w14:paraId="545EE77C">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r>
            <w:tr w14:paraId="48271E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restart"/>
                  <w:tcBorders>
                    <w:tl2br w:val="nil"/>
                    <w:tr2bl w:val="nil"/>
                  </w:tcBorders>
                  <w:noWrap w:val="0"/>
                  <w:vAlign w:val="center"/>
                </w:tcPr>
                <w:p w14:paraId="2151267C">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eastAsia" w:cs="Times New Roman"/>
                      <w:color w:val="auto"/>
                      <w:sz w:val="21"/>
                      <w:szCs w:val="21"/>
                      <w:lang w:val="en-US" w:eastAsia="zh-CN"/>
                    </w:rPr>
                  </w:pPr>
                  <w:r>
                    <w:rPr>
                      <w:rFonts w:hint="eastAsia" w:cs="Times New Roman"/>
                      <w:color w:val="auto"/>
                      <w:sz w:val="21"/>
                      <w:szCs w:val="21"/>
                      <w:lang w:val="en-US" w:eastAsia="zh-CN"/>
                    </w:rPr>
                    <w:t>废水总排口</w:t>
                  </w:r>
                </w:p>
                <w:p w14:paraId="01712253">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cs="Times New Roman"/>
                      <w:color w:val="auto"/>
                      <w:sz w:val="21"/>
                      <w:szCs w:val="21"/>
                      <w:lang w:val="en-US" w:eastAsia="zh-CN"/>
                    </w:rPr>
                  </w:pPr>
                  <w:r>
                    <w:rPr>
                      <w:rFonts w:hint="eastAsia" w:cs="Times New Roman"/>
                      <w:color w:val="auto"/>
                      <w:sz w:val="21"/>
                      <w:szCs w:val="21"/>
                      <w:lang w:val="en-US" w:eastAsia="zh-CN"/>
                    </w:rPr>
                    <w:t>701.6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698" w:type="pct"/>
                  <w:tcBorders>
                    <w:tl2br w:val="nil"/>
                    <w:tr2bl w:val="nil"/>
                  </w:tcBorders>
                  <w:shd w:val="clear" w:color="auto" w:fill="auto"/>
                  <w:noWrap w:val="0"/>
                  <w:vAlign w:val="center"/>
                </w:tcPr>
                <w:p w14:paraId="24E164D4">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666" w:type="pct"/>
                  <w:tcBorders>
                    <w:tl2br w:val="nil"/>
                    <w:tr2bl w:val="nil"/>
                  </w:tcBorders>
                  <w:noWrap w:val="0"/>
                  <w:vAlign w:val="center"/>
                </w:tcPr>
                <w:p w14:paraId="43248EB8">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99" w:type="pct"/>
                  <w:tcBorders>
                    <w:tl2br w:val="nil"/>
                    <w:tr2bl w:val="nil"/>
                  </w:tcBorders>
                  <w:noWrap w:val="0"/>
                  <w:vAlign w:val="center"/>
                </w:tcPr>
                <w:p w14:paraId="7AF117CC">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7" w:type="pct"/>
                  <w:vMerge w:val="restart"/>
                  <w:tcBorders>
                    <w:tl2br w:val="nil"/>
                    <w:tr2bl w:val="nil"/>
                  </w:tcBorders>
                  <w:noWrap w:val="0"/>
                  <w:vAlign w:val="center"/>
                </w:tcPr>
                <w:p w14:paraId="564DC59B">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09" w:type="pct"/>
                  <w:tcBorders>
                    <w:tl2br w:val="nil"/>
                    <w:tr2bl w:val="nil"/>
                  </w:tcBorders>
                  <w:shd w:val="clear" w:color="auto" w:fill="auto"/>
                  <w:noWrap w:val="0"/>
                  <w:vAlign w:val="center"/>
                </w:tcPr>
                <w:p w14:paraId="16A94C05">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315</w:t>
                  </w:r>
                </w:p>
              </w:tc>
              <w:tc>
                <w:tcPr>
                  <w:tcW w:w="827" w:type="pct"/>
                  <w:tcBorders>
                    <w:tl2br w:val="nil"/>
                    <w:tr2bl w:val="nil"/>
                  </w:tcBorders>
                  <w:noWrap w:val="0"/>
                  <w:vAlign w:val="center"/>
                </w:tcPr>
                <w:p w14:paraId="6BDA14BE">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0.221</w:t>
                  </w:r>
                </w:p>
              </w:tc>
            </w:tr>
            <w:tr w14:paraId="4E1C16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33A378C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p>
              </w:tc>
              <w:tc>
                <w:tcPr>
                  <w:tcW w:w="698" w:type="pct"/>
                  <w:tcBorders>
                    <w:tl2br w:val="nil"/>
                    <w:tr2bl w:val="nil"/>
                  </w:tcBorders>
                  <w:shd w:val="clear" w:color="auto" w:fill="auto"/>
                  <w:noWrap w:val="0"/>
                  <w:vAlign w:val="center"/>
                </w:tcPr>
                <w:p w14:paraId="18772467">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666" w:type="pct"/>
                  <w:tcBorders>
                    <w:tl2br w:val="nil"/>
                    <w:tr2bl w:val="nil"/>
                  </w:tcBorders>
                  <w:noWrap w:val="0"/>
                  <w:vAlign w:val="center"/>
                </w:tcPr>
                <w:p w14:paraId="76AD5E0D">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99" w:type="pct"/>
                  <w:tcBorders>
                    <w:tl2br w:val="nil"/>
                    <w:tr2bl w:val="nil"/>
                  </w:tcBorders>
                  <w:noWrap w:val="0"/>
                  <w:vAlign w:val="center"/>
                </w:tcPr>
                <w:p w14:paraId="1C5885BC">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7" w:type="pct"/>
                  <w:vMerge w:val="continue"/>
                  <w:tcBorders>
                    <w:tl2br w:val="nil"/>
                    <w:tr2bl w:val="nil"/>
                  </w:tcBorders>
                  <w:noWrap w:val="0"/>
                  <w:vAlign w:val="center"/>
                </w:tcPr>
                <w:p w14:paraId="018003FF">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shd w:val="clear" w:color="auto" w:fill="auto"/>
                  <w:noWrap w:val="0"/>
                  <w:vAlign w:val="center"/>
                </w:tcPr>
                <w:p w14:paraId="06F180D9">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200</w:t>
                  </w:r>
                </w:p>
              </w:tc>
              <w:tc>
                <w:tcPr>
                  <w:tcW w:w="827" w:type="pct"/>
                  <w:tcBorders>
                    <w:tl2br w:val="nil"/>
                    <w:tr2bl w:val="nil"/>
                  </w:tcBorders>
                  <w:noWrap w:val="0"/>
                  <w:vAlign w:val="center"/>
                </w:tcPr>
                <w:p w14:paraId="5AE84B0F">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0.1403</w:t>
                  </w:r>
                </w:p>
              </w:tc>
            </w:tr>
            <w:tr w14:paraId="6992FB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4C9C3594">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p>
              </w:tc>
              <w:tc>
                <w:tcPr>
                  <w:tcW w:w="698" w:type="pct"/>
                  <w:tcBorders>
                    <w:tl2br w:val="nil"/>
                    <w:tr2bl w:val="nil"/>
                  </w:tcBorders>
                  <w:shd w:val="clear" w:color="auto" w:fill="auto"/>
                  <w:noWrap w:val="0"/>
                  <w:vAlign w:val="center"/>
                </w:tcPr>
                <w:p w14:paraId="63E881D1">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666" w:type="pct"/>
                  <w:tcBorders>
                    <w:tl2br w:val="nil"/>
                    <w:tr2bl w:val="nil"/>
                  </w:tcBorders>
                  <w:noWrap w:val="0"/>
                  <w:vAlign w:val="center"/>
                </w:tcPr>
                <w:p w14:paraId="795B9E4F">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99" w:type="pct"/>
                  <w:tcBorders>
                    <w:tl2br w:val="nil"/>
                    <w:tr2bl w:val="nil"/>
                  </w:tcBorders>
                  <w:noWrap w:val="0"/>
                  <w:vAlign w:val="center"/>
                </w:tcPr>
                <w:p w14:paraId="0B94C39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7" w:type="pct"/>
                  <w:vMerge w:val="continue"/>
                  <w:tcBorders>
                    <w:tl2br w:val="nil"/>
                    <w:tr2bl w:val="nil"/>
                  </w:tcBorders>
                  <w:noWrap w:val="0"/>
                  <w:vAlign w:val="center"/>
                </w:tcPr>
                <w:p w14:paraId="0DE6AF05">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shd w:val="clear" w:color="auto" w:fill="auto"/>
                  <w:noWrap w:val="0"/>
                  <w:vAlign w:val="center"/>
                </w:tcPr>
                <w:p w14:paraId="6F855D28">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120</w:t>
                  </w:r>
                </w:p>
              </w:tc>
              <w:tc>
                <w:tcPr>
                  <w:tcW w:w="827" w:type="pct"/>
                  <w:tcBorders>
                    <w:tl2br w:val="nil"/>
                    <w:tr2bl w:val="nil"/>
                  </w:tcBorders>
                  <w:noWrap w:val="0"/>
                  <w:vAlign w:val="center"/>
                </w:tcPr>
                <w:p w14:paraId="7D3AFD4C">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0.0842</w:t>
                  </w:r>
                </w:p>
              </w:tc>
            </w:tr>
            <w:tr w14:paraId="688520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2244CDA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p>
              </w:tc>
              <w:tc>
                <w:tcPr>
                  <w:tcW w:w="698" w:type="pct"/>
                  <w:tcBorders>
                    <w:tl2br w:val="nil"/>
                    <w:tr2bl w:val="nil"/>
                  </w:tcBorders>
                  <w:shd w:val="clear" w:color="auto" w:fill="auto"/>
                  <w:noWrap w:val="0"/>
                  <w:vAlign w:val="center"/>
                </w:tcPr>
                <w:p w14:paraId="1335F548">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666" w:type="pct"/>
                  <w:tcBorders>
                    <w:tl2br w:val="nil"/>
                    <w:tr2bl w:val="nil"/>
                  </w:tcBorders>
                  <w:noWrap w:val="0"/>
                  <w:vAlign w:val="center"/>
                </w:tcPr>
                <w:p w14:paraId="00A0F29D">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99" w:type="pct"/>
                  <w:tcBorders>
                    <w:tl2br w:val="nil"/>
                    <w:tr2bl w:val="nil"/>
                  </w:tcBorders>
                  <w:noWrap w:val="0"/>
                  <w:vAlign w:val="center"/>
                </w:tcPr>
                <w:p w14:paraId="5131392A">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7" w:type="pct"/>
                  <w:vMerge w:val="continue"/>
                  <w:tcBorders>
                    <w:tl2br w:val="nil"/>
                    <w:tr2bl w:val="nil"/>
                  </w:tcBorders>
                  <w:noWrap w:val="0"/>
                  <w:vAlign w:val="center"/>
                </w:tcPr>
                <w:p w14:paraId="1266CE1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shd w:val="clear" w:color="auto" w:fill="auto"/>
                  <w:noWrap w:val="0"/>
                  <w:vAlign w:val="center"/>
                </w:tcPr>
                <w:p w14:paraId="7A4380C0">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w:t>
                  </w:r>
                </w:p>
              </w:tc>
              <w:tc>
                <w:tcPr>
                  <w:tcW w:w="827" w:type="pct"/>
                  <w:tcBorders>
                    <w:tl2br w:val="nil"/>
                    <w:tr2bl w:val="nil"/>
                  </w:tcBorders>
                  <w:noWrap w:val="0"/>
                  <w:vAlign w:val="center"/>
                </w:tcPr>
                <w:p w14:paraId="03EADEDD">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0.0154</w:t>
                  </w:r>
                </w:p>
              </w:tc>
            </w:tr>
            <w:tr w14:paraId="31C6A5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4628EE6E">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p>
              </w:tc>
              <w:tc>
                <w:tcPr>
                  <w:tcW w:w="698" w:type="pct"/>
                  <w:tcBorders>
                    <w:tl2br w:val="nil"/>
                    <w:tr2bl w:val="nil"/>
                  </w:tcBorders>
                  <w:shd w:val="clear" w:color="auto" w:fill="auto"/>
                  <w:noWrap w:val="0"/>
                  <w:vAlign w:val="center"/>
                </w:tcPr>
                <w:p w14:paraId="739F617A">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总氮</w:t>
                  </w:r>
                </w:p>
              </w:tc>
              <w:tc>
                <w:tcPr>
                  <w:tcW w:w="666" w:type="pct"/>
                  <w:tcBorders>
                    <w:tl2br w:val="nil"/>
                    <w:tr2bl w:val="nil"/>
                  </w:tcBorders>
                  <w:noWrap w:val="0"/>
                  <w:vAlign w:val="center"/>
                </w:tcPr>
                <w:p w14:paraId="79E82042">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99" w:type="pct"/>
                  <w:tcBorders>
                    <w:tl2br w:val="nil"/>
                    <w:tr2bl w:val="nil"/>
                  </w:tcBorders>
                  <w:noWrap w:val="0"/>
                  <w:vAlign w:val="center"/>
                </w:tcPr>
                <w:p w14:paraId="40106612">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97" w:type="pct"/>
                  <w:vMerge w:val="continue"/>
                  <w:tcBorders>
                    <w:tl2br w:val="nil"/>
                    <w:tr2bl w:val="nil"/>
                  </w:tcBorders>
                  <w:noWrap w:val="0"/>
                  <w:vAlign w:val="center"/>
                </w:tcPr>
                <w:p w14:paraId="77C8894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shd w:val="clear" w:color="auto" w:fill="auto"/>
                  <w:noWrap w:val="0"/>
                  <w:vAlign w:val="center"/>
                </w:tcPr>
                <w:p w14:paraId="04FE2268">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c>
                <w:tcPr>
                  <w:tcW w:w="827" w:type="pct"/>
                  <w:tcBorders>
                    <w:tl2br w:val="nil"/>
                    <w:tr2bl w:val="nil"/>
                  </w:tcBorders>
                  <w:noWrap w:val="0"/>
                  <w:vAlign w:val="center"/>
                </w:tcPr>
                <w:p w14:paraId="2C8A5865">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0.0281</w:t>
                  </w:r>
                </w:p>
              </w:tc>
            </w:tr>
            <w:tr w14:paraId="4723D6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78550629">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p>
              </w:tc>
              <w:tc>
                <w:tcPr>
                  <w:tcW w:w="698" w:type="pct"/>
                  <w:tcBorders>
                    <w:tl2br w:val="nil"/>
                    <w:tr2bl w:val="nil"/>
                  </w:tcBorders>
                  <w:shd w:val="clear" w:color="auto" w:fill="auto"/>
                  <w:noWrap w:val="0"/>
                  <w:vAlign w:val="center"/>
                </w:tcPr>
                <w:p w14:paraId="2506A7BE">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总磷</w:t>
                  </w:r>
                </w:p>
              </w:tc>
              <w:tc>
                <w:tcPr>
                  <w:tcW w:w="666" w:type="pct"/>
                  <w:tcBorders>
                    <w:tl2br w:val="nil"/>
                    <w:tr2bl w:val="nil"/>
                  </w:tcBorders>
                  <w:noWrap w:val="0"/>
                  <w:vAlign w:val="center"/>
                </w:tcPr>
                <w:p w14:paraId="712D06A3">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99" w:type="pct"/>
                  <w:tcBorders>
                    <w:tl2br w:val="nil"/>
                    <w:tr2bl w:val="nil"/>
                  </w:tcBorders>
                  <w:noWrap w:val="0"/>
                  <w:vAlign w:val="center"/>
                </w:tcPr>
                <w:p w14:paraId="1177D885">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7" w:type="pct"/>
                  <w:vMerge w:val="continue"/>
                  <w:tcBorders>
                    <w:tl2br w:val="nil"/>
                    <w:tr2bl w:val="nil"/>
                  </w:tcBorders>
                  <w:noWrap w:val="0"/>
                  <w:vAlign w:val="center"/>
                </w:tcPr>
                <w:p w14:paraId="53A9B40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shd w:val="clear" w:color="auto" w:fill="auto"/>
                  <w:noWrap w:val="0"/>
                  <w:vAlign w:val="center"/>
                </w:tcPr>
                <w:p w14:paraId="50A2738D">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w:t>
                  </w:r>
                </w:p>
              </w:tc>
              <w:tc>
                <w:tcPr>
                  <w:tcW w:w="827" w:type="pct"/>
                  <w:tcBorders>
                    <w:tl2br w:val="nil"/>
                    <w:tr2bl w:val="nil"/>
                  </w:tcBorders>
                  <w:noWrap w:val="0"/>
                  <w:vAlign w:val="center"/>
                </w:tcPr>
                <w:p w14:paraId="0695E228">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0.0028</w:t>
                  </w:r>
                </w:p>
              </w:tc>
            </w:tr>
            <w:tr w14:paraId="54FDBB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01" w:type="pct"/>
                  <w:vMerge w:val="continue"/>
                  <w:tcBorders>
                    <w:tl2br w:val="nil"/>
                    <w:tr2bl w:val="nil"/>
                  </w:tcBorders>
                  <w:noWrap w:val="0"/>
                  <w:vAlign w:val="center"/>
                </w:tcPr>
                <w:p w14:paraId="43435F20">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right="0" w:firstLine="0"/>
                    <w:jc w:val="center"/>
                    <w:outlineLvl w:val="9"/>
                    <w:rPr>
                      <w:rFonts w:hint="default" w:ascii="Times New Roman" w:hAnsi="Times New Roman" w:eastAsia="宋体" w:cs="Times New Roman"/>
                      <w:color w:val="auto"/>
                      <w:sz w:val="21"/>
                      <w:szCs w:val="21"/>
                      <w:lang w:val="en-US" w:eastAsia="zh-CN"/>
                    </w:rPr>
                  </w:pPr>
                </w:p>
              </w:tc>
              <w:tc>
                <w:tcPr>
                  <w:tcW w:w="698" w:type="pct"/>
                  <w:tcBorders>
                    <w:tl2br w:val="nil"/>
                    <w:tr2bl w:val="nil"/>
                  </w:tcBorders>
                  <w:noWrap w:val="0"/>
                  <w:vAlign w:val="center"/>
                </w:tcPr>
                <w:p w14:paraId="4732D177">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动植物油</w:t>
                  </w:r>
                </w:p>
              </w:tc>
              <w:tc>
                <w:tcPr>
                  <w:tcW w:w="666" w:type="pct"/>
                  <w:tcBorders>
                    <w:tl2br w:val="nil"/>
                    <w:tr2bl w:val="nil"/>
                  </w:tcBorders>
                  <w:noWrap w:val="0"/>
                  <w:vAlign w:val="center"/>
                </w:tcPr>
                <w:p w14:paraId="59474449">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99" w:type="pct"/>
                  <w:tcBorders>
                    <w:tl2br w:val="nil"/>
                    <w:tr2bl w:val="nil"/>
                  </w:tcBorders>
                  <w:noWrap w:val="0"/>
                  <w:vAlign w:val="center"/>
                </w:tcPr>
                <w:p w14:paraId="13F0F9E1">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7" w:type="pct"/>
                  <w:vMerge w:val="continue"/>
                  <w:tcBorders>
                    <w:tl2br w:val="nil"/>
                    <w:tr2bl w:val="nil"/>
                  </w:tcBorders>
                  <w:noWrap w:val="0"/>
                  <w:vAlign w:val="center"/>
                </w:tcPr>
                <w:p w14:paraId="05FD768A">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p>
              </w:tc>
              <w:tc>
                <w:tcPr>
                  <w:tcW w:w="809" w:type="pct"/>
                  <w:tcBorders>
                    <w:tl2br w:val="nil"/>
                    <w:tr2bl w:val="nil"/>
                  </w:tcBorders>
                  <w:shd w:val="clear" w:color="auto" w:fill="auto"/>
                  <w:noWrap w:val="0"/>
                  <w:vAlign w:val="center"/>
                </w:tcPr>
                <w:p w14:paraId="21265F96">
                  <w:pPr>
                    <w:keepNext w:val="0"/>
                    <w:keepLines w:val="0"/>
                    <w:pageBreakBefore w:val="0"/>
                    <w:widowControl/>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25</w:t>
                  </w:r>
                </w:p>
              </w:tc>
              <w:tc>
                <w:tcPr>
                  <w:tcW w:w="827" w:type="pct"/>
                  <w:tcBorders>
                    <w:tl2br w:val="nil"/>
                    <w:tr2bl w:val="nil"/>
                  </w:tcBorders>
                  <w:noWrap w:val="0"/>
                  <w:vAlign w:val="center"/>
                </w:tcPr>
                <w:p w14:paraId="0F99FA68">
                  <w:pPr>
                    <w:keepNext w:val="0"/>
                    <w:keepLines w:val="0"/>
                    <w:pageBreakBefore w:val="0"/>
                    <w:suppressLineNumbers w:val="0"/>
                    <w:kinsoku/>
                    <w:wordWrap/>
                    <w:topLinePunct w:val="0"/>
                    <w:autoSpaceDE/>
                    <w:autoSpaceDN/>
                    <w:bidi w:val="0"/>
                    <w:adjustRightInd/>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0.018</w:t>
                  </w:r>
                </w:p>
              </w:tc>
            </w:tr>
          </w:tbl>
          <w:p w14:paraId="4FFB177F">
            <w:pPr>
              <w:pStyle w:val="16"/>
              <w:keepNext w:val="0"/>
              <w:keepLines w:val="0"/>
              <w:pageBreakBefore w:val="0"/>
              <w:widowControl w:val="0"/>
              <w:suppressLineNumbers w:val="0"/>
              <w:tabs>
                <w:tab w:val="left" w:pos="2075"/>
                <w:tab w:val="center" w:pos="4033"/>
              </w:tabs>
              <w:kinsoku/>
              <w:wordWrap/>
              <w:overflowPunct/>
              <w:topLinePunct w:val="0"/>
              <w:autoSpaceDE/>
              <w:autoSpaceDN/>
              <w:bidi w:val="0"/>
              <w:adjustRightInd/>
              <w:snapToGrid/>
              <w:spacing w:before="157" w:beforeLines="5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32"/>
                <w:lang w:val="en-US" w:eastAsia="zh-CN"/>
              </w:rPr>
            </w:pPr>
            <w:r>
              <w:rPr>
                <w:rFonts w:hint="eastAsia" w:ascii="Times New Roman" w:hAnsi="Times New Roman" w:cs="Times New Roman"/>
                <w:b/>
                <w:bCs/>
                <w:color w:val="auto"/>
                <w:sz w:val="24"/>
                <w:szCs w:val="32"/>
                <w:lang w:val="en-US" w:eastAsia="zh-CN"/>
              </w:rPr>
              <w:t>表4-</w:t>
            </w:r>
            <w:r>
              <w:rPr>
                <w:rFonts w:hint="eastAsia" w:cs="Times New Roman"/>
                <w:b/>
                <w:bCs/>
                <w:color w:val="auto"/>
                <w:sz w:val="24"/>
                <w:szCs w:val="32"/>
                <w:lang w:val="en-US" w:eastAsia="zh-CN"/>
              </w:rPr>
              <w:t>4</w:t>
            </w:r>
            <w:r>
              <w:rPr>
                <w:rFonts w:hint="eastAsia" w:ascii="Times New Roman" w:hAnsi="Times New Roman" w:cs="Times New Roman"/>
                <w:b/>
                <w:bCs/>
                <w:color w:val="auto"/>
                <w:sz w:val="24"/>
                <w:szCs w:val="32"/>
                <w:lang w:val="en-US" w:eastAsia="zh-CN"/>
              </w:rPr>
              <w:t xml:space="preserve">  污水处理厂</w:t>
            </w:r>
            <w:r>
              <w:rPr>
                <w:rFonts w:hint="eastAsia" w:cs="Times New Roman"/>
                <w:b/>
                <w:bCs/>
                <w:color w:val="auto"/>
                <w:sz w:val="24"/>
                <w:szCs w:val="32"/>
                <w:lang w:val="en-US" w:eastAsia="zh-CN"/>
              </w:rPr>
              <w:t>处理后</w:t>
            </w:r>
            <w:r>
              <w:rPr>
                <w:rFonts w:hint="eastAsia" w:ascii="Times New Roman" w:hAnsi="Times New Roman" w:cs="Times New Roman"/>
                <w:b/>
                <w:bCs/>
                <w:color w:val="auto"/>
                <w:sz w:val="24"/>
                <w:szCs w:val="32"/>
                <w:lang w:val="en-US" w:eastAsia="zh-CN"/>
              </w:rPr>
              <w:t>排放情况一览表</w:t>
            </w:r>
          </w:p>
          <w:tbl>
            <w:tblPr>
              <w:tblStyle w:val="28"/>
              <w:tblW w:w="7948" w:type="dxa"/>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15" w:type="dxa"/>
                <w:left w:w="15" w:type="dxa"/>
                <w:bottom w:w="15" w:type="dxa"/>
                <w:right w:w="15" w:type="dxa"/>
              </w:tblCellMar>
            </w:tblPr>
            <w:tblGrid>
              <w:gridCol w:w="1260"/>
              <w:gridCol w:w="750"/>
              <w:gridCol w:w="1065"/>
              <w:gridCol w:w="1065"/>
              <w:gridCol w:w="1111"/>
              <w:gridCol w:w="2697"/>
            </w:tblGrid>
            <w:tr w14:paraId="3D5624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15" w:type="dxa"/>
                  <w:left w:w="15" w:type="dxa"/>
                  <w:bottom w:w="15" w:type="dxa"/>
                  <w:right w:w="15" w:type="dxa"/>
                </w:tblCellMar>
              </w:tblPrEx>
              <w:trPr>
                <w:trHeight w:val="397" w:hRule="atLeast"/>
              </w:trPr>
              <w:tc>
                <w:tcPr>
                  <w:tcW w:w="1260" w:type="dxa"/>
                  <w:vMerge w:val="restart"/>
                  <w:tcBorders>
                    <w:tl2br w:val="nil"/>
                    <w:tr2bl w:val="nil"/>
                  </w:tcBorders>
                  <w:noWrap w:val="0"/>
                  <w:vAlign w:val="center"/>
                </w:tcPr>
                <w:p w14:paraId="005DC27E">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废水种类</w:t>
                  </w:r>
                </w:p>
              </w:tc>
              <w:tc>
                <w:tcPr>
                  <w:tcW w:w="750" w:type="dxa"/>
                  <w:vMerge w:val="restart"/>
                  <w:tcBorders>
                    <w:tl2br w:val="nil"/>
                    <w:tr2bl w:val="nil"/>
                  </w:tcBorders>
                  <w:noWrap w:val="0"/>
                  <w:vAlign w:val="center"/>
                </w:tcPr>
                <w:p w14:paraId="08C01EA6">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污染物名称</w:t>
                  </w:r>
                </w:p>
              </w:tc>
              <w:tc>
                <w:tcPr>
                  <w:tcW w:w="2130" w:type="dxa"/>
                  <w:gridSpan w:val="2"/>
                  <w:tcBorders>
                    <w:tl2br w:val="nil"/>
                    <w:tr2bl w:val="nil"/>
                  </w:tcBorders>
                  <w:noWrap w:val="0"/>
                  <w:vAlign w:val="center"/>
                </w:tcPr>
                <w:p w14:paraId="494BEA0B">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排放情况</w:t>
                  </w:r>
                </w:p>
              </w:tc>
              <w:tc>
                <w:tcPr>
                  <w:tcW w:w="1111" w:type="dxa"/>
                  <w:vMerge w:val="restart"/>
                  <w:tcBorders>
                    <w:tl2br w:val="nil"/>
                    <w:tr2bl w:val="nil"/>
                  </w:tcBorders>
                  <w:noWrap w:val="0"/>
                  <w:vAlign w:val="center"/>
                </w:tcPr>
                <w:p w14:paraId="5180F013">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处理措施</w:t>
                  </w:r>
                </w:p>
              </w:tc>
              <w:tc>
                <w:tcPr>
                  <w:tcW w:w="2697" w:type="dxa"/>
                  <w:vMerge w:val="restart"/>
                  <w:tcBorders>
                    <w:tl2br w:val="nil"/>
                    <w:tr2bl w:val="nil"/>
                  </w:tcBorders>
                  <w:noWrap w:val="0"/>
                  <w:vAlign w:val="center"/>
                </w:tcPr>
                <w:p w14:paraId="6829CBA5">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排放标准</w:t>
                  </w:r>
                </w:p>
              </w:tc>
            </w:tr>
            <w:tr w14:paraId="7CC646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15" w:type="dxa"/>
                  <w:left w:w="15" w:type="dxa"/>
                  <w:bottom w:w="15" w:type="dxa"/>
                  <w:right w:w="15" w:type="dxa"/>
                </w:tblCellMar>
              </w:tblPrEx>
              <w:trPr>
                <w:trHeight w:val="397" w:hRule="atLeast"/>
              </w:trPr>
              <w:tc>
                <w:tcPr>
                  <w:tcW w:w="1260" w:type="dxa"/>
                  <w:vMerge w:val="continue"/>
                  <w:tcBorders>
                    <w:tl2br w:val="nil"/>
                    <w:tr2bl w:val="nil"/>
                  </w:tcBorders>
                  <w:noWrap w:val="0"/>
                  <w:vAlign w:val="center"/>
                </w:tcPr>
                <w:p w14:paraId="36BFCC91">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750" w:type="dxa"/>
                  <w:vMerge w:val="continue"/>
                  <w:tcBorders>
                    <w:tl2br w:val="nil"/>
                    <w:tr2bl w:val="nil"/>
                  </w:tcBorders>
                  <w:noWrap w:val="0"/>
                  <w:vAlign w:val="center"/>
                </w:tcPr>
                <w:p w14:paraId="562C8EF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1065" w:type="dxa"/>
                  <w:tcBorders>
                    <w:tl2br w:val="nil"/>
                    <w:tr2bl w:val="nil"/>
                  </w:tcBorders>
                  <w:noWrap w:val="0"/>
                  <w:vAlign w:val="center"/>
                </w:tcPr>
                <w:p w14:paraId="2E3C994C">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浓度（mg/L）</w:t>
                  </w:r>
                </w:p>
              </w:tc>
              <w:tc>
                <w:tcPr>
                  <w:tcW w:w="1065" w:type="dxa"/>
                  <w:tcBorders>
                    <w:tl2br w:val="nil"/>
                    <w:tr2bl w:val="nil"/>
                  </w:tcBorders>
                  <w:noWrap w:val="0"/>
                  <w:vAlign w:val="center"/>
                </w:tcPr>
                <w:p w14:paraId="2BD548FB">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/a）</w:t>
                  </w:r>
                </w:p>
              </w:tc>
              <w:tc>
                <w:tcPr>
                  <w:tcW w:w="1111" w:type="dxa"/>
                  <w:vMerge w:val="continue"/>
                  <w:tcBorders>
                    <w:tl2br w:val="nil"/>
                    <w:tr2bl w:val="nil"/>
                  </w:tcBorders>
                  <w:noWrap w:val="0"/>
                  <w:vAlign w:val="center"/>
                </w:tcPr>
                <w:p w14:paraId="779BE24F">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2697" w:type="dxa"/>
                  <w:vMerge w:val="continue"/>
                  <w:tcBorders>
                    <w:tl2br w:val="nil"/>
                    <w:tr2bl w:val="nil"/>
                  </w:tcBorders>
                  <w:noWrap w:val="0"/>
                  <w:vAlign w:val="center"/>
                </w:tcPr>
                <w:p w14:paraId="60AE6986">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r>
            <w:tr w14:paraId="01A764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15" w:type="dxa"/>
                  <w:left w:w="15" w:type="dxa"/>
                  <w:bottom w:w="15" w:type="dxa"/>
                  <w:right w:w="15" w:type="dxa"/>
                </w:tblCellMar>
              </w:tblPrEx>
              <w:trPr>
                <w:trHeight w:val="397" w:hRule="atLeast"/>
              </w:trPr>
              <w:tc>
                <w:tcPr>
                  <w:tcW w:w="1260" w:type="dxa"/>
                  <w:vMerge w:val="restart"/>
                  <w:tcBorders>
                    <w:tl2br w:val="nil"/>
                    <w:tr2bl w:val="nil"/>
                  </w:tcBorders>
                  <w:noWrap w:val="0"/>
                  <w:vAlign w:val="center"/>
                </w:tcPr>
                <w:p w14:paraId="0CD56B49">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eastAsia"/>
                      <w:color w:val="auto"/>
                      <w:szCs w:val="21"/>
                      <w:lang w:val="en-US" w:eastAsia="zh-CN"/>
                    </w:rPr>
                    <w:t>综合废水</w:t>
                  </w:r>
                  <w:r>
                    <w:rPr>
                      <w:rFonts w:hint="eastAsia" w:cs="Times New Roman"/>
                      <w:color w:val="auto"/>
                      <w:sz w:val="21"/>
                      <w:szCs w:val="21"/>
                      <w:lang w:val="en-US" w:eastAsia="zh-CN"/>
                    </w:rPr>
                    <w:t>701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750" w:type="dxa"/>
                  <w:tcBorders>
                    <w:tl2br w:val="nil"/>
                    <w:tr2bl w:val="nil"/>
                  </w:tcBorders>
                  <w:noWrap w:val="0"/>
                  <w:vAlign w:val="center"/>
                </w:tcPr>
                <w:p w14:paraId="0BD9B99E">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COD</w:t>
                  </w:r>
                </w:p>
              </w:tc>
              <w:tc>
                <w:tcPr>
                  <w:tcW w:w="1065" w:type="dxa"/>
                  <w:tcBorders>
                    <w:tl2br w:val="nil"/>
                    <w:tr2bl w:val="nil"/>
                  </w:tcBorders>
                  <w:noWrap w:val="0"/>
                  <w:vAlign w:val="center"/>
                </w:tcPr>
                <w:p w14:paraId="50C5F60E">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40</w:t>
                  </w:r>
                </w:p>
              </w:tc>
              <w:tc>
                <w:tcPr>
                  <w:tcW w:w="1065" w:type="dxa"/>
                  <w:tcBorders>
                    <w:tl2br w:val="nil"/>
                    <w:tr2bl w:val="nil"/>
                  </w:tcBorders>
                  <w:noWrap w:val="0"/>
                  <w:vAlign w:val="center"/>
                </w:tcPr>
                <w:p w14:paraId="62D84FB1">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0.0</w:t>
                  </w:r>
                  <w:r>
                    <w:rPr>
                      <w:rFonts w:hint="eastAsia" w:ascii="Times New Roman" w:hAnsi="Times New Roman" w:eastAsia="宋体" w:cs="Times New Roman"/>
                      <w:b w:val="0"/>
                      <w:color w:val="auto"/>
                      <w:sz w:val="21"/>
                      <w:szCs w:val="21"/>
                      <w:lang w:val="en-US" w:eastAsia="zh-CN"/>
                    </w:rPr>
                    <w:t>2</w:t>
                  </w:r>
                  <w:r>
                    <w:rPr>
                      <w:rFonts w:hint="eastAsia" w:cs="Times New Roman"/>
                      <w:b w:val="0"/>
                      <w:color w:val="auto"/>
                      <w:sz w:val="21"/>
                      <w:szCs w:val="21"/>
                      <w:lang w:val="en-US" w:eastAsia="zh-CN"/>
                    </w:rPr>
                    <w:t>8</w:t>
                  </w:r>
                </w:p>
              </w:tc>
              <w:tc>
                <w:tcPr>
                  <w:tcW w:w="1111" w:type="dxa"/>
                  <w:vMerge w:val="restart"/>
                  <w:tcBorders>
                    <w:tl2br w:val="nil"/>
                    <w:tr2bl w:val="nil"/>
                  </w:tcBorders>
                  <w:noWrap w:val="0"/>
                  <w:vAlign w:val="center"/>
                </w:tcPr>
                <w:p w14:paraId="0D69005F">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排入老濉河</w:t>
                  </w:r>
                </w:p>
              </w:tc>
              <w:tc>
                <w:tcPr>
                  <w:tcW w:w="2697" w:type="dxa"/>
                  <w:vMerge w:val="restart"/>
                  <w:tcBorders>
                    <w:tl2br w:val="nil"/>
                    <w:tr2bl w:val="nil"/>
                  </w:tcBorders>
                  <w:noWrap w:val="0"/>
                  <w:vAlign w:val="center"/>
                </w:tcPr>
                <w:p w14:paraId="3917D303">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满足城镇污水处理厂污染物排放标准》（GB18918-2002）及其修改单一级A 类标准《巢湖流域城镇污水处理厂和工业行业主要水污染物排放限值》（DB34/2710-2016）表2中相关标准</w:t>
                  </w:r>
                </w:p>
              </w:tc>
            </w:tr>
            <w:tr w14:paraId="4C1DBA5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15" w:type="dxa"/>
                  <w:left w:w="15" w:type="dxa"/>
                  <w:bottom w:w="15" w:type="dxa"/>
                  <w:right w:w="15" w:type="dxa"/>
                </w:tblCellMar>
              </w:tblPrEx>
              <w:trPr>
                <w:trHeight w:val="397" w:hRule="atLeast"/>
              </w:trPr>
              <w:tc>
                <w:tcPr>
                  <w:tcW w:w="1260" w:type="dxa"/>
                  <w:vMerge w:val="continue"/>
                  <w:tcBorders>
                    <w:tl2br w:val="nil"/>
                    <w:tr2bl w:val="nil"/>
                  </w:tcBorders>
                  <w:noWrap w:val="0"/>
                  <w:vAlign w:val="center"/>
                </w:tcPr>
                <w:p w14:paraId="2E3C239C">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750" w:type="dxa"/>
                  <w:tcBorders>
                    <w:tl2br w:val="nil"/>
                    <w:tr2bl w:val="nil"/>
                  </w:tcBorders>
                  <w:noWrap w:val="0"/>
                  <w:vAlign w:val="center"/>
                </w:tcPr>
                <w:p w14:paraId="0006A28E">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BOD</w:t>
                  </w:r>
                  <w:r>
                    <w:rPr>
                      <w:rFonts w:hint="default" w:ascii="Times New Roman" w:hAnsi="Times New Roman" w:eastAsia="宋体" w:cs="Times New Roman"/>
                      <w:b w:val="0"/>
                      <w:color w:val="auto"/>
                      <w:sz w:val="21"/>
                      <w:szCs w:val="21"/>
                      <w:vertAlign w:val="subscript"/>
                      <w:lang w:val="en-US" w:eastAsia="zh-CN"/>
                    </w:rPr>
                    <w:t>5</w:t>
                  </w:r>
                </w:p>
              </w:tc>
              <w:tc>
                <w:tcPr>
                  <w:tcW w:w="1065" w:type="dxa"/>
                  <w:tcBorders>
                    <w:tl2br w:val="nil"/>
                    <w:tr2bl w:val="nil"/>
                  </w:tcBorders>
                  <w:noWrap w:val="0"/>
                  <w:vAlign w:val="center"/>
                </w:tcPr>
                <w:p w14:paraId="7E7440B9">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10</w:t>
                  </w:r>
                </w:p>
              </w:tc>
              <w:tc>
                <w:tcPr>
                  <w:tcW w:w="1065" w:type="dxa"/>
                  <w:tcBorders>
                    <w:tl2br w:val="nil"/>
                    <w:tr2bl w:val="nil"/>
                  </w:tcBorders>
                  <w:noWrap w:val="0"/>
                  <w:vAlign w:val="center"/>
                </w:tcPr>
                <w:p w14:paraId="402FFB1D">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0.00</w:t>
                  </w:r>
                  <w:r>
                    <w:rPr>
                      <w:rFonts w:hint="eastAsia" w:ascii="Times New Roman" w:hAnsi="Times New Roman" w:eastAsia="宋体" w:cs="Times New Roman"/>
                      <w:b w:val="0"/>
                      <w:color w:val="auto"/>
                      <w:sz w:val="21"/>
                      <w:szCs w:val="21"/>
                      <w:lang w:val="en-US" w:eastAsia="zh-CN"/>
                    </w:rPr>
                    <w:t>68</w:t>
                  </w:r>
                </w:p>
              </w:tc>
              <w:tc>
                <w:tcPr>
                  <w:tcW w:w="1111" w:type="dxa"/>
                  <w:vMerge w:val="continue"/>
                  <w:tcBorders>
                    <w:tl2br w:val="nil"/>
                    <w:tr2bl w:val="nil"/>
                  </w:tcBorders>
                  <w:noWrap w:val="0"/>
                  <w:vAlign w:val="center"/>
                </w:tcPr>
                <w:p w14:paraId="0FF44BF3">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2697" w:type="dxa"/>
                  <w:vMerge w:val="continue"/>
                  <w:tcBorders>
                    <w:tl2br w:val="nil"/>
                    <w:tr2bl w:val="nil"/>
                  </w:tcBorders>
                  <w:noWrap w:val="0"/>
                  <w:vAlign w:val="center"/>
                </w:tcPr>
                <w:p w14:paraId="4106F2C1">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r>
            <w:tr w14:paraId="0EDE6C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15" w:type="dxa"/>
                  <w:left w:w="15" w:type="dxa"/>
                  <w:bottom w:w="15" w:type="dxa"/>
                  <w:right w:w="15" w:type="dxa"/>
                </w:tblCellMar>
              </w:tblPrEx>
              <w:trPr>
                <w:trHeight w:val="397" w:hRule="atLeast"/>
              </w:trPr>
              <w:tc>
                <w:tcPr>
                  <w:tcW w:w="1260" w:type="dxa"/>
                  <w:vMerge w:val="continue"/>
                  <w:tcBorders>
                    <w:tl2br w:val="nil"/>
                    <w:tr2bl w:val="nil"/>
                  </w:tcBorders>
                  <w:noWrap w:val="0"/>
                  <w:vAlign w:val="center"/>
                </w:tcPr>
                <w:p w14:paraId="7D0E09B7">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750" w:type="dxa"/>
                  <w:tcBorders>
                    <w:tl2br w:val="nil"/>
                    <w:tr2bl w:val="nil"/>
                  </w:tcBorders>
                  <w:noWrap w:val="0"/>
                  <w:vAlign w:val="center"/>
                </w:tcPr>
                <w:p w14:paraId="3A4C660D">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SS</w:t>
                  </w:r>
                </w:p>
              </w:tc>
              <w:tc>
                <w:tcPr>
                  <w:tcW w:w="1065" w:type="dxa"/>
                  <w:tcBorders>
                    <w:tl2br w:val="nil"/>
                    <w:tr2bl w:val="nil"/>
                  </w:tcBorders>
                  <w:noWrap w:val="0"/>
                  <w:vAlign w:val="center"/>
                </w:tcPr>
                <w:p w14:paraId="620BC241">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10</w:t>
                  </w:r>
                </w:p>
              </w:tc>
              <w:tc>
                <w:tcPr>
                  <w:tcW w:w="1065" w:type="dxa"/>
                  <w:tcBorders>
                    <w:tl2br w:val="nil"/>
                    <w:tr2bl w:val="nil"/>
                  </w:tcBorders>
                  <w:noWrap w:val="0"/>
                  <w:vAlign w:val="center"/>
                </w:tcPr>
                <w:p w14:paraId="70AF7C5C">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0.00</w:t>
                  </w:r>
                  <w:r>
                    <w:rPr>
                      <w:rFonts w:hint="eastAsia" w:ascii="Times New Roman" w:hAnsi="Times New Roman" w:eastAsia="宋体" w:cs="Times New Roman"/>
                      <w:b w:val="0"/>
                      <w:color w:val="auto"/>
                      <w:sz w:val="21"/>
                      <w:szCs w:val="21"/>
                      <w:lang w:val="en-US" w:eastAsia="zh-CN"/>
                    </w:rPr>
                    <w:t>68</w:t>
                  </w:r>
                </w:p>
              </w:tc>
              <w:tc>
                <w:tcPr>
                  <w:tcW w:w="1111" w:type="dxa"/>
                  <w:vMerge w:val="continue"/>
                  <w:tcBorders>
                    <w:tl2br w:val="nil"/>
                    <w:tr2bl w:val="nil"/>
                  </w:tcBorders>
                  <w:noWrap w:val="0"/>
                  <w:vAlign w:val="center"/>
                </w:tcPr>
                <w:p w14:paraId="490B95F0">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2697" w:type="dxa"/>
                  <w:vMerge w:val="continue"/>
                  <w:tcBorders>
                    <w:tl2br w:val="nil"/>
                    <w:tr2bl w:val="nil"/>
                  </w:tcBorders>
                  <w:noWrap w:val="0"/>
                  <w:vAlign w:val="center"/>
                </w:tcPr>
                <w:p w14:paraId="359A0956">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r>
            <w:tr w14:paraId="6027DC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15" w:type="dxa"/>
                  <w:left w:w="15" w:type="dxa"/>
                  <w:bottom w:w="15" w:type="dxa"/>
                  <w:right w:w="15" w:type="dxa"/>
                </w:tblCellMar>
              </w:tblPrEx>
              <w:trPr>
                <w:trHeight w:val="397" w:hRule="atLeast"/>
              </w:trPr>
              <w:tc>
                <w:tcPr>
                  <w:tcW w:w="1260" w:type="dxa"/>
                  <w:vMerge w:val="continue"/>
                  <w:tcBorders>
                    <w:tl2br w:val="nil"/>
                    <w:tr2bl w:val="nil"/>
                  </w:tcBorders>
                  <w:noWrap w:val="0"/>
                  <w:vAlign w:val="center"/>
                </w:tcPr>
                <w:p w14:paraId="0294BEF1">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750" w:type="dxa"/>
                  <w:tcBorders>
                    <w:tl2br w:val="nil"/>
                    <w:tr2bl w:val="nil"/>
                  </w:tcBorders>
                  <w:noWrap w:val="0"/>
                  <w:vAlign w:val="center"/>
                </w:tcPr>
                <w:p w14:paraId="662FD28D">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氨氮</w:t>
                  </w:r>
                </w:p>
              </w:tc>
              <w:tc>
                <w:tcPr>
                  <w:tcW w:w="1065" w:type="dxa"/>
                  <w:tcBorders>
                    <w:tl2br w:val="nil"/>
                    <w:tr2bl w:val="nil"/>
                  </w:tcBorders>
                  <w:noWrap w:val="0"/>
                  <w:vAlign w:val="center"/>
                </w:tcPr>
                <w:p w14:paraId="2BB54926">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2.0（3.0）</w:t>
                  </w:r>
                </w:p>
              </w:tc>
              <w:tc>
                <w:tcPr>
                  <w:tcW w:w="1065" w:type="dxa"/>
                  <w:tcBorders>
                    <w:tl2br w:val="nil"/>
                    <w:tr2bl w:val="nil"/>
                  </w:tcBorders>
                  <w:noWrap w:val="0"/>
                  <w:vAlign w:val="center"/>
                </w:tcPr>
                <w:p w14:paraId="63ED6F75">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0.00</w:t>
                  </w:r>
                  <w:r>
                    <w:rPr>
                      <w:rFonts w:hint="eastAsia" w:ascii="Times New Roman" w:hAnsi="Times New Roman" w:eastAsia="宋体" w:cs="Times New Roman"/>
                      <w:b w:val="0"/>
                      <w:color w:val="auto"/>
                      <w:sz w:val="21"/>
                      <w:szCs w:val="21"/>
                      <w:lang w:val="en-US" w:eastAsia="zh-CN"/>
                    </w:rPr>
                    <w:t>14</w:t>
                  </w:r>
                </w:p>
              </w:tc>
              <w:tc>
                <w:tcPr>
                  <w:tcW w:w="1111" w:type="dxa"/>
                  <w:vMerge w:val="continue"/>
                  <w:tcBorders>
                    <w:tl2br w:val="nil"/>
                    <w:tr2bl w:val="nil"/>
                  </w:tcBorders>
                  <w:noWrap w:val="0"/>
                  <w:vAlign w:val="center"/>
                </w:tcPr>
                <w:p w14:paraId="0EB7CCBF">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2697" w:type="dxa"/>
                  <w:vMerge w:val="continue"/>
                  <w:tcBorders>
                    <w:tl2br w:val="nil"/>
                    <w:tr2bl w:val="nil"/>
                  </w:tcBorders>
                  <w:noWrap w:val="0"/>
                  <w:vAlign w:val="center"/>
                </w:tcPr>
                <w:p w14:paraId="2FF8F286">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r>
            <w:tr w14:paraId="752819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15" w:type="dxa"/>
                  <w:left w:w="15" w:type="dxa"/>
                  <w:bottom w:w="15" w:type="dxa"/>
                  <w:right w:w="15" w:type="dxa"/>
                </w:tblCellMar>
              </w:tblPrEx>
              <w:trPr>
                <w:trHeight w:val="397" w:hRule="atLeast"/>
              </w:trPr>
              <w:tc>
                <w:tcPr>
                  <w:tcW w:w="1260" w:type="dxa"/>
                  <w:vMerge w:val="continue"/>
                  <w:tcBorders>
                    <w:tl2br w:val="nil"/>
                    <w:tr2bl w:val="nil"/>
                  </w:tcBorders>
                  <w:noWrap w:val="0"/>
                  <w:vAlign w:val="center"/>
                </w:tcPr>
                <w:p w14:paraId="6CBF58BD">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750" w:type="dxa"/>
                  <w:tcBorders>
                    <w:tl2br w:val="nil"/>
                    <w:tr2bl w:val="nil"/>
                  </w:tcBorders>
                  <w:noWrap w:val="0"/>
                  <w:vAlign w:val="center"/>
                </w:tcPr>
                <w:p w14:paraId="2A9F2E43">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总氮</w:t>
                  </w:r>
                </w:p>
              </w:tc>
              <w:tc>
                <w:tcPr>
                  <w:tcW w:w="1065" w:type="dxa"/>
                  <w:tcBorders>
                    <w:tl2br w:val="nil"/>
                    <w:tr2bl w:val="nil"/>
                  </w:tcBorders>
                  <w:noWrap w:val="0"/>
                  <w:vAlign w:val="center"/>
                </w:tcPr>
                <w:p w14:paraId="14F60643">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cs="Times New Roman"/>
                      <w:b w:val="0"/>
                      <w:color w:val="auto"/>
                      <w:sz w:val="21"/>
                      <w:szCs w:val="21"/>
                      <w:lang w:val="en-US" w:eastAsia="zh-CN"/>
                    </w:rPr>
                  </w:pPr>
                  <w:r>
                    <w:rPr>
                      <w:rFonts w:hint="eastAsia" w:cs="Times New Roman"/>
                      <w:b w:val="0"/>
                      <w:color w:val="auto"/>
                      <w:sz w:val="21"/>
                      <w:szCs w:val="21"/>
                      <w:lang w:val="en-US" w:eastAsia="zh-CN"/>
                    </w:rPr>
                    <w:t>10（12）</w:t>
                  </w:r>
                </w:p>
              </w:tc>
              <w:tc>
                <w:tcPr>
                  <w:tcW w:w="1065" w:type="dxa"/>
                  <w:tcBorders>
                    <w:tl2br w:val="nil"/>
                    <w:tr2bl w:val="nil"/>
                  </w:tcBorders>
                  <w:noWrap w:val="0"/>
                  <w:vAlign w:val="center"/>
                </w:tcPr>
                <w:p w14:paraId="7E7B8DFA">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cs="Times New Roman"/>
                      <w:b w:val="0"/>
                      <w:color w:val="auto"/>
                      <w:sz w:val="21"/>
                      <w:szCs w:val="21"/>
                      <w:lang w:val="en-US" w:eastAsia="zh-CN"/>
                    </w:rPr>
                  </w:pPr>
                  <w:r>
                    <w:rPr>
                      <w:rFonts w:hint="eastAsia" w:cs="Times New Roman"/>
                      <w:b w:val="0"/>
                      <w:color w:val="auto"/>
                      <w:sz w:val="21"/>
                      <w:szCs w:val="21"/>
                      <w:lang w:val="en-US" w:eastAsia="zh-CN"/>
                    </w:rPr>
                    <w:t>0.007</w:t>
                  </w:r>
                </w:p>
              </w:tc>
              <w:tc>
                <w:tcPr>
                  <w:tcW w:w="1111" w:type="dxa"/>
                  <w:vMerge w:val="continue"/>
                  <w:tcBorders>
                    <w:tl2br w:val="nil"/>
                    <w:tr2bl w:val="nil"/>
                  </w:tcBorders>
                  <w:noWrap w:val="0"/>
                  <w:vAlign w:val="center"/>
                </w:tcPr>
                <w:p w14:paraId="690628B5">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2697" w:type="dxa"/>
                  <w:vMerge w:val="continue"/>
                  <w:tcBorders>
                    <w:tl2br w:val="nil"/>
                    <w:tr2bl w:val="nil"/>
                  </w:tcBorders>
                  <w:noWrap w:val="0"/>
                  <w:vAlign w:val="center"/>
                </w:tcPr>
                <w:p w14:paraId="27A535B6">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r>
            <w:tr w14:paraId="2E484E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15" w:type="dxa"/>
                  <w:left w:w="15" w:type="dxa"/>
                  <w:bottom w:w="15" w:type="dxa"/>
                  <w:right w:w="15" w:type="dxa"/>
                </w:tblCellMar>
              </w:tblPrEx>
              <w:trPr>
                <w:trHeight w:val="397" w:hRule="atLeast"/>
              </w:trPr>
              <w:tc>
                <w:tcPr>
                  <w:tcW w:w="1260" w:type="dxa"/>
                  <w:vMerge w:val="continue"/>
                  <w:tcBorders>
                    <w:tl2br w:val="nil"/>
                    <w:tr2bl w:val="nil"/>
                  </w:tcBorders>
                  <w:noWrap w:val="0"/>
                  <w:vAlign w:val="center"/>
                </w:tcPr>
                <w:p w14:paraId="15A2A4C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750" w:type="dxa"/>
                  <w:tcBorders>
                    <w:tl2br w:val="nil"/>
                    <w:tr2bl w:val="nil"/>
                  </w:tcBorders>
                  <w:noWrap w:val="0"/>
                  <w:vAlign w:val="center"/>
                </w:tcPr>
                <w:p w14:paraId="39DA4D79">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color w:val="auto"/>
                      <w:sz w:val="21"/>
                      <w:szCs w:val="21"/>
                      <w:lang w:val="en-US" w:eastAsia="zh-CN"/>
                    </w:rPr>
                    <w:t>总磷</w:t>
                  </w:r>
                </w:p>
              </w:tc>
              <w:tc>
                <w:tcPr>
                  <w:tcW w:w="1065" w:type="dxa"/>
                  <w:tcBorders>
                    <w:tl2br w:val="nil"/>
                    <w:tr2bl w:val="nil"/>
                  </w:tcBorders>
                  <w:noWrap w:val="0"/>
                  <w:vAlign w:val="center"/>
                </w:tcPr>
                <w:p w14:paraId="24AFD3FF">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0.3</w:t>
                  </w:r>
                </w:p>
              </w:tc>
              <w:tc>
                <w:tcPr>
                  <w:tcW w:w="1065" w:type="dxa"/>
                  <w:tcBorders>
                    <w:tl2br w:val="nil"/>
                    <w:tr2bl w:val="nil"/>
                  </w:tcBorders>
                  <w:noWrap w:val="0"/>
                  <w:vAlign w:val="center"/>
                </w:tcPr>
                <w:p w14:paraId="7A840EA3">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0.0002</w:t>
                  </w:r>
                </w:p>
              </w:tc>
              <w:tc>
                <w:tcPr>
                  <w:tcW w:w="1111" w:type="dxa"/>
                  <w:vMerge w:val="continue"/>
                  <w:tcBorders>
                    <w:tl2br w:val="nil"/>
                    <w:tr2bl w:val="nil"/>
                  </w:tcBorders>
                  <w:noWrap w:val="0"/>
                  <w:vAlign w:val="center"/>
                </w:tcPr>
                <w:p w14:paraId="0788CA67">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2697" w:type="dxa"/>
                  <w:vMerge w:val="continue"/>
                  <w:tcBorders>
                    <w:tl2br w:val="nil"/>
                    <w:tr2bl w:val="nil"/>
                  </w:tcBorders>
                  <w:noWrap w:val="0"/>
                  <w:vAlign w:val="center"/>
                </w:tcPr>
                <w:p w14:paraId="56A0B348">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r>
            <w:tr w14:paraId="37479E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15" w:type="dxa"/>
                  <w:left w:w="15" w:type="dxa"/>
                  <w:bottom w:w="15" w:type="dxa"/>
                  <w:right w:w="15" w:type="dxa"/>
                </w:tblCellMar>
              </w:tblPrEx>
              <w:trPr>
                <w:trHeight w:val="397" w:hRule="atLeast"/>
              </w:trPr>
              <w:tc>
                <w:tcPr>
                  <w:tcW w:w="1260" w:type="dxa"/>
                  <w:vMerge w:val="continue"/>
                  <w:tcBorders>
                    <w:tl2br w:val="nil"/>
                    <w:tr2bl w:val="nil"/>
                  </w:tcBorders>
                  <w:noWrap w:val="0"/>
                  <w:vAlign w:val="center"/>
                </w:tcPr>
                <w:p w14:paraId="7C649BBD">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750" w:type="dxa"/>
                  <w:tcBorders>
                    <w:tl2br w:val="nil"/>
                    <w:tr2bl w:val="nil"/>
                  </w:tcBorders>
                  <w:noWrap w:val="0"/>
                  <w:vAlign w:val="center"/>
                </w:tcPr>
                <w:p w14:paraId="69DFB297">
                  <w:pPr>
                    <w:keepNext w:val="0"/>
                    <w:keepLines w:val="0"/>
                    <w:pageBreakBefore w:val="0"/>
                    <w:suppressLineNumbers w:val="0"/>
                    <w:kinsoku/>
                    <w:wordWrap/>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color w:val="auto"/>
                      <w:sz w:val="21"/>
                      <w:szCs w:val="21"/>
                      <w:lang w:val="en-US" w:eastAsia="zh-CN"/>
                    </w:rPr>
                  </w:pPr>
                  <w:r>
                    <w:rPr>
                      <w:rFonts w:hint="eastAsia" w:cs="Times New Roman"/>
                      <w:color w:val="auto"/>
                      <w:sz w:val="21"/>
                      <w:szCs w:val="21"/>
                      <w:lang w:val="en-US" w:eastAsia="zh-CN"/>
                    </w:rPr>
                    <w:t>动植物油</w:t>
                  </w:r>
                </w:p>
              </w:tc>
              <w:tc>
                <w:tcPr>
                  <w:tcW w:w="1065" w:type="dxa"/>
                  <w:tcBorders>
                    <w:tl2br w:val="nil"/>
                    <w:tr2bl w:val="nil"/>
                  </w:tcBorders>
                  <w:noWrap w:val="0"/>
                  <w:vAlign w:val="center"/>
                </w:tcPr>
                <w:p w14:paraId="500A7FFA">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1</w:t>
                  </w:r>
                </w:p>
              </w:tc>
              <w:tc>
                <w:tcPr>
                  <w:tcW w:w="1065" w:type="dxa"/>
                  <w:tcBorders>
                    <w:tl2br w:val="nil"/>
                    <w:tr2bl w:val="nil"/>
                  </w:tcBorders>
                  <w:noWrap w:val="0"/>
                  <w:vAlign w:val="center"/>
                </w:tcPr>
                <w:p w14:paraId="5734996B">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0.0007</w:t>
                  </w:r>
                </w:p>
              </w:tc>
              <w:tc>
                <w:tcPr>
                  <w:tcW w:w="1111" w:type="dxa"/>
                  <w:vMerge w:val="continue"/>
                  <w:tcBorders>
                    <w:tl2br w:val="nil"/>
                    <w:tr2bl w:val="nil"/>
                  </w:tcBorders>
                  <w:noWrap w:val="0"/>
                  <w:vAlign w:val="center"/>
                </w:tcPr>
                <w:p w14:paraId="0D6B5972">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c>
                <w:tcPr>
                  <w:tcW w:w="2697" w:type="dxa"/>
                  <w:vMerge w:val="continue"/>
                  <w:tcBorders>
                    <w:tl2br w:val="nil"/>
                    <w:tr2bl w:val="nil"/>
                  </w:tcBorders>
                  <w:noWrap w:val="0"/>
                  <w:vAlign w:val="center"/>
                </w:tcPr>
                <w:p w14:paraId="0B231E63">
                  <w:pPr>
                    <w:keepNext/>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val="0"/>
                      <w:color w:val="auto"/>
                      <w:sz w:val="21"/>
                      <w:szCs w:val="21"/>
                      <w:lang w:val="en-US" w:eastAsia="zh-CN"/>
                    </w:rPr>
                  </w:pPr>
                </w:p>
              </w:tc>
            </w:tr>
          </w:tbl>
          <w:p w14:paraId="063D7613">
            <w:pPr>
              <w:keepNext w:val="0"/>
              <w:keepLines w:val="0"/>
              <w:pageBreakBefore w:val="0"/>
              <w:widowControl w:val="0"/>
              <w:suppressLineNumbers w:val="0"/>
              <w:tabs>
                <w:tab w:val="left" w:pos="9540"/>
              </w:tabs>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b/>
                <w:bCs/>
                <w:color w:val="auto"/>
                <w:sz w:val="24"/>
              </w:rPr>
            </w:pPr>
            <w:r>
              <w:rPr>
                <w:rFonts w:hint="eastAsia" w:cs="Times New Roman"/>
                <w:b/>
                <w:bCs/>
                <w:color w:val="auto"/>
                <w:sz w:val="24"/>
                <w:szCs w:val="24"/>
                <w:lang w:val="en-US" w:eastAsia="zh-CN"/>
              </w:rPr>
              <w:t>2.2</w:t>
            </w:r>
            <w:r>
              <w:rPr>
                <w:rFonts w:hint="eastAsia"/>
                <w:b/>
                <w:bCs/>
                <w:color w:val="auto"/>
                <w:sz w:val="24"/>
              </w:rPr>
              <w:t>废水处理</w:t>
            </w:r>
            <w:r>
              <w:rPr>
                <w:rFonts w:hint="eastAsia"/>
                <w:b/>
                <w:bCs/>
                <w:color w:val="auto"/>
                <w:sz w:val="24"/>
                <w:lang w:val="en-US" w:eastAsia="zh-CN"/>
              </w:rPr>
              <w:t>设施依托</w:t>
            </w:r>
            <w:r>
              <w:rPr>
                <w:rFonts w:hint="eastAsia"/>
                <w:b/>
                <w:bCs/>
                <w:color w:val="auto"/>
                <w:sz w:val="24"/>
              </w:rPr>
              <w:t>可行性分析</w:t>
            </w:r>
          </w:p>
          <w:p w14:paraId="3461DC80">
            <w:pPr>
              <w:keepNext w:val="0"/>
              <w:keepLines w:val="0"/>
              <w:pageBreakBefore w:val="0"/>
              <w:widowControl w:val="0"/>
              <w:suppressLineNumbers w:val="0"/>
              <w:tabs>
                <w:tab w:val="left" w:pos="954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b/>
                <w:bCs/>
                <w:color w:val="auto"/>
                <w:sz w:val="24"/>
                <w:lang w:val="en-US" w:eastAsia="zh-CN"/>
              </w:rPr>
            </w:pPr>
            <w:r>
              <w:rPr>
                <w:rFonts w:hint="eastAsia" w:ascii="Times New Roman" w:hAnsi="Times New Roman" w:cs="Times New Roman"/>
                <w:color w:val="auto"/>
                <w:sz w:val="24"/>
                <w:szCs w:val="24"/>
                <w:lang w:val="en-US" w:eastAsia="zh-CN"/>
              </w:rPr>
              <w:t>本项目</w:t>
            </w:r>
            <w:r>
              <w:rPr>
                <w:rFonts w:hint="eastAsia" w:ascii="Times New Roman" w:hAnsi="Times New Roman" w:cs="宋体"/>
                <w:color w:val="auto"/>
                <w:sz w:val="24"/>
                <w:szCs w:val="24"/>
                <w:lang w:val="en-US" w:eastAsia="zh-CN"/>
              </w:rPr>
              <w:t>生活污水经化粪池预处理后接管进入</w:t>
            </w:r>
            <w:r>
              <w:rPr>
                <w:rFonts w:hint="eastAsia" w:cs="宋体"/>
                <w:color w:val="auto"/>
                <w:sz w:val="24"/>
              </w:rPr>
              <w:t>安徽淮相科技发展有限公司第二污水处理厂</w:t>
            </w:r>
            <w:r>
              <w:rPr>
                <w:rFonts w:hint="eastAsia" w:cs="宋体"/>
                <w:color w:val="auto"/>
                <w:sz w:val="24"/>
                <w:lang w:eastAsia="zh-CN"/>
              </w:rPr>
              <w:t>；</w:t>
            </w:r>
            <w:r>
              <w:rPr>
                <w:rFonts w:hint="eastAsia" w:ascii="Times New Roman" w:hAnsi="Times New Roman" w:cs="宋体"/>
                <w:color w:val="auto"/>
                <w:sz w:val="24"/>
                <w:szCs w:val="24"/>
                <w:lang w:val="en-US" w:eastAsia="zh-CN"/>
              </w:rPr>
              <w:t>本项目原料清洗废水、设备清洗废水</w:t>
            </w:r>
            <w:r>
              <w:rPr>
                <w:rFonts w:hint="eastAsia" w:cs="宋体"/>
                <w:color w:val="auto"/>
                <w:sz w:val="24"/>
                <w:szCs w:val="24"/>
                <w:lang w:val="en-US" w:eastAsia="zh-CN"/>
              </w:rPr>
              <w:t>、地面清洗废水</w:t>
            </w:r>
            <w:r>
              <w:rPr>
                <w:rFonts w:hint="eastAsia" w:ascii="Times New Roman" w:hAnsi="Times New Roman" w:cs="宋体"/>
                <w:color w:val="auto"/>
                <w:sz w:val="24"/>
                <w:szCs w:val="24"/>
                <w:lang w:val="en-US" w:eastAsia="zh-CN"/>
              </w:rPr>
              <w:t>经沉淀池处理后接管进入</w:t>
            </w:r>
            <w:r>
              <w:rPr>
                <w:rFonts w:hint="eastAsia" w:cs="宋体"/>
                <w:color w:val="auto"/>
                <w:sz w:val="24"/>
              </w:rPr>
              <w:t>安徽淮相科技发展有限公司第二污水处理厂</w:t>
            </w:r>
            <w:r>
              <w:rPr>
                <w:rFonts w:hint="eastAsia" w:ascii="Times New Roman" w:hAnsi="Times New Roman" w:cs="宋体"/>
                <w:color w:val="auto"/>
                <w:sz w:val="24"/>
                <w:szCs w:val="24"/>
                <w:lang w:val="en-US" w:eastAsia="zh-CN"/>
              </w:rPr>
              <w:t>，处理达标后排入老濉河</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企业已</w:t>
            </w:r>
            <w:r>
              <w:rPr>
                <w:rFonts w:hint="default" w:ascii="Times New Roman" w:hAnsi="Times New Roman" w:eastAsia="宋体" w:cs="Times New Roman"/>
                <w:color w:val="auto"/>
                <w:sz w:val="24"/>
                <w:highlight w:val="none"/>
                <w:lang w:val="en-US" w:eastAsia="zh-CN"/>
              </w:rPr>
              <w:t>设置</w:t>
            </w:r>
            <w:r>
              <w:rPr>
                <w:rFonts w:hint="default" w:ascii="Times New Roman" w:hAnsi="Times New Roman" w:eastAsia="宋体" w:cs="Times New Roman"/>
                <w:color w:val="auto"/>
                <w:sz w:val="24"/>
                <w:highlight w:val="none"/>
              </w:rPr>
              <w:t>1座</w:t>
            </w:r>
            <w:r>
              <w:rPr>
                <w:rFonts w:hint="eastAsia"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沉淀池，</w:t>
            </w:r>
            <w:r>
              <w:rPr>
                <w:rFonts w:hint="default" w:ascii="Times New Roman" w:hAnsi="Times New Roman" w:eastAsia="宋体" w:cs="Times New Roman"/>
                <w:color w:val="auto"/>
                <w:sz w:val="24"/>
                <w:highlight w:val="none"/>
                <w:lang w:val="en-US" w:eastAsia="zh-CN"/>
              </w:rPr>
              <w:t>沉淀池设置隔板，采用二级沉淀处理工艺，废水处理量为</w:t>
            </w:r>
            <w:r>
              <w:rPr>
                <w:rFonts w:hint="eastAsia" w:ascii="Times New Roman" w:hAnsi="Times New Roman" w:eastAsia="宋体" w:cs="Times New Roman"/>
                <w:color w:val="auto"/>
                <w:sz w:val="24"/>
                <w:highlight w:val="none"/>
                <w:lang w:val="en-US" w:eastAsia="zh-CN"/>
              </w:rPr>
              <w:t>6.5</w:t>
            </w:r>
            <w:r>
              <w:rPr>
                <w:rFonts w:hint="default" w:ascii="Times New Roman" w:hAnsi="Times New Roman" w:eastAsia="宋体" w:cs="Times New Roman"/>
                <w:bCs/>
                <w:color w:val="auto"/>
                <w:sz w:val="24"/>
                <w:highlight w:val="none"/>
              </w:rPr>
              <w:t>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vertAlign w:val="baseline"/>
                <w:lang w:val="en-US" w:eastAsia="zh-CN"/>
              </w:rPr>
              <w:t>/</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bCs/>
                <w:color w:val="auto"/>
                <w:sz w:val="24"/>
                <w:highlight w:val="none"/>
                <w:vertAlign w:val="baseline"/>
                <w:lang w:val="en-US" w:eastAsia="zh-CN"/>
              </w:rPr>
              <w:t>d，</w:t>
            </w:r>
            <w:r>
              <w:rPr>
                <w:rFonts w:hint="default" w:ascii="Times New Roman" w:hAnsi="Times New Roman" w:eastAsia="宋体" w:cs="Times New Roman"/>
                <w:color w:val="auto"/>
                <w:sz w:val="24"/>
                <w:highlight w:val="none"/>
                <w:lang w:val="en-US" w:eastAsia="zh-CN"/>
              </w:rPr>
              <w:t>沉淀池的停留时间为1-2h，每日处理时长为</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h</w:t>
            </w:r>
            <w:r>
              <w:rPr>
                <w:rFonts w:hint="eastAsia" w:ascii="Times New Roman" w:hAnsi="Times New Roman" w:eastAsia="宋体" w:cs="Times New Roman"/>
                <w:color w:val="auto"/>
                <w:sz w:val="24"/>
                <w:highlight w:val="none"/>
                <w:lang w:val="en-US" w:eastAsia="zh-CN"/>
              </w:rPr>
              <w:t>。现有工程生产废水排放量为0.36m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/d，扣除现有工程生产废水处理量，企业沉淀池尚有余量6.14m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/d，本项目生产废水排放量为1.6064m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因此</w:t>
            </w:r>
            <w:r>
              <w:rPr>
                <w:rFonts w:hint="eastAsia" w:ascii="Times New Roman" w:hAnsi="Times New Roman" w:eastAsia="宋体" w:cs="Times New Roman"/>
                <w:bCs/>
                <w:color w:val="auto"/>
                <w:sz w:val="24"/>
                <w:highlight w:val="none"/>
                <w:vertAlign w:val="baseline"/>
                <w:lang w:val="en-US" w:eastAsia="zh-CN"/>
              </w:rPr>
              <w:t>本项目依托公司沉淀池，其规模可行</w:t>
            </w:r>
            <w:r>
              <w:rPr>
                <w:rFonts w:hint="default"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本项目为食品加工企业</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仅食品清洗和设备清洗等环节产生废水，废水中主要污染物以生化性较好的COD</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 xml:space="preserve"> BOD</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总磷</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氨氮等污染物为主，类比现有项目的实测数据可知，项目的废水主要污染物浓度不高，生化性较好，故本次在厂区</w:t>
            </w:r>
            <w:r>
              <w:rPr>
                <w:rFonts w:hint="eastAsia" w:cs="Times New Roman"/>
                <w:bCs/>
                <w:color w:val="auto"/>
                <w:sz w:val="24"/>
                <w:highlight w:val="none"/>
                <w:lang w:val="en-US" w:eastAsia="zh-CN"/>
              </w:rPr>
              <w:t>主要</w:t>
            </w:r>
            <w:r>
              <w:rPr>
                <w:rFonts w:hint="eastAsia" w:ascii="Times New Roman" w:hAnsi="Times New Roman" w:eastAsia="宋体" w:cs="Times New Roman"/>
                <w:bCs/>
                <w:color w:val="auto"/>
                <w:sz w:val="24"/>
                <w:highlight w:val="none"/>
                <w:lang w:val="en-US" w:eastAsia="zh-CN"/>
              </w:rPr>
              <w:t>对废水</w:t>
            </w:r>
            <w:r>
              <w:rPr>
                <w:rFonts w:hint="eastAsia" w:cs="Times New Roman"/>
                <w:bCs/>
                <w:color w:val="auto"/>
                <w:sz w:val="24"/>
                <w:highlight w:val="none"/>
                <w:lang w:val="en-US" w:eastAsia="zh-CN"/>
              </w:rPr>
              <w:t>存</w:t>
            </w:r>
            <w:r>
              <w:rPr>
                <w:rFonts w:hint="eastAsia" w:ascii="Times New Roman" w:hAnsi="Times New Roman" w:eastAsia="宋体" w:cs="Times New Roman"/>
                <w:bCs/>
                <w:color w:val="auto"/>
                <w:sz w:val="24"/>
                <w:highlight w:val="none"/>
                <w:lang w:val="en-US" w:eastAsia="zh-CN"/>
              </w:rPr>
              <w:t>在较大的颗粒物进行去除，出水水质可满足</w:t>
            </w:r>
            <w:r>
              <w:rPr>
                <w:rFonts w:hint="eastAsia" w:cs="宋体"/>
                <w:color w:val="auto"/>
                <w:sz w:val="24"/>
              </w:rPr>
              <w:t>安徽淮相科技发展有限公司第二污水处理厂</w:t>
            </w:r>
            <w:r>
              <w:rPr>
                <w:rFonts w:hint="eastAsia" w:ascii="Times New Roman" w:hAnsi="Times New Roman" w:eastAsia="宋体" w:cs="Times New Roman"/>
                <w:bCs/>
                <w:color w:val="auto"/>
                <w:sz w:val="24"/>
                <w:highlight w:val="none"/>
                <w:lang w:val="en-US" w:eastAsia="zh-CN"/>
              </w:rPr>
              <w:t>的进水水质控制要求</w:t>
            </w:r>
            <w:r>
              <w:rPr>
                <w:rFonts w:hint="default" w:ascii="Times New Roman" w:hAnsi="Times New Roman" w:cs="Times New Roman"/>
                <w:color w:val="auto"/>
                <w:sz w:val="24"/>
                <w:szCs w:val="24"/>
                <w:highlight w:val="none"/>
              </w:rPr>
              <w:t>。</w:t>
            </w:r>
          </w:p>
          <w:p w14:paraId="470886E5">
            <w:pPr>
              <w:keepNext w:val="0"/>
              <w:keepLines w:val="0"/>
              <w:pageBreakBefore w:val="0"/>
              <w:widowControl w:val="0"/>
              <w:suppressLineNumbers w:val="0"/>
              <w:tabs>
                <w:tab w:val="left" w:pos="9540"/>
              </w:tabs>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rPr>
              <w:t>污水处理厂接管可行性分析</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rPr>
              <w:t xml:space="preserve">                                                                                                                                                                                                                                                                                                                                                                                                                                                                                                                                                                                                                                                                                                                                                                                                                                                                                                                                                                                                                                                                                                                                                                                                                                                                                                                                                                                                                                                                                                                                                                                                                                                                                                                                                                                        </w:t>
            </w:r>
          </w:p>
          <w:p w14:paraId="5A5CA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cs="Times New Roman"/>
                <w:color w:val="auto"/>
                <w:sz w:val="24"/>
              </w:rPr>
              <w:t>安徽淮相科技发展有限公司第二污水处理厂</w:t>
            </w:r>
            <w:r>
              <w:rPr>
                <w:rFonts w:hint="default" w:ascii="Times New Roman" w:hAnsi="Times New Roman" w:eastAsia="宋体" w:cs="Times New Roman"/>
                <w:color w:val="auto"/>
                <w:sz w:val="24"/>
                <w:szCs w:val="24"/>
              </w:rPr>
              <w:t>概况</w:t>
            </w:r>
          </w:p>
          <w:p w14:paraId="26BCB2E3">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szCs w:val="24"/>
                <w:lang w:eastAsia="zh-CN"/>
              </w:rPr>
            </w:pPr>
            <w:r>
              <w:rPr>
                <w:rFonts w:hint="default" w:ascii="Times New Roman" w:hAnsi="Times New Roman" w:cs="Times New Roman"/>
                <w:szCs w:val="24"/>
              </w:rPr>
              <w:t>2023年1月19日，淮北市生态环境局以淮相环行[2023]1号文关于《安徽淮相科技发展有限公司第二污水处理厂项目（一期）环境影响报告书》的批复对该项目环评文件予以批复</w:t>
            </w:r>
            <w:r>
              <w:rPr>
                <w:rFonts w:hint="default" w:ascii="Times New Roman" w:hAnsi="Times New Roman" w:cs="Times New Roman"/>
                <w:szCs w:val="24"/>
                <w:lang w:eastAsia="zh-CN"/>
              </w:rPr>
              <w:t>；</w:t>
            </w:r>
            <w:r>
              <w:rPr>
                <w:rFonts w:hint="default" w:ascii="Times New Roman" w:hAnsi="Times New Roman" w:cs="Times New Roman"/>
                <w:szCs w:val="24"/>
              </w:rPr>
              <w:t>2023年10月30日申领排污许可证，编号：91340600MA2UNLR961002V</w:t>
            </w:r>
            <w:r>
              <w:rPr>
                <w:rFonts w:hint="default" w:ascii="Times New Roman" w:hAnsi="Times New Roman" w:cs="Times New Roman"/>
                <w:szCs w:val="24"/>
                <w:lang w:eastAsia="zh-CN"/>
              </w:rPr>
              <w:t>；</w:t>
            </w:r>
            <w:r>
              <w:rPr>
                <w:rFonts w:hint="default" w:ascii="Times New Roman" w:hAnsi="Times New Roman" w:cs="Times New Roman"/>
                <w:szCs w:val="24"/>
              </w:rPr>
              <w:t>2023年11月建设竣工</w:t>
            </w:r>
            <w:r>
              <w:rPr>
                <w:rFonts w:hint="default" w:ascii="Times New Roman" w:hAnsi="Times New Roman" w:cs="Times New Roman"/>
                <w:szCs w:val="24"/>
                <w:lang w:eastAsia="zh-CN"/>
              </w:rPr>
              <w:t>，</w:t>
            </w:r>
            <w:r>
              <w:rPr>
                <w:rFonts w:hint="default" w:ascii="Times New Roman" w:hAnsi="Times New Roman" w:cs="Times New Roman"/>
                <w:szCs w:val="24"/>
              </w:rPr>
              <w:t>运行调试</w:t>
            </w:r>
            <w:r>
              <w:rPr>
                <w:rFonts w:hint="default" w:ascii="Times New Roman" w:hAnsi="Times New Roman" w:cs="Times New Roman"/>
                <w:szCs w:val="24"/>
                <w:lang w:val="en-US" w:eastAsia="zh-CN"/>
              </w:rPr>
              <w:t>并完成竣工验收</w:t>
            </w:r>
            <w:r>
              <w:rPr>
                <w:rFonts w:hint="default" w:ascii="Times New Roman" w:hAnsi="Times New Roman" w:cs="Times New Roman"/>
                <w:szCs w:val="24"/>
                <w:lang w:eastAsia="zh-CN"/>
              </w:rPr>
              <w:t>；</w:t>
            </w:r>
            <w:r>
              <w:rPr>
                <w:rFonts w:hint="default" w:ascii="Times New Roman" w:hAnsi="Times New Roman" w:eastAsia="宋体" w:cs="Times New Roman"/>
                <w:sz w:val="24"/>
                <w:szCs w:val="24"/>
              </w:rPr>
              <w:t>2024年4月后进出水质及水量稳定</w:t>
            </w:r>
            <w:r>
              <w:rPr>
                <w:rFonts w:hint="default" w:ascii="Times New Roman" w:hAnsi="Times New Roman" w:cs="Times New Roman"/>
                <w:szCs w:val="24"/>
                <w:lang w:eastAsia="zh-CN"/>
              </w:rPr>
              <w:t>。</w:t>
            </w:r>
          </w:p>
          <w:p w14:paraId="3B3E7392">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eastAsia="宋体"/>
                <w:szCs w:val="24"/>
                <w:lang w:eastAsia="zh-CN"/>
              </w:rPr>
            </w:pPr>
            <w:r>
              <w:rPr>
                <w:rFonts w:hint="default" w:ascii="Times New Roman" w:hAnsi="Times New Roman" w:cs="Times New Roman"/>
                <w:color w:val="auto"/>
                <w:szCs w:val="24"/>
              </w:rPr>
              <w:t>安徽淮相科技发展有限公司第二污水处理厂位于安徽淮北相山经济开发区显通变东、洪碱河西</w:t>
            </w:r>
            <w:r>
              <w:rPr>
                <w:rFonts w:hint="default" w:ascii="Times New Roman" w:hAnsi="Times New Roman" w:cs="Times New Roman"/>
                <w:color w:val="auto"/>
                <w:szCs w:val="24"/>
                <w:lang w:eastAsia="zh-CN"/>
              </w:rPr>
              <w:t>，</w:t>
            </w:r>
            <w:r>
              <w:rPr>
                <w:rFonts w:hint="default" w:ascii="Times New Roman" w:hAnsi="Times New Roman" w:eastAsia="宋体" w:cs="Times New Roman"/>
                <w:color w:val="auto"/>
                <w:sz w:val="24"/>
                <w:szCs w:val="24"/>
                <w:lang w:val="en-US" w:eastAsia="zh-CN"/>
              </w:rPr>
              <w:t>占地</w:t>
            </w:r>
            <w:r>
              <w:rPr>
                <w:rFonts w:hint="default" w:ascii="Times New Roman" w:hAnsi="Times New Roman" w:eastAsia="宋体" w:cs="Times New Roman"/>
                <w:color w:val="auto"/>
                <w:sz w:val="24"/>
                <w:szCs w:val="24"/>
              </w:rPr>
              <w:t>面积</w:t>
            </w:r>
            <w:r>
              <w:rPr>
                <w:rFonts w:hint="default" w:ascii="Times New Roman" w:hAnsi="Times New Roman" w:eastAsia="宋体" w:cs="Times New Roman"/>
                <w:caps w:val="0"/>
                <w:smallCaps w:val="0"/>
                <w:color w:val="auto"/>
                <w:sz w:val="24"/>
                <w:szCs w:val="24"/>
                <w:highlight w:val="none"/>
                <w:lang w:val="en-US" w:eastAsia="zh-CN"/>
              </w:rPr>
              <w:t>2.9274公顷（约43.911亩）</w:t>
            </w:r>
            <w:r>
              <w:rPr>
                <w:rFonts w:hint="default" w:ascii="Times New Roman" w:hAnsi="Times New Roman" w:eastAsia="宋体" w:cs="Times New Roman"/>
                <w:sz w:val="24"/>
                <w:szCs w:val="24"/>
                <w:lang w:eastAsia="zh-CN"/>
              </w:rPr>
              <w:t>，</w:t>
            </w:r>
            <w:r>
              <w:rPr>
                <w:rFonts w:hint="default" w:ascii="Times New Roman" w:hAnsi="Times New Roman" w:cs="Times New Roman"/>
                <w:szCs w:val="24"/>
              </w:rPr>
              <w:t>污水处理规模为1万t/d</w:t>
            </w:r>
            <w:r>
              <w:rPr>
                <w:rFonts w:hint="default" w:ascii="Times New Roman" w:hAnsi="Times New Roman" w:cs="Times New Roman"/>
                <w:sz w:val="24"/>
                <w:szCs w:val="24"/>
                <w:lang w:eastAsia="zh-CN"/>
              </w:rPr>
              <w:t>。</w:t>
            </w:r>
            <w:r>
              <w:rPr>
                <w:rFonts w:hint="default" w:ascii="Times New Roman" w:hAnsi="Times New Roman" w:cs="Times New Roman"/>
                <w:szCs w:val="24"/>
              </w:rPr>
              <w:t>服务范围：污水处理厂主要服务于相山经济开发区内食品工业园部分。尾水排放方式：污水处理厂尾水通过尾水管道排入老濉河。污水处理厂尾水排放口利用安徽淮北相山经济开发区凤凰新城污水处理厂入河排污口，位于老濉河左岸，渠沟涵（又名阎王闸）下游100m，地理坐标为经度（东经116°45´23"）、纬度（北纬33°57´11"）。污水处理工艺：采用粗格栅及进水泵房+细格栅及曝气沉砂池+调节池+气浮池+水解酸化池+多级A/O生化池+二沉池+高效沉淀池+曝气生物滤池+反硝化深床滤池+臭氧氧化+接触消毒</w:t>
            </w:r>
            <w:r>
              <w:rPr>
                <w:rFonts w:hint="default" w:ascii="Times New Roman" w:hAnsi="Times New Roman" w:cs="Times New Roman"/>
                <w:szCs w:val="24"/>
                <w:lang w:eastAsia="zh-CN"/>
              </w:rPr>
              <w:t>。</w:t>
            </w:r>
          </w:p>
          <w:p w14:paraId="1D07B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（2）废、污水接管的水量可行性分析</w:t>
            </w:r>
          </w:p>
          <w:p w14:paraId="15DFBB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color w:val="auto"/>
                <w:sz w:val="24"/>
              </w:rPr>
              <w:t>项目完成后</w:t>
            </w:r>
            <w:r>
              <w:rPr>
                <w:rFonts w:hint="eastAsia"/>
                <w:color w:val="auto"/>
                <w:sz w:val="24"/>
                <w:lang w:val="en-US" w:eastAsia="zh-CN"/>
              </w:rPr>
              <w:t>全厂</w:t>
            </w:r>
            <w:r>
              <w:rPr>
                <w:rFonts w:hint="default"/>
                <w:color w:val="auto"/>
                <w:sz w:val="24"/>
              </w:rPr>
              <w:t>纳入市政污水管网水量为</w:t>
            </w:r>
            <w:r>
              <w:rPr>
                <w:rFonts w:hint="eastAsia"/>
                <w:color w:val="auto"/>
                <w:sz w:val="24"/>
                <w:lang w:val="en-US" w:eastAsia="zh-CN"/>
              </w:rPr>
              <w:t>6.7664</w:t>
            </w:r>
            <w:r>
              <w:rPr>
                <w:rFonts w:hint="default"/>
                <w:color w:val="auto"/>
                <w:sz w:val="24"/>
              </w:rPr>
              <w:t>m</w:t>
            </w:r>
            <w:r>
              <w:rPr>
                <w:rFonts w:hint="default"/>
                <w:color w:val="auto"/>
                <w:sz w:val="24"/>
                <w:vertAlign w:val="superscript"/>
              </w:rPr>
              <w:t>3</w:t>
            </w:r>
            <w:r>
              <w:rPr>
                <w:rFonts w:hint="default"/>
                <w:color w:val="auto"/>
                <w:sz w:val="24"/>
              </w:rPr>
              <w:t>/d，安徽淮相科技发展有限公司第二污水处理厂日设计污水处理规模为1万吨/天，现收水余量约为4710m</w:t>
            </w:r>
            <w:r>
              <w:rPr>
                <w:rFonts w:hint="default"/>
                <w:color w:val="auto"/>
                <w:sz w:val="24"/>
                <w:vertAlign w:val="superscript"/>
              </w:rPr>
              <w:t>3</w:t>
            </w:r>
            <w:r>
              <w:rPr>
                <w:rFonts w:hint="default"/>
                <w:color w:val="auto"/>
                <w:sz w:val="24"/>
              </w:rPr>
              <w:t>/d，本项目废水量占比较小，不会对其处理能力造成较大的冲击，因此接管水量是可行的</w:t>
            </w:r>
            <w:r>
              <w:rPr>
                <w:rFonts w:hint="default" w:ascii="Times New Roman" w:hAnsi="Times New Roman" w:eastAsia="宋体" w:cs="Times New Roman"/>
                <w:color w:val="auto"/>
                <w:sz w:val="24"/>
                <w:szCs w:val="24"/>
              </w:rPr>
              <w:t>。</w:t>
            </w:r>
          </w:p>
          <w:p w14:paraId="212422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（3）废、污水接管的的水质可行性分析</w:t>
            </w:r>
          </w:p>
          <w:p w14:paraId="11C31D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eastAsia"/>
                <w:color w:val="auto"/>
                <w:sz w:val="24"/>
                <w:lang w:val="en-US" w:eastAsia="zh-CN"/>
              </w:rPr>
              <w:t>厂区</w:t>
            </w:r>
            <w:r>
              <w:rPr>
                <w:rFonts w:hint="default"/>
                <w:color w:val="auto"/>
                <w:sz w:val="24"/>
              </w:rPr>
              <w:t>生活污水依托已建化粪池处理</w:t>
            </w:r>
            <w:r>
              <w:rPr>
                <w:rFonts w:hint="eastAsia"/>
                <w:color w:val="auto"/>
                <w:sz w:val="24"/>
                <w:lang w:eastAsia="zh-CN"/>
              </w:rPr>
              <w:t>，</w:t>
            </w:r>
            <w:r>
              <w:rPr>
                <w:rFonts w:hint="eastAsia"/>
                <w:color w:val="auto"/>
                <w:sz w:val="24"/>
                <w:lang w:val="en-US" w:eastAsia="zh-CN"/>
              </w:rPr>
              <w:t>生产废水</w:t>
            </w:r>
            <w:r>
              <w:rPr>
                <w:rFonts w:hint="default"/>
                <w:color w:val="auto"/>
                <w:sz w:val="24"/>
              </w:rPr>
              <w:t>依托</w:t>
            </w:r>
            <w:r>
              <w:rPr>
                <w:rFonts w:hint="eastAsia"/>
                <w:color w:val="auto"/>
                <w:sz w:val="24"/>
                <w:lang w:val="en-US" w:eastAsia="zh-CN"/>
              </w:rPr>
              <w:t>沉淀池</w:t>
            </w:r>
            <w:r>
              <w:rPr>
                <w:rFonts w:hint="default"/>
                <w:color w:val="auto"/>
                <w:sz w:val="24"/>
              </w:rPr>
              <w:t>预处理满足《污水综合排放标准》（GB8978-1996）中三级标准并满足安徽淮相科技发展有限公司第二污水处理厂接管标准，通过园区污水管网排入安徽淮相科技发展有限公司第二污水处理厂进一步处理。废水水质简单，不会对安徽淮相科技发展有限公司第二污水处理厂处理工艺造成影响，水质满足接管要求</w:t>
            </w:r>
            <w:r>
              <w:rPr>
                <w:rFonts w:hint="default" w:ascii="Times New Roman" w:hAnsi="Times New Roman" w:eastAsia="宋体" w:cs="Times New Roman"/>
                <w:color w:val="auto"/>
                <w:sz w:val="24"/>
                <w:szCs w:val="24"/>
              </w:rPr>
              <w:t>。</w:t>
            </w:r>
          </w:p>
          <w:p w14:paraId="47948D99">
            <w:pPr>
              <w:pStyle w:val="37"/>
              <w:keepNext w:val="0"/>
              <w:keepLines w:val="0"/>
              <w:suppressLineNumbers w:val="0"/>
              <w:spacing w:before="0" w:beforeAutospacing="0" w:after="0" w:afterAutospacing="0" w:line="240" w:lineRule="auto"/>
              <w:ind w:right="0" w:firstLine="0"/>
              <w:jc w:val="center"/>
              <w:rPr>
                <w:rFonts w:hint="eastAsia" w:eastAsia="宋体"/>
                <w:lang w:eastAsia="zh-CN"/>
              </w:rPr>
            </w:pPr>
            <w:r>
              <w:rPr>
                <w:rFonts w:hint="eastAsia" w:eastAsia="宋体"/>
                <w:lang w:eastAsia="zh-CN"/>
              </w:rPr>
              <w:drawing>
                <wp:inline distT="0" distB="0" distL="114300" distR="114300">
                  <wp:extent cx="4683125" cy="5358765"/>
                  <wp:effectExtent l="0" t="0" r="3175" b="13335"/>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7"/>
                          <a:stretch>
                            <a:fillRect/>
                          </a:stretch>
                        </pic:blipFill>
                        <pic:spPr>
                          <a:xfrm>
                            <a:off x="0" y="0"/>
                            <a:ext cx="4683125" cy="5358765"/>
                          </a:xfrm>
                          <a:prstGeom prst="rect">
                            <a:avLst/>
                          </a:prstGeom>
                        </pic:spPr>
                      </pic:pic>
                    </a:graphicData>
                  </a:graphic>
                </wp:inline>
              </w:drawing>
            </w:r>
          </w:p>
          <w:p w14:paraId="227EA31F">
            <w:pPr>
              <w:keepNext w:val="0"/>
              <w:keepLines w:val="0"/>
              <w:widowControl/>
              <w:suppressLineNumbers w:val="0"/>
              <w:spacing w:before="0" w:beforeAutospacing="0" w:after="0" w:afterAutospacing="0" w:line="240" w:lineRule="auto"/>
              <w:ind w:left="0" w:right="0" w:firstLine="0"/>
              <w:jc w:val="center"/>
              <w:rPr>
                <w:rFonts w:hint="eastAsia" w:eastAsia="宋体"/>
                <w:lang w:eastAsia="zh-CN"/>
              </w:rPr>
            </w:pPr>
            <w:r>
              <w:rPr>
                <w:rFonts w:hint="eastAsia"/>
                <w:b/>
                <w:bCs/>
                <w:sz w:val="24"/>
                <w:lang w:bidi="ar"/>
              </w:rPr>
              <w:t>图4-</w:t>
            </w:r>
            <w:r>
              <w:rPr>
                <w:rFonts w:hint="eastAsia"/>
                <w:b/>
                <w:bCs/>
                <w:sz w:val="24"/>
                <w:lang w:val="en-US" w:eastAsia="zh-CN" w:bidi="ar"/>
              </w:rPr>
              <w:t>1</w:t>
            </w:r>
            <w:r>
              <w:rPr>
                <w:rFonts w:hint="eastAsia"/>
                <w:b/>
                <w:bCs/>
                <w:sz w:val="24"/>
                <w:lang w:bidi="ar"/>
              </w:rPr>
              <w:t xml:space="preserve">  污水处理厂工艺流程图</w:t>
            </w:r>
          </w:p>
          <w:p w14:paraId="225C2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（4）废、污水接管</w:t>
            </w:r>
            <w:r>
              <w:rPr>
                <w:rFonts w:hint="eastAsia" w:cs="Times New Roman"/>
                <w:color w:val="auto"/>
                <w:sz w:val="24"/>
                <w:szCs w:val="24"/>
                <w:lang w:val="en-US" w:eastAsia="zh-CN"/>
              </w:rPr>
              <w:t>范围</w:t>
            </w:r>
            <w:r>
              <w:rPr>
                <w:rFonts w:hint="default" w:ascii="Times New Roman" w:hAnsi="Times New Roman" w:eastAsia="宋体" w:cs="Times New Roman"/>
                <w:color w:val="auto"/>
                <w:sz w:val="24"/>
                <w:szCs w:val="24"/>
              </w:rPr>
              <w:t>的的可行性分析</w:t>
            </w:r>
          </w:p>
          <w:p w14:paraId="11C44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sz w:val="24"/>
                <w:lang w:val="en-US" w:eastAsia="zh-CN"/>
              </w:rPr>
            </w:pPr>
            <w:r>
              <w:rPr>
                <w:rFonts w:hint="default"/>
                <w:color w:val="auto"/>
                <w:sz w:val="24"/>
              </w:rPr>
              <w:t>安徽淮相科技发展有限公司第二污水处理厂将开发区食品产业园管网敷设范围内的所有工业废水、生活污水有效收集后深度处理达标后排放。根据现场踏勘和收集相关资料，本项目所在地管网已铺设完毕，接管可行</w:t>
            </w:r>
            <w:r>
              <w:rPr>
                <w:rFonts w:hint="default" w:ascii="Times New Roman" w:hAnsi="Times New Roman" w:eastAsia="宋体" w:cs="Times New Roman"/>
                <w:color w:val="auto"/>
                <w:sz w:val="24"/>
                <w:szCs w:val="24"/>
              </w:rPr>
              <w:t>。</w:t>
            </w:r>
            <w:r>
              <w:rPr>
                <w:rFonts w:hint="eastAsia"/>
                <w:sz w:val="24"/>
                <w:lang w:val="en-US" w:eastAsia="zh-CN"/>
              </w:rPr>
              <w:t>本项目与污水处理厂接管范围位置关系见图4-2。</w:t>
            </w:r>
          </w:p>
          <w:p w14:paraId="0C5631BB">
            <w:pPr>
              <w:pStyle w:val="37"/>
              <w:keepNext w:val="0"/>
              <w:keepLines w:val="0"/>
              <w:suppressLineNumbers w:val="0"/>
              <w:spacing w:before="0" w:beforeAutospacing="0" w:after="0" w:afterAutospacing="0" w:line="240" w:lineRule="auto"/>
              <w:ind w:right="0" w:firstLine="0"/>
              <w:jc w:val="center"/>
              <w:rPr>
                <w:rFonts w:hint="default"/>
                <w:lang w:val="en-US"/>
              </w:rPr>
            </w:pPr>
            <w:r>
              <w:rPr>
                <w:rFonts w:hint="default"/>
              </w:rPr>
              <w:drawing>
                <wp:inline distT="0" distB="0" distL="114300" distR="114300">
                  <wp:extent cx="5039995" cy="3816985"/>
                  <wp:effectExtent l="0" t="0" r="8255"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039995" cy="3816985"/>
                          </a:xfrm>
                          <a:prstGeom prst="rect">
                            <a:avLst/>
                          </a:prstGeom>
                          <a:noFill/>
                          <a:ln>
                            <a:noFill/>
                          </a:ln>
                        </pic:spPr>
                      </pic:pic>
                    </a:graphicData>
                  </a:graphic>
                </wp:inline>
              </w:drawing>
            </w:r>
          </w:p>
          <w:p w14:paraId="7E92B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图4-2  本项目与污水处理厂接管范围位置关系图</w:t>
            </w:r>
          </w:p>
          <w:p w14:paraId="59720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sz w:val="24"/>
              </w:rPr>
            </w:pPr>
            <w:r>
              <w:rPr>
                <w:rFonts w:hint="default" w:ascii="Times New Roman" w:hAnsi="Times New Roman" w:eastAsia="宋体" w:cs="Times New Roman"/>
                <w:color w:val="auto"/>
                <w:sz w:val="24"/>
                <w:szCs w:val="24"/>
              </w:rPr>
              <w:t>综上，</w:t>
            </w:r>
            <w:r>
              <w:rPr>
                <w:rFonts w:hint="default"/>
                <w:color w:val="auto"/>
                <w:sz w:val="24"/>
              </w:rPr>
              <w:t>本项目位于安徽淮相科技发展有限公司第二污水处理厂收水范围内，项目所在地管网已铺设完毕，外排废水水质、水量均满足污水处理厂接管要求，排放量为不会对污水处理厂造成冲击负荷。因此本项目污水进入安徽淮相科技发展有限公司第二污水处理厂处理是可行的。</w:t>
            </w:r>
          </w:p>
          <w:p w14:paraId="18066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color w:val="auto"/>
                <w:sz w:val="24"/>
              </w:rPr>
              <w:t>项目外排废水经预处理及下游安徽淮相科技发展有限公司第二污水处理厂深度处理后对地表水环境影响较小</w:t>
            </w:r>
            <w:r>
              <w:rPr>
                <w:rFonts w:hint="default" w:ascii="Times New Roman" w:hAnsi="Times New Roman" w:eastAsia="宋体" w:cs="Times New Roman"/>
                <w:color w:val="auto"/>
                <w:sz w:val="24"/>
                <w:szCs w:val="24"/>
              </w:rPr>
              <w:t>。</w:t>
            </w:r>
          </w:p>
          <w:p w14:paraId="468E4E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ascii="Times New Roman" w:hAnsi="Times New Roman" w:cs="Times New Roman"/>
                <w:b/>
                <w:bCs/>
                <w:color w:val="auto"/>
                <w:sz w:val="24"/>
                <w:szCs w:val="32"/>
                <w:lang w:val="en-US" w:eastAsia="zh-CN"/>
              </w:rPr>
            </w:pPr>
            <w:r>
              <w:rPr>
                <w:rFonts w:hint="eastAsia"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rPr>
              <w:t>废水</w:t>
            </w:r>
            <w:r>
              <w:rPr>
                <w:rFonts w:hint="eastAsia" w:ascii="Times New Roman" w:hAnsi="Times New Roman" w:cs="Times New Roman"/>
                <w:b/>
                <w:bCs/>
                <w:color w:val="auto"/>
                <w:sz w:val="24"/>
                <w:szCs w:val="24"/>
                <w:lang w:val="en-US" w:eastAsia="zh-CN"/>
              </w:rPr>
              <w:t>监测计划</w:t>
            </w:r>
          </w:p>
          <w:p w14:paraId="48FDB1A0">
            <w:pPr>
              <w:keepNext w:val="0"/>
              <w:keepLines w:val="0"/>
              <w:suppressLineNumbers w:val="0"/>
              <w:spacing w:before="0" w:beforeAutospacing="0" w:after="0" w:afterAutospacing="0" w:line="360" w:lineRule="auto"/>
              <w:ind w:left="0" w:right="0" w:firstLine="482"/>
              <w:rPr>
                <w:rFonts w:hint="default" w:ascii="Times New Roman" w:hAnsi="Times New Roman" w:cs="Times New Roman"/>
                <w:sz w:val="24"/>
                <w:lang w:val="zh-CN"/>
              </w:rPr>
            </w:pPr>
            <w:r>
              <w:rPr>
                <w:rFonts w:hint="default" w:ascii="Times New Roman" w:hAnsi="Times New Roman" w:cs="Times New Roman"/>
                <w:sz w:val="24"/>
              </w:rPr>
              <w:t>参照</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"http://www.mee.gov.cn/ywgz/fgbz/bz/bzwb/pwxk/202003/W020200304702000053087.pdf"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rPr>
              <w:t>排污单位自行监测技术指南 食品制造</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rPr>
              <w:t>HJ 1084-2020</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rPr>
              <w:fldChar w:fldCharType="end"/>
            </w:r>
            <w:r>
              <w:rPr>
                <w:rFonts w:hint="default" w:ascii="Times New Roman" w:hAnsi="Times New Roman" w:cs="Times New Roman"/>
                <w:sz w:val="24"/>
                <w:lang w:val="zh-CN"/>
              </w:rPr>
              <w:t>中</w:t>
            </w:r>
            <w:r>
              <w:rPr>
                <w:rFonts w:hint="default" w:ascii="Times New Roman" w:hAnsi="Times New Roman" w:cs="Times New Roman"/>
                <w:sz w:val="24"/>
              </w:rPr>
              <w:t>表</w:t>
            </w:r>
            <w:r>
              <w:rPr>
                <w:rFonts w:hint="eastAsia" w:ascii="Times New Roman" w:hAnsi="Times New Roman" w:cs="Times New Roman"/>
                <w:sz w:val="24"/>
                <w:lang w:val="en-US" w:eastAsia="zh-CN"/>
              </w:rPr>
              <w:t>1</w:t>
            </w:r>
            <w:r>
              <w:rPr>
                <w:rFonts w:hint="default" w:ascii="Times New Roman" w:hAnsi="Times New Roman" w:cs="Times New Roman"/>
                <w:sz w:val="24"/>
              </w:rPr>
              <w:t>废水排放监测点位、监测指标及最低监测频次</w:t>
            </w:r>
            <w:r>
              <w:rPr>
                <w:rFonts w:hint="default" w:ascii="Times New Roman" w:hAnsi="Times New Roman" w:cs="Times New Roman"/>
                <w:sz w:val="24"/>
                <w:lang w:val="zh-CN"/>
              </w:rPr>
              <w:t>，项目废水监测计划参照下表</w:t>
            </w:r>
            <w:r>
              <w:rPr>
                <w:rFonts w:hint="default" w:ascii="Times New Roman" w:hAnsi="Times New Roman" w:cs="Times New Roman"/>
                <w:sz w:val="24"/>
              </w:rPr>
              <w:t>4-</w:t>
            </w:r>
            <w:r>
              <w:rPr>
                <w:rFonts w:hint="eastAsia" w:cs="Times New Roman"/>
                <w:sz w:val="24"/>
                <w:lang w:val="en-US" w:eastAsia="zh-CN"/>
              </w:rPr>
              <w:t>5</w:t>
            </w:r>
            <w:r>
              <w:rPr>
                <w:rFonts w:hint="default" w:ascii="Times New Roman" w:hAnsi="Times New Roman" w:cs="Times New Roman"/>
                <w:sz w:val="24"/>
                <w:lang w:val="zh-CN"/>
              </w:rPr>
              <w:t>。</w:t>
            </w:r>
          </w:p>
          <w:p w14:paraId="4BD52EBA">
            <w:pPr>
              <w:keepNext w:val="0"/>
              <w:keepLines w:val="0"/>
              <w:widowControl/>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b/>
                <w:bCs/>
                <w:sz w:val="24"/>
                <w:szCs w:val="24"/>
              </w:rPr>
              <w:t>表4-</w:t>
            </w:r>
            <w:r>
              <w:rPr>
                <w:rFonts w:hint="eastAsia" w:cs="Times New Roman"/>
                <w:b/>
                <w:bCs/>
                <w:sz w:val="24"/>
                <w:szCs w:val="24"/>
                <w:lang w:val="en-US" w:eastAsia="zh-CN"/>
              </w:rPr>
              <w:t>5</w:t>
            </w:r>
            <w:r>
              <w:rPr>
                <w:rFonts w:hint="eastAsia" w:ascii="Times New Roman" w:hAnsi="Times New Roman" w:cs="Times New Roman"/>
                <w:b/>
                <w:bCs/>
                <w:sz w:val="24"/>
                <w:szCs w:val="24"/>
              </w:rPr>
              <w:t xml:space="preserve">  </w:t>
            </w:r>
            <w:r>
              <w:rPr>
                <w:rFonts w:hint="default" w:ascii="Times New Roman" w:hAnsi="Times New Roman" w:cs="Times New Roman"/>
                <w:b/>
                <w:bCs/>
                <w:sz w:val="24"/>
                <w:szCs w:val="24"/>
              </w:rPr>
              <w:t>废水污染物监测情况</w:t>
            </w:r>
          </w:p>
          <w:tbl>
            <w:tblPr>
              <w:tblStyle w:val="28"/>
              <w:tblW w:w="7947"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132"/>
              <w:gridCol w:w="1426"/>
              <w:gridCol w:w="2575"/>
              <w:gridCol w:w="1814"/>
            </w:tblGrid>
            <w:tr w14:paraId="67B11D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2" w:hRule="atLeast"/>
                <w:jc w:val="center"/>
              </w:trPr>
              <w:tc>
                <w:tcPr>
                  <w:tcW w:w="1341" w:type="pct"/>
                  <w:noWrap w:val="0"/>
                  <w:vAlign w:val="center"/>
                </w:tcPr>
                <w:p w14:paraId="1882E188">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监测点位</w:t>
                  </w:r>
                </w:p>
              </w:tc>
              <w:tc>
                <w:tcPr>
                  <w:tcW w:w="897" w:type="pct"/>
                  <w:noWrap w:val="0"/>
                  <w:vAlign w:val="center"/>
                </w:tcPr>
                <w:p w14:paraId="2F39E5D0">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监测指标</w:t>
                  </w:r>
                </w:p>
              </w:tc>
              <w:tc>
                <w:tcPr>
                  <w:tcW w:w="1620" w:type="pct"/>
                  <w:noWrap w:val="0"/>
                  <w:vAlign w:val="center"/>
                </w:tcPr>
                <w:p w14:paraId="710226E4">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执行标准</w:t>
                  </w:r>
                </w:p>
              </w:tc>
              <w:tc>
                <w:tcPr>
                  <w:tcW w:w="1141" w:type="pct"/>
                  <w:noWrap w:val="0"/>
                  <w:vAlign w:val="center"/>
                </w:tcPr>
                <w:p w14:paraId="1DBC80FA">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最低监测频次</w:t>
                  </w:r>
                </w:p>
              </w:tc>
            </w:tr>
            <w:tr w14:paraId="0F9125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2" w:hRule="atLeast"/>
                <w:jc w:val="center"/>
              </w:trPr>
              <w:tc>
                <w:tcPr>
                  <w:tcW w:w="1341" w:type="pct"/>
                  <w:vMerge w:val="restart"/>
                  <w:noWrap w:val="0"/>
                  <w:vAlign w:val="center"/>
                </w:tcPr>
                <w:p w14:paraId="1E5542E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废水总排口</w:t>
                  </w:r>
                  <w:r>
                    <w:rPr>
                      <w:rFonts w:hint="eastAsia" w:cs="Times New Roman"/>
                      <w:sz w:val="21"/>
                      <w:szCs w:val="21"/>
                      <w:lang w:eastAsia="zh-CN"/>
                    </w:rPr>
                    <w:t>（</w:t>
                  </w:r>
                  <w:r>
                    <w:rPr>
                      <w:rFonts w:hint="eastAsia" w:cs="Times New Roman"/>
                      <w:sz w:val="21"/>
                      <w:szCs w:val="21"/>
                      <w:lang w:val="en-US" w:eastAsia="zh-CN"/>
                    </w:rPr>
                    <w:t>DW001）</w:t>
                  </w:r>
                </w:p>
              </w:tc>
              <w:tc>
                <w:tcPr>
                  <w:tcW w:w="897" w:type="pct"/>
                  <w:noWrap w:val="0"/>
                  <w:vAlign w:val="center"/>
                </w:tcPr>
                <w:p w14:paraId="32AF5B9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COD</w:t>
                  </w:r>
                </w:p>
              </w:tc>
              <w:tc>
                <w:tcPr>
                  <w:tcW w:w="1620" w:type="pct"/>
                  <w:vMerge w:val="restart"/>
                  <w:noWrap w:val="0"/>
                  <w:vAlign w:val="center"/>
                </w:tcPr>
                <w:p w14:paraId="01D356B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color w:val="auto"/>
                      <w:sz w:val="21"/>
                      <w:szCs w:val="21"/>
                    </w:rPr>
                    <w:t>安徽淮相科技发展有限公司第二污水处理厂</w:t>
                  </w:r>
                  <w:r>
                    <w:rPr>
                      <w:rFonts w:hint="default" w:ascii="Times New Roman" w:hAnsi="Times New Roman" w:cs="Times New Roman"/>
                      <w:sz w:val="21"/>
                      <w:szCs w:val="21"/>
                    </w:rPr>
                    <w:t>的接管标准和《污水综合排放标准》（GB8978-1996）三级标准要求</w:t>
                  </w:r>
                </w:p>
              </w:tc>
              <w:tc>
                <w:tcPr>
                  <w:tcW w:w="1141" w:type="pct"/>
                  <w:vMerge w:val="restart"/>
                  <w:noWrap w:val="0"/>
                  <w:vAlign w:val="center"/>
                </w:tcPr>
                <w:p w14:paraId="74E14A9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1次/半年</w:t>
                  </w:r>
                </w:p>
              </w:tc>
            </w:tr>
            <w:tr w14:paraId="1B0218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6" w:hRule="atLeast"/>
                <w:jc w:val="center"/>
              </w:trPr>
              <w:tc>
                <w:tcPr>
                  <w:tcW w:w="1341" w:type="pct"/>
                  <w:vMerge w:val="continue"/>
                  <w:noWrap w:val="0"/>
                  <w:vAlign w:val="center"/>
                </w:tcPr>
                <w:p w14:paraId="3054116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97" w:type="pct"/>
                  <w:noWrap w:val="0"/>
                  <w:vAlign w:val="center"/>
                </w:tcPr>
                <w:p w14:paraId="69849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BOD</w:t>
                  </w:r>
                  <w:r>
                    <w:rPr>
                      <w:rStyle w:val="66"/>
                      <w:sz w:val="21"/>
                      <w:szCs w:val="21"/>
                      <w:lang w:bidi="ar"/>
                    </w:rPr>
                    <w:t>5</w:t>
                  </w:r>
                </w:p>
              </w:tc>
              <w:tc>
                <w:tcPr>
                  <w:tcW w:w="1620" w:type="pct"/>
                  <w:vMerge w:val="continue"/>
                  <w:noWrap w:val="0"/>
                  <w:vAlign w:val="center"/>
                </w:tcPr>
                <w:p w14:paraId="50ACD0EA">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1141" w:type="pct"/>
                  <w:vMerge w:val="continue"/>
                  <w:noWrap w:val="0"/>
                  <w:vAlign w:val="center"/>
                </w:tcPr>
                <w:p w14:paraId="125AE82C">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r>
            <w:tr w14:paraId="0BE9E7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41" w:hRule="atLeast"/>
                <w:jc w:val="center"/>
              </w:trPr>
              <w:tc>
                <w:tcPr>
                  <w:tcW w:w="1341" w:type="pct"/>
                  <w:vMerge w:val="continue"/>
                  <w:noWrap w:val="0"/>
                  <w:vAlign w:val="center"/>
                </w:tcPr>
                <w:p w14:paraId="58C04C19">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97" w:type="pct"/>
                  <w:noWrap w:val="0"/>
                  <w:vAlign w:val="center"/>
                </w:tcPr>
                <w:p w14:paraId="3ED08DC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NH</w:t>
                  </w:r>
                  <w:r>
                    <w:rPr>
                      <w:rStyle w:val="66"/>
                      <w:sz w:val="21"/>
                      <w:szCs w:val="21"/>
                      <w:lang w:bidi="ar"/>
                    </w:rPr>
                    <w:t>3</w:t>
                  </w:r>
                  <w:r>
                    <w:rPr>
                      <w:rStyle w:val="67"/>
                      <w:sz w:val="21"/>
                      <w:szCs w:val="21"/>
                      <w:lang w:bidi="ar"/>
                    </w:rPr>
                    <w:t>-N</w:t>
                  </w:r>
                </w:p>
              </w:tc>
              <w:tc>
                <w:tcPr>
                  <w:tcW w:w="1620" w:type="pct"/>
                  <w:vMerge w:val="continue"/>
                  <w:noWrap w:val="0"/>
                  <w:vAlign w:val="center"/>
                </w:tcPr>
                <w:p w14:paraId="3BC8527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1141" w:type="pct"/>
                  <w:vMerge w:val="continue"/>
                  <w:noWrap w:val="0"/>
                  <w:vAlign w:val="center"/>
                </w:tcPr>
                <w:p w14:paraId="269C4C0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r>
            <w:tr w14:paraId="2D256B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8" w:hRule="atLeast"/>
                <w:jc w:val="center"/>
              </w:trPr>
              <w:tc>
                <w:tcPr>
                  <w:tcW w:w="1341" w:type="pct"/>
                  <w:vMerge w:val="continue"/>
                  <w:noWrap w:val="0"/>
                  <w:vAlign w:val="center"/>
                </w:tcPr>
                <w:p w14:paraId="07A29F7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97" w:type="pct"/>
                  <w:noWrap w:val="0"/>
                  <w:vAlign w:val="center"/>
                </w:tcPr>
                <w:p w14:paraId="753A9C7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SS</w:t>
                  </w:r>
                </w:p>
              </w:tc>
              <w:tc>
                <w:tcPr>
                  <w:tcW w:w="1620" w:type="pct"/>
                  <w:vMerge w:val="continue"/>
                  <w:noWrap w:val="0"/>
                  <w:vAlign w:val="center"/>
                </w:tcPr>
                <w:p w14:paraId="11D46FF7">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1141" w:type="pct"/>
                  <w:vMerge w:val="continue"/>
                  <w:noWrap w:val="0"/>
                  <w:vAlign w:val="center"/>
                </w:tcPr>
                <w:p w14:paraId="502B55F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r>
            <w:tr w14:paraId="39D26D8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8" w:hRule="atLeast"/>
                <w:jc w:val="center"/>
              </w:trPr>
              <w:tc>
                <w:tcPr>
                  <w:tcW w:w="1341" w:type="pct"/>
                  <w:vMerge w:val="continue"/>
                  <w:noWrap w:val="0"/>
                  <w:vAlign w:val="center"/>
                </w:tcPr>
                <w:p w14:paraId="06EC5A62">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97" w:type="pct"/>
                  <w:noWrap w:val="0"/>
                  <w:vAlign w:val="center"/>
                </w:tcPr>
                <w:p w14:paraId="6BADCA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总磷</w:t>
                  </w:r>
                </w:p>
              </w:tc>
              <w:tc>
                <w:tcPr>
                  <w:tcW w:w="1620" w:type="pct"/>
                  <w:vMerge w:val="continue"/>
                  <w:noWrap w:val="0"/>
                  <w:vAlign w:val="center"/>
                </w:tcPr>
                <w:p w14:paraId="30B977F5">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1141" w:type="pct"/>
                  <w:vMerge w:val="continue"/>
                  <w:noWrap w:val="0"/>
                  <w:vAlign w:val="center"/>
                </w:tcPr>
                <w:p w14:paraId="789EC05F">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r>
            <w:tr w14:paraId="4A4315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8" w:hRule="atLeast"/>
                <w:jc w:val="center"/>
              </w:trPr>
              <w:tc>
                <w:tcPr>
                  <w:tcW w:w="1341" w:type="pct"/>
                  <w:vMerge w:val="continue"/>
                  <w:noWrap w:val="0"/>
                  <w:vAlign w:val="center"/>
                </w:tcPr>
                <w:p w14:paraId="7A6D9C63">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897" w:type="pct"/>
                  <w:noWrap w:val="0"/>
                  <w:vAlign w:val="center"/>
                </w:tcPr>
                <w:p w14:paraId="51C64A2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动植物油</w:t>
                  </w:r>
                </w:p>
              </w:tc>
              <w:tc>
                <w:tcPr>
                  <w:tcW w:w="1620" w:type="pct"/>
                  <w:vMerge w:val="continue"/>
                  <w:noWrap w:val="0"/>
                  <w:vAlign w:val="center"/>
                </w:tcPr>
                <w:p w14:paraId="544AABBB">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c>
                <w:tcPr>
                  <w:tcW w:w="1141" w:type="pct"/>
                  <w:vMerge w:val="continue"/>
                  <w:noWrap w:val="0"/>
                  <w:vAlign w:val="center"/>
                </w:tcPr>
                <w:p w14:paraId="55219970">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p>
              </w:tc>
            </w:tr>
          </w:tbl>
          <w:p w14:paraId="56EA3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cs="Times New Roman"/>
                <w:b/>
                <w:bCs/>
                <w:color w:val="auto"/>
                <w:sz w:val="24"/>
                <w:szCs w:val="32"/>
                <w:lang w:val="en-US" w:eastAsia="zh-CN"/>
              </w:rPr>
            </w:pPr>
          </w:p>
        </w:tc>
      </w:tr>
    </w:tbl>
    <w:p w14:paraId="27E24206">
      <w:pPr>
        <w:adjustRightInd w:val="0"/>
        <w:snapToGrid w:val="0"/>
        <w:jc w:val="center"/>
        <w:rPr>
          <w:rFonts w:hint="eastAsia" w:ascii="宋体" w:hAnsi="宋体" w:cs="宋体"/>
          <w:bCs/>
          <w:sz w:val="24"/>
        </w:rPr>
        <w:sectPr>
          <w:pgSz w:w="11905" w:h="16838"/>
          <w:pgMar w:top="1701" w:right="1531" w:bottom="1701" w:left="1531" w:header="851" w:footer="850" w:gutter="0"/>
          <w:pgBorders>
            <w:top w:val="none" w:sz="0" w:space="0"/>
            <w:left w:val="none" w:sz="0" w:space="0"/>
            <w:bottom w:val="none" w:sz="0" w:space="0"/>
            <w:right w:val="none" w:sz="0" w:space="0"/>
          </w:pgBorders>
          <w:cols w:space="720" w:num="1"/>
          <w:rtlGutter w:val="0"/>
          <w:docGrid w:linePitch="312" w:charSpace="0"/>
        </w:sectPr>
      </w:pPr>
    </w:p>
    <w:tbl>
      <w:tblPr>
        <w:tblStyle w:val="28"/>
        <w:tblW w:w="50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2510"/>
      </w:tblGrid>
      <w:tr w14:paraId="60182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17" w:type="pct"/>
            <w:noWrap w:val="0"/>
            <w:tcMar>
              <w:left w:w="28" w:type="dxa"/>
              <w:right w:w="28" w:type="dxa"/>
            </w:tcMar>
            <w:vAlign w:val="center"/>
          </w:tcPr>
          <w:p w14:paraId="5A312172">
            <w:pPr>
              <w:keepNext w:val="0"/>
              <w:keepLines w:val="0"/>
              <w:suppressLineNumbers w:val="0"/>
              <w:adjustRightInd w:val="0"/>
              <w:snapToGrid w:val="0"/>
              <w:spacing w:before="0" w:beforeAutospacing="0" w:after="0" w:afterAutospacing="0"/>
              <w:ind w:left="0" w:right="0"/>
              <w:jc w:val="center"/>
              <w:rPr>
                <w:rFonts w:hint="eastAsia" w:ascii="宋体" w:hAnsi="宋体" w:cs="宋体"/>
                <w:bCs/>
                <w:sz w:val="24"/>
              </w:rPr>
            </w:pPr>
          </w:p>
        </w:tc>
        <w:tc>
          <w:tcPr>
            <w:tcW w:w="4582" w:type="pct"/>
            <w:noWrap w:val="0"/>
            <w:vAlign w:val="center"/>
          </w:tcPr>
          <w:p w14:paraId="423CA87E">
            <w:pPr>
              <w:keepNext w:val="0"/>
              <w:keepLines w:val="0"/>
              <w:widowControl/>
              <w:suppressLineNumbers w:val="0"/>
              <w:spacing w:before="0" w:beforeAutospacing="0" w:after="0" w:afterAutospacing="0" w:line="360" w:lineRule="auto"/>
              <w:ind w:left="0" w:leftChars="0" w:right="0" w:firstLine="0" w:firstLineChars="0"/>
              <w:jc w:val="left"/>
              <w:rPr>
                <w:rFonts w:hint="eastAsia" w:ascii="Times New Roman" w:hAnsi="Times New Roman" w:cs="Times New Roman"/>
                <w:b/>
                <w:bCs/>
                <w:color w:val="auto"/>
                <w:sz w:val="24"/>
                <w:szCs w:val="32"/>
                <w:lang w:val="en-US" w:eastAsia="zh-CN"/>
              </w:rPr>
            </w:pPr>
            <w:r>
              <w:rPr>
                <w:rFonts w:hint="default" w:ascii="Times New Roman" w:hAnsi="Times New Roman" w:cs="Times New Roman"/>
                <w:b/>
                <w:bCs/>
                <w:color w:val="auto"/>
                <w:sz w:val="24"/>
                <w:szCs w:val="24"/>
              </w:rPr>
              <w:t>3</w:t>
            </w:r>
            <w:r>
              <w:rPr>
                <w:rFonts w:hint="eastAsia" w:ascii="Times New Roman" w:hAnsi="Times New Roman" w:cs="宋体"/>
                <w:b/>
                <w:bCs/>
                <w:color w:val="auto"/>
                <w:sz w:val="24"/>
                <w:szCs w:val="24"/>
              </w:rPr>
              <w:t>、噪声</w:t>
            </w:r>
          </w:p>
          <w:p w14:paraId="614036F9">
            <w:pPr>
              <w:keepNext w:val="0"/>
              <w:keepLines w:val="0"/>
              <w:suppressLineNumbers w:val="0"/>
              <w:spacing w:before="0" w:beforeAutospacing="0" w:after="0" w:afterAutospacing="0" w:line="360" w:lineRule="auto"/>
              <w:ind w:left="0" w:right="0"/>
              <w:rPr>
                <w:rFonts w:hint="default" w:ascii="Times New Roman" w:hAnsi="Times New Roman" w:cs="Times New Roman"/>
                <w:b/>
                <w:bCs/>
                <w:sz w:val="24"/>
              </w:rPr>
            </w:pPr>
            <w:r>
              <w:rPr>
                <w:rFonts w:hint="default" w:ascii="Times New Roman" w:hAnsi="Times New Roman" w:cs="Times New Roman"/>
                <w:b/>
                <w:bCs/>
                <w:sz w:val="24"/>
              </w:rPr>
              <w:t>3.1 噪声源强</w:t>
            </w:r>
          </w:p>
          <w:p w14:paraId="72817B6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sz w:val="24"/>
              </w:rPr>
              <w:t>根据现场踏勘、项目总平图等，并结合卫星图片地理信息数据确定，项目营运期噪声主要为生产设备产生的噪声，均为室内声源。</w:t>
            </w:r>
            <w:r>
              <w:rPr>
                <w:rFonts w:hint="eastAsia" w:ascii="Times New Roman" w:hAnsi="Times New Roman" w:cs="Times New Roman"/>
                <w:sz w:val="24"/>
              </w:rPr>
              <w:t>本</w:t>
            </w:r>
            <w:r>
              <w:rPr>
                <w:rFonts w:hint="default" w:ascii="Times New Roman" w:hAnsi="Times New Roman" w:cs="Times New Roman"/>
                <w:sz w:val="24"/>
              </w:rPr>
              <w:t>项目</w:t>
            </w:r>
            <w:r>
              <w:rPr>
                <w:rFonts w:hint="eastAsia" w:ascii="Times New Roman" w:hAnsi="Times New Roman" w:cs="Times New Roman"/>
                <w:sz w:val="24"/>
              </w:rPr>
              <w:t>运营期</w:t>
            </w:r>
            <w:r>
              <w:rPr>
                <w:rFonts w:hint="default" w:ascii="Times New Roman" w:hAnsi="Times New Roman" w:cs="Times New Roman"/>
                <w:sz w:val="24"/>
              </w:rPr>
              <w:t>高噪声设备主要为</w:t>
            </w:r>
            <w:r>
              <w:rPr>
                <w:rFonts w:hint="eastAsia" w:ascii="Times New Roman" w:hAnsi="Times New Roman" w:cs="Times New Roman"/>
                <w:sz w:val="24"/>
                <w:lang w:val="en-US" w:eastAsia="zh-CN"/>
              </w:rPr>
              <w:t>粉碎机</w:t>
            </w:r>
            <w:r>
              <w:rPr>
                <w:rFonts w:hint="default" w:ascii="Times New Roman" w:hAnsi="Times New Roman" w:cs="Times New Roman"/>
                <w:sz w:val="24"/>
              </w:rPr>
              <w:t>、</w:t>
            </w:r>
            <w:r>
              <w:rPr>
                <w:rFonts w:hint="eastAsia" w:ascii="Times New Roman" w:hAnsi="Times New Roman" w:cs="Times New Roman"/>
                <w:sz w:val="24"/>
                <w:lang w:val="en-US" w:eastAsia="zh-CN"/>
              </w:rPr>
              <w:t>膨化主机</w:t>
            </w:r>
            <w:r>
              <w:rPr>
                <w:rFonts w:hint="default" w:ascii="Times New Roman" w:hAnsi="Times New Roman" w:cs="Times New Roman"/>
                <w:sz w:val="24"/>
              </w:rPr>
              <w:t>、</w:t>
            </w:r>
            <w:r>
              <w:rPr>
                <w:rFonts w:hint="eastAsia" w:ascii="Times New Roman" w:hAnsi="Times New Roman" w:eastAsia="宋体" w:cs="Times New Roman"/>
                <w:color w:val="000000"/>
                <w:sz w:val="24"/>
                <w:szCs w:val="24"/>
                <w:lang w:val="en-US" w:eastAsia="zh-CN"/>
              </w:rPr>
              <w:t>虾片机</w:t>
            </w:r>
            <w:r>
              <w:rPr>
                <w:rFonts w:hint="eastAsia" w:ascii="Times New Roman" w:hAnsi="Times New Roman" w:cs="Times New Roman"/>
                <w:sz w:val="24"/>
              </w:rPr>
              <w:t>、</w:t>
            </w:r>
            <w:r>
              <w:rPr>
                <w:rFonts w:hint="eastAsia" w:ascii="Times New Roman" w:hAnsi="Times New Roman" w:cs="Times New Roman"/>
                <w:sz w:val="24"/>
                <w:lang w:val="en-US" w:eastAsia="zh-CN"/>
              </w:rPr>
              <w:t>蛋卷机</w:t>
            </w:r>
            <w:r>
              <w:rPr>
                <w:rFonts w:hint="eastAsia" w:ascii="Times New Roman" w:hAnsi="Times New Roman" w:cs="Times New Roman"/>
                <w:sz w:val="24"/>
              </w:rPr>
              <w:t>、</w:t>
            </w:r>
            <w:r>
              <w:rPr>
                <w:rFonts w:hint="eastAsia" w:ascii="Times New Roman" w:hAnsi="Times New Roman" w:cs="Times New Roman"/>
                <w:sz w:val="24"/>
                <w:lang w:eastAsia="zh-CN"/>
              </w:rPr>
              <w:t>热</w:t>
            </w:r>
            <w:r>
              <w:rPr>
                <w:rFonts w:hint="eastAsia" w:ascii="Times New Roman" w:hAnsi="Times New Roman" w:cs="Times New Roman"/>
                <w:sz w:val="24"/>
                <w:lang w:val="en-US" w:eastAsia="zh-CN"/>
              </w:rPr>
              <w:t>风旋转炉</w:t>
            </w:r>
            <w:r>
              <w:rPr>
                <w:rFonts w:hint="eastAsia" w:ascii="Times New Roman" w:hAnsi="Times New Roman" w:cs="Times New Roman"/>
                <w:sz w:val="24"/>
              </w:rPr>
              <w:t>、</w:t>
            </w:r>
            <w:r>
              <w:rPr>
                <w:rFonts w:hint="eastAsia" w:ascii="Times New Roman" w:hAnsi="Times New Roman" w:cs="Times New Roman"/>
                <w:sz w:val="24"/>
                <w:lang w:val="en-US" w:eastAsia="zh-CN"/>
              </w:rPr>
              <w:t>打浆机</w:t>
            </w:r>
            <w:r>
              <w:rPr>
                <w:rFonts w:hint="eastAsia" w:ascii="Times New Roman" w:hAnsi="Times New Roman" w:cs="Times New Roman"/>
                <w:sz w:val="24"/>
              </w:rPr>
              <w:t>、</w:t>
            </w:r>
            <w:r>
              <w:rPr>
                <w:rFonts w:hint="eastAsia" w:ascii="Times New Roman" w:hAnsi="Times New Roman" w:cs="Times New Roman"/>
                <w:sz w:val="24"/>
                <w:lang w:val="en-US" w:eastAsia="zh-CN"/>
              </w:rPr>
              <w:t>包装</w:t>
            </w:r>
            <w:r>
              <w:rPr>
                <w:rFonts w:hint="eastAsia" w:ascii="Times New Roman" w:hAnsi="Times New Roman" w:cs="Times New Roman"/>
                <w:sz w:val="24"/>
              </w:rPr>
              <w:t>机</w:t>
            </w:r>
            <w:r>
              <w:rPr>
                <w:rFonts w:hint="default" w:ascii="Times New Roman" w:hAnsi="Times New Roman" w:cs="Times New Roman"/>
                <w:sz w:val="24"/>
              </w:rPr>
              <w:t>等设备，其噪声源等效声级在</w:t>
            </w:r>
            <w:r>
              <w:rPr>
                <w:rFonts w:hint="eastAsia" w:cs="Times New Roman"/>
                <w:sz w:val="24"/>
                <w:lang w:val="en-US" w:eastAsia="zh-CN"/>
              </w:rPr>
              <w:t>70</w:t>
            </w:r>
            <w:r>
              <w:rPr>
                <w:rFonts w:hint="default" w:ascii="Times New Roman" w:hAnsi="Times New Roman" w:cs="Times New Roman"/>
                <w:sz w:val="24"/>
              </w:rPr>
              <w:t>~</w:t>
            </w:r>
            <w:r>
              <w:rPr>
                <w:rFonts w:hint="eastAsia" w:cs="Times New Roman"/>
                <w:sz w:val="24"/>
                <w:lang w:val="en-US" w:eastAsia="zh-CN"/>
              </w:rPr>
              <w:t>85</w:t>
            </w:r>
            <w:r>
              <w:rPr>
                <w:rFonts w:hint="default" w:ascii="Times New Roman" w:hAnsi="Times New Roman" w:cs="Times New Roman"/>
                <w:sz w:val="24"/>
              </w:rPr>
              <w:t>dB（A）。</w:t>
            </w:r>
            <w:r>
              <w:rPr>
                <w:rFonts w:hint="default" w:ascii="Times New Roman" w:hAnsi="宋体" w:cs="Times New Roman"/>
                <w:sz w:val="24"/>
              </w:rPr>
              <w:t>项目选用低噪声设备，采取基础减振、隔声、消声级加强管理等措施。</w:t>
            </w:r>
            <w:r>
              <w:rPr>
                <w:rFonts w:hint="default" w:ascii="Times New Roman" w:hAnsi="Times New Roman" w:cs="Times New Roman"/>
                <w:sz w:val="24"/>
              </w:rPr>
              <w:t>本评价结合厂区总平面布置，以厂区西、南厂界交汇点为坐标原点（x=0，y=0，z=0），x轴正方向为正东方向，y轴正方向为正北方向。各噪声源的位置坐标点，定位坐标均为建构筑物及设备的中心坐标，布置范围为设备布置的x，y范围坐标值，布置标高为相对原点处的标高。</w:t>
            </w:r>
            <w:r>
              <w:rPr>
                <w:rFonts w:hint="default" w:ascii="Times New Roman" w:hAnsi="Times New Roman" w:cs="Times New Roman"/>
                <w:spacing w:val="10"/>
                <w:sz w:val="24"/>
              </w:rPr>
              <w:t>各种产噪设备噪声源强</w:t>
            </w:r>
            <w:r>
              <w:rPr>
                <w:rFonts w:hint="default" w:ascii="Times New Roman" w:hAnsi="Times New Roman" w:cs="Times New Roman"/>
                <w:sz w:val="24"/>
              </w:rPr>
              <w:t>见</w:t>
            </w:r>
            <w:r>
              <w:rPr>
                <w:rFonts w:hint="eastAsia" w:ascii="Times New Roman" w:hAnsi="Times New Roman" w:cs="Times New Roman"/>
                <w:sz w:val="24"/>
              </w:rPr>
              <w:t>下表</w:t>
            </w:r>
            <w:r>
              <w:rPr>
                <w:rFonts w:hint="default"/>
                <w:sz w:val="24"/>
              </w:rPr>
              <w:t>。</w:t>
            </w:r>
          </w:p>
          <w:p w14:paraId="092A9A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sz w:val="24"/>
              </w:rPr>
            </w:pPr>
            <w:r>
              <w:rPr>
                <w:rFonts w:hint="default" w:ascii="Times New Roman" w:hAnsi="Times New Roman" w:eastAsia="宋体" w:cs="Times New Roman"/>
                <w:b/>
                <w:bCs/>
                <w:sz w:val="24"/>
                <w:szCs w:val="24"/>
              </w:rPr>
              <w:t>表4-</w:t>
            </w:r>
            <w:r>
              <w:rPr>
                <w:rFonts w:hint="eastAsia" w:ascii="Times New Roman" w:hAnsi="Times New Roman" w:eastAsia="宋体" w:cs="Times New Roman"/>
                <w:b/>
                <w:bCs/>
                <w:sz w:val="24"/>
                <w:szCs w:val="24"/>
                <w:lang w:val="en-US" w:eastAsia="zh-CN"/>
              </w:rPr>
              <w:t>6</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lang w:val="en-US"/>
              </w:rPr>
              <w:t>工业企业</w:t>
            </w:r>
            <w:r>
              <w:rPr>
                <w:rFonts w:hint="default" w:ascii="Times New Roman" w:hAnsi="Times New Roman" w:eastAsia="宋体" w:cs="Times New Roman"/>
                <w:b/>
                <w:bCs/>
                <w:sz w:val="24"/>
              </w:rPr>
              <w:t>噪声源强调查清单（室内声源）</w:t>
            </w:r>
          </w:p>
          <w:tbl>
            <w:tblPr>
              <w:tblStyle w:val="28"/>
              <w:tblW w:w="0" w:type="auto"/>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Layout w:type="autofit"/>
              <w:tblCellMar>
                <w:top w:w="0" w:type="dxa"/>
                <w:left w:w="108" w:type="dxa"/>
                <w:bottom w:w="0" w:type="dxa"/>
                <w:right w:w="108" w:type="dxa"/>
              </w:tblCellMar>
            </w:tblPr>
            <w:tblGrid>
              <w:gridCol w:w="427"/>
              <w:gridCol w:w="677"/>
              <w:gridCol w:w="1329"/>
              <w:gridCol w:w="862"/>
              <w:gridCol w:w="773"/>
              <w:gridCol w:w="555"/>
              <w:gridCol w:w="1185"/>
              <w:gridCol w:w="867"/>
              <w:gridCol w:w="1138"/>
              <w:gridCol w:w="907"/>
              <w:gridCol w:w="949"/>
              <w:gridCol w:w="917"/>
              <w:gridCol w:w="811"/>
              <w:gridCol w:w="897"/>
            </w:tblGrid>
            <w:tr w14:paraId="68662963">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c>
                <w:tcPr>
                  <w:tcW w:w="175" w:type="pct"/>
                  <w:vMerge w:val="restart"/>
                  <w:tcBorders>
                    <w:tl2br w:val="nil"/>
                    <w:tr2bl w:val="nil"/>
                  </w:tcBorders>
                  <w:noWrap w:val="0"/>
                  <w:vAlign w:val="center"/>
                </w:tcPr>
                <w:p w14:paraId="1DCA4BDD">
                  <w:pPr>
                    <w:keepNext w:val="0"/>
                    <w:keepLines w:val="0"/>
                    <w:suppressLineNumbers w:val="0"/>
                    <w:spacing w:before="0" w:beforeAutospacing="0" w:after="0" w:afterAutospacing="0" w:line="240" w:lineRule="auto"/>
                    <w:ind w:left="0" w:right="0"/>
                    <w:jc w:val="center"/>
                    <w:rPr>
                      <w:rFonts w:hint="default"/>
                      <w:b/>
                      <w:color w:val="000000"/>
                      <w:sz w:val="21"/>
                      <w:szCs w:val="21"/>
                    </w:rPr>
                  </w:pPr>
                  <w:r>
                    <w:rPr>
                      <w:rFonts w:hint="default"/>
                      <w:b/>
                      <w:color w:val="000000"/>
                      <w:sz w:val="21"/>
                      <w:szCs w:val="21"/>
                    </w:rPr>
                    <w:t>序号</w:t>
                  </w:r>
                </w:p>
              </w:tc>
              <w:tc>
                <w:tcPr>
                  <w:tcW w:w="303" w:type="pct"/>
                  <w:vMerge w:val="restart"/>
                  <w:tcBorders>
                    <w:tl2br w:val="nil"/>
                    <w:tr2bl w:val="nil"/>
                  </w:tcBorders>
                  <w:noWrap w:val="0"/>
                  <w:vAlign w:val="center"/>
                </w:tcPr>
                <w:p w14:paraId="719074DD">
                  <w:pPr>
                    <w:keepNext w:val="0"/>
                    <w:keepLines w:val="0"/>
                    <w:suppressLineNumbers w:val="0"/>
                    <w:spacing w:before="0" w:beforeAutospacing="0" w:after="0" w:afterAutospacing="0" w:line="240" w:lineRule="auto"/>
                    <w:ind w:left="0" w:right="0"/>
                    <w:jc w:val="center"/>
                    <w:rPr>
                      <w:rFonts w:hint="default"/>
                      <w:b/>
                      <w:color w:val="000000"/>
                      <w:sz w:val="21"/>
                      <w:szCs w:val="21"/>
                    </w:rPr>
                  </w:pPr>
                  <w:r>
                    <w:rPr>
                      <w:rFonts w:hint="default"/>
                      <w:b/>
                      <w:color w:val="000000"/>
                      <w:sz w:val="21"/>
                      <w:szCs w:val="21"/>
                    </w:rPr>
                    <w:t>建筑物名称</w:t>
                  </w:r>
                </w:p>
              </w:tc>
              <w:tc>
                <w:tcPr>
                  <w:tcW w:w="555" w:type="pct"/>
                  <w:vMerge w:val="restart"/>
                  <w:tcBorders>
                    <w:tl2br w:val="nil"/>
                    <w:tr2bl w:val="nil"/>
                  </w:tcBorders>
                  <w:noWrap w:val="0"/>
                  <w:vAlign w:val="center"/>
                </w:tcPr>
                <w:p w14:paraId="7438F9DA">
                  <w:pPr>
                    <w:keepNext w:val="0"/>
                    <w:keepLines w:val="0"/>
                    <w:suppressLineNumbers w:val="0"/>
                    <w:spacing w:before="0" w:beforeAutospacing="0" w:after="0" w:afterAutospacing="0" w:line="240" w:lineRule="auto"/>
                    <w:ind w:left="0" w:right="0"/>
                    <w:jc w:val="center"/>
                    <w:rPr>
                      <w:rFonts w:hint="default"/>
                      <w:b/>
                      <w:color w:val="000000"/>
                      <w:sz w:val="21"/>
                      <w:szCs w:val="21"/>
                    </w:rPr>
                  </w:pPr>
                  <w:r>
                    <w:rPr>
                      <w:rFonts w:hint="default"/>
                      <w:b/>
                      <w:color w:val="000000"/>
                      <w:sz w:val="21"/>
                      <w:szCs w:val="21"/>
                    </w:rPr>
                    <w:t>声源名称</w:t>
                  </w:r>
                </w:p>
              </w:tc>
              <w:tc>
                <w:tcPr>
                  <w:tcW w:w="934" w:type="pct"/>
                  <w:gridSpan w:val="3"/>
                  <w:tcBorders>
                    <w:tl2br w:val="nil"/>
                    <w:tr2bl w:val="nil"/>
                  </w:tcBorders>
                  <w:noWrap w:val="0"/>
                  <w:vAlign w:val="center"/>
                </w:tcPr>
                <w:p w14:paraId="128F95F9">
                  <w:pPr>
                    <w:keepNext w:val="0"/>
                    <w:keepLines w:val="0"/>
                    <w:suppressLineNumbers w:val="0"/>
                    <w:spacing w:before="0" w:beforeAutospacing="0" w:after="0" w:afterAutospacing="0" w:line="240" w:lineRule="auto"/>
                    <w:ind w:left="0" w:right="0"/>
                    <w:jc w:val="center"/>
                    <w:rPr>
                      <w:rFonts w:hint="default"/>
                      <w:b/>
                      <w:color w:val="000000"/>
                      <w:sz w:val="21"/>
                      <w:szCs w:val="21"/>
                    </w:rPr>
                  </w:pPr>
                  <w:r>
                    <w:rPr>
                      <w:rFonts w:hint="default"/>
                      <w:b/>
                      <w:color w:val="000000"/>
                      <w:sz w:val="21"/>
                      <w:szCs w:val="21"/>
                    </w:rPr>
                    <w:t>空间相对位置/m</w:t>
                  </w:r>
                </w:p>
              </w:tc>
              <w:tc>
                <w:tcPr>
                  <w:tcW w:w="496" w:type="pct"/>
                  <w:tcBorders>
                    <w:tl2br w:val="nil"/>
                    <w:tr2bl w:val="nil"/>
                  </w:tcBorders>
                  <w:noWrap w:val="0"/>
                  <w:vAlign w:val="center"/>
                </w:tcPr>
                <w:p w14:paraId="03B6975A">
                  <w:pPr>
                    <w:keepNext w:val="0"/>
                    <w:keepLines w:val="0"/>
                    <w:suppressLineNumbers w:val="0"/>
                    <w:spacing w:before="0" w:beforeAutospacing="0" w:after="0" w:afterAutospacing="0" w:line="240" w:lineRule="auto"/>
                    <w:ind w:left="0" w:right="0"/>
                    <w:jc w:val="center"/>
                    <w:rPr>
                      <w:rFonts w:hint="default"/>
                      <w:b/>
                      <w:color w:val="000000"/>
                      <w:sz w:val="21"/>
                      <w:szCs w:val="21"/>
                    </w:rPr>
                  </w:pPr>
                  <w:r>
                    <w:rPr>
                      <w:rFonts w:hint="default"/>
                      <w:b/>
                      <w:color w:val="000000"/>
                      <w:sz w:val="21"/>
                      <w:szCs w:val="21"/>
                    </w:rPr>
                    <w:t>声源源强</w:t>
                  </w:r>
                </w:p>
              </w:tc>
              <w:tc>
                <w:tcPr>
                  <w:tcW w:w="367" w:type="pct"/>
                  <w:vMerge w:val="restart"/>
                  <w:tcBorders>
                    <w:tl2br w:val="nil"/>
                    <w:tr2bl w:val="nil"/>
                  </w:tcBorders>
                  <w:noWrap w:val="0"/>
                  <w:vAlign w:val="center"/>
                </w:tcPr>
                <w:p w14:paraId="43D795BE">
                  <w:pPr>
                    <w:keepNext w:val="0"/>
                    <w:keepLines w:val="0"/>
                    <w:suppressLineNumbers w:val="0"/>
                    <w:spacing w:before="0" w:beforeAutospacing="0" w:after="0" w:afterAutospacing="0" w:line="240" w:lineRule="auto"/>
                    <w:ind w:left="0" w:right="0"/>
                    <w:jc w:val="center"/>
                    <w:rPr>
                      <w:rFonts w:hint="default"/>
                      <w:b/>
                      <w:color w:val="000000"/>
                      <w:sz w:val="21"/>
                      <w:szCs w:val="21"/>
                    </w:rPr>
                  </w:pPr>
                  <w:r>
                    <w:rPr>
                      <w:rFonts w:hint="default"/>
                      <w:b/>
                      <w:color w:val="000000"/>
                      <w:sz w:val="21"/>
                      <w:szCs w:val="21"/>
                    </w:rPr>
                    <w:t>声源控制措施</w:t>
                  </w:r>
                </w:p>
              </w:tc>
              <w:tc>
                <w:tcPr>
                  <w:tcW w:w="296" w:type="pct"/>
                  <w:vMerge w:val="restart"/>
                  <w:tcBorders>
                    <w:tl2br w:val="nil"/>
                    <w:tr2bl w:val="nil"/>
                  </w:tcBorders>
                  <w:noWrap w:val="0"/>
                  <w:vAlign w:val="center"/>
                </w:tcPr>
                <w:p w14:paraId="42F965C5">
                  <w:pPr>
                    <w:keepNext w:val="0"/>
                    <w:keepLines w:val="0"/>
                    <w:suppressLineNumbers w:val="0"/>
                    <w:spacing w:before="0" w:beforeAutospacing="0" w:after="0" w:afterAutospacing="0" w:line="240" w:lineRule="auto"/>
                    <w:ind w:left="0" w:right="0"/>
                    <w:jc w:val="center"/>
                    <w:rPr>
                      <w:rFonts w:hint="default"/>
                      <w:b/>
                      <w:color w:val="000000"/>
                      <w:sz w:val="21"/>
                      <w:szCs w:val="21"/>
                    </w:rPr>
                  </w:pPr>
                  <w:r>
                    <w:rPr>
                      <w:rFonts w:hint="default"/>
                      <w:b/>
                      <w:color w:val="000000"/>
                      <w:sz w:val="21"/>
                      <w:szCs w:val="21"/>
                    </w:rPr>
                    <w:t>运行时段</w:t>
                  </w:r>
                </w:p>
              </w:tc>
              <w:tc>
                <w:tcPr>
                  <w:tcW w:w="383" w:type="pct"/>
                  <w:vMerge w:val="restart"/>
                  <w:tcBorders>
                    <w:tl2br w:val="nil"/>
                    <w:tr2bl w:val="nil"/>
                  </w:tcBorders>
                  <w:noWrap w:val="0"/>
                  <w:vAlign w:val="center"/>
                </w:tcPr>
                <w:p w14:paraId="4A125162">
                  <w:pPr>
                    <w:keepNext w:val="0"/>
                    <w:keepLines w:val="0"/>
                    <w:suppressLineNumbers w:val="0"/>
                    <w:spacing w:before="0" w:beforeAutospacing="0" w:after="0" w:afterAutospacing="0"/>
                    <w:ind w:left="0" w:right="0"/>
                    <w:jc w:val="center"/>
                    <w:rPr>
                      <w:rFonts w:hint="default"/>
                      <w:b/>
                      <w:color w:val="000000"/>
                      <w:sz w:val="21"/>
                      <w:szCs w:val="21"/>
                    </w:rPr>
                  </w:pPr>
                  <w:r>
                    <w:rPr>
                      <w:rFonts w:hint="default"/>
                      <w:b/>
                      <w:color w:val="000000"/>
                      <w:sz w:val="21"/>
                      <w:szCs w:val="21"/>
                    </w:rPr>
                    <w:t>距离室内边界距离/m</w:t>
                  </w:r>
                </w:p>
              </w:tc>
              <w:tc>
                <w:tcPr>
                  <w:tcW w:w="400" w:type="pct"/>
                  <w:vMerge w:val="restart"/>
                  <w:tcBorders>
                    <w:tl2br w:val="nil"/>
                    <w:tr2bl w:val="nil"/>
                  </w:tcBorders>
                  <w:noWrap w:val="0"/>
                  <w:vAlign w:val="center"/>
                </w:tcPr>
                <w:p w14:paraId="47C5FF2B">
                  <w:pPr>
                    <w:keepNext w:val="0"/>
                    <w:keepLines w:val="0"/>
                    <w:suppressLineNumbers w:val="0"/>
                    <w:spacing w:before="0" w:beforeAutospacing="0" w:after="0" w:afterAutospacing="0"/>
                    <w:ind w:left="0" w:right="0"/>
                    <w:jc w:val="center"/>
                    <w:rPr>
                      <w:rFonts w:hint="default"/>
                      <w:b/>
                      <w:color w:val="000000"/>
                      <w:sz w:val="21"/>
                      <w:szCs w:val="21"/>
                    </w:rPr>
                  </w:pPr>
                  <w:r>
                    <w:rPr>
                      <w:rFonts w:hint="default"/>
                      <w:b/>
                      <w:color w:val="000000"/>
                      <w:sz w:val="21"/>
                      <w:szCs w:val="21"/>
                    </w:rPr>
                    <w:t>室内边界声级/dB（A）</w:t>
                  </w:r>
                </w:p>
              </w:tc>
              <w:tc>
                <w:tcPr>
                  <w:tcW w:w="387" w:type="pct"/>
                  <w:vMerge w:val="restart"/>
                  <w:tcBorders>
                    <w:tl2br w:val="nil"/>
                    <w:tr2bl w:val="nil"/>
                  </w:tcBorders>
                  <w:noWrap w:val="0"/>
                  <w:vAlign w:val="center"/>
                </w:tcPr>
                <w:p w14:paraId="56AE2115">
                  <w:pPr>
                    <w:keepNext w:val="0"/>
                    <w:keepLines w:val="0"/>
                    <w:suppressLineNumbers w:val="0"/>
                    <w:spacing w:before="0" w:beforeAutospacing="0" w:after="0" w:afterAutospacing="0"/>
                    <w:ind w:left="0" w:right="0"/>
                    <w:jc w:val="center"/>
                    <w:rPr>
                      <w:rFonts w:hint="default"/>
                      <w:b/>
                      <w:color w:val="000000"/>
                      <w:sz w:val="21"/>
                      <w:szCs w:val="21"/>
                    </w:rPr>
                  </w:pPr>
                  <w:r>
                    <w:rPr>
                      <w:rFonts w:hint="default"/>
                      <w:b/>
                      <w:color w:val="000000"/>
                      <w:sz w:val="21"/>
                      <w:szCs w:val="21"/>
                    </w:rPr>
                    <w:t>建筑物插入损失</w:t>
                  </w:r>
                  <w:r>
                    <w:rPr>
                      <w:rFonts w:hint="default"/>
                    </w:rPr>
                    <w:t>/dB(A)</w:t>
                  </w:r>
                </w:p>
              </w:tc>
              <w:tc>
                <w:tcPr>
                  <w:tcW w:w="319" w:type="pct"/>
                  <w:vMerge w:val="restart"/>
                  <w:tcBorders>
                    <w:tl2br w:val="nil"/>
                    <w:tr2bl w:val="nil"/>
                  </w:tcBorders>
                  <w:noWrap w:val="0"/>
                  <w:vAlign w:val="center"/>
                </w:tcPr>
                <w:p w14:paraId="49DFB7E3">
                  <w:pPr>
                    <w:keepNext w:val="0"/>
                    <w:keepLines w:val="0"/>
                    <w:suppressLineNumbers w:val="0"/>
                    <w:spacing w:before="0" w:beforeAutospacing="0" w:after="0" w:afterAutospacing="0"/>
                    <w:ind w:left="0" w:right="0"/>
                    <w:jc w:val="center"/>
                    <w:rPr>
                      <w:rFonts w:hint="eastAsia" w:eastAsia="宋体"/>
                      <w:b/>
                      <w:color w:val="000000"/>
                      <w:sz w:val="21"/>
                      <w:szCs w:val="21"/>
                      <w:lang w:val="en-US" w:eastAsia="zh-CN"/>
                    </w:rPr>
                  </w:pPr>
                  <w:r>
                    <w:rPr>
                      <w:rFonts w:hint="default"/>
                      <w:b/>
                      <w:color w:val="000000"/>
                      <w:sz w:val="21"/>
                      <w:szCs w:val="21"/>
                    </w:rPr>
                    <w:t>建筑物外噪声</w:t>
                  </w:r>
                  <w:r>
                    <w:rPr>
                      <w:rFonts w:hint="eastAsia"/>
                      <w:b/>
                      <w:color w:val="000000"/>
                      <w:sz w:val="21"/>
                      <w:szCs w:val="21"/>
                      <w:lang w:val="en-US" w:eastAsia="zh-CN"/>
                    </w:rPr>
                    <w:t>/</w:t>
                  </w:r>
                  <w:r>
                    <w:rPr>
                      <w:rFonts w:hint="default" w:ascii="Times New Roman" w:hAnsi="Times New Roman" w:eastAsia="宋体" w:cs="Times New Roman"/>
                      <w:color w:val="auto"/>
                      <w:sz w:val="21"/>
                      <w:szCs w:val="21"/>
                      <w:highlight w:val="none"/>
                    </w:rPr>
                    <w:t>dB(A</w:t>
                  </w:r>
                  <w:r>
                    <w:rPr>
                      <w:rFonts w:hint="eastAsia"/>
                      <w:lang w:val="en-US" w:eastAsia="zh-CN"/>
                    </w:rPr>
                    <w:t>)</w:t>
                  </w:r>
                </w:p>
              </w:tc>
              <w:tc>
                <w:tcPr>
                  <w:tcW w:w="379" w:type="pct"/>
                  <w:vMerge w:val="restart"/>
                  <w:tcBorders>
                    <w:tl2br w:val="nil"/>
                    <w:tr2bl w:val="nil"/>
                  </w:tcBorders>
                  <w:noWrap w:val="0"/>
                  <w:vAlign w:val="center"/>
                </w:tcPr>
                <w:p w14:paraId="65326EA5">
                  <w:pPr>
                    <w:keepNext w:val="0"/>
                    <w:keepLines w:val="0"/>
                    <w:suppressLineNumbers w:val="0"/>
                    <w:spacing w:before="0" w:beforeAutospacing="0" w:after="0" w:afterAutospacing="0"/>
                    <w:ind w:left="0" w:right="0"/>
                    <w:jc w:val="center"/>
                    <w:rPr>
                      <w:rFonts w:hint="default"/>
                      <w:b/>
                      <w:color w:val="000000"/>
                      <w:sz w:val="21"/>
                      <w:szCs w:val="21"/>
                    </w:rPr>
                  </w:pPr>
                  <w:r>
                    <w:rPr>
                      <w:rFonts w:hint="default"/>
                      <w:b/>
                      <w:color w:val="000000"/>
                      <w:sz w:val="21"/>
                      <w:szCs w:val="21"/>
                    </w:rPr>
                    <w:t>建筑物外距离/m</w:t>
                  </w:r>
                </w:p>
              </w:tc>
            </w:tr>
            <w:tr w14:paraId="6A027862">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461" w:hRule="atLeast"/>
              </w:trPr>
              <w:tc>
                <w:tcPr>
                  <w:tcW w:w="175" w:type="pct"/>
                  <w:vMerge w:val="continue"/>
                  <w:tcBorders>
                    <w:tl2br w:val="nil"/>
                    <w:tr2bl w:val="nil"/>
                  </w:tcBorders>
                  <w:noWrap w:val="0"/>
                  <w:vAlign w:val="center"/>
                </w:tcPr>
                <w:p w14:paraId="4D34407C">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303" w:type="pct"/>
                  <w:vMerge w:val="continue"/>
                  <w:tcBorders>
                    <w:tl2br w:val="nil"/>
                    <w:tr2bl w:val="nil"/>
                  </w:tcBorders>
                  <w:noWrap w:val="0"/>
                  <w:vAlign w:val="center"/>
                </w:tcPr>
                <w:p w14:paraId="5F5FBED0">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555" w:type="pct"/>
                  <w:vMerge w:val="continue"/>
                  <w:tcBorders>
                    <w:tl2br w:val="nil"/>
                    <w:tr2bl w:val="nil"/>
                  </w:tcBorders>
                  <w:noWrap w:val="0"/>
                  <w:vAlign w:val="center"/>
                </w:tcPr>
                <w:p w14:paraId="7DFA70DB">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365" w:type="pct"/>
                  <w:tcBorders>
                    <w:tl2br w:val="nil"/>
                    <w:tr2bl w:val="nil"/>
                  </w:tcBorders>
                  <w:noWrap w:val="0"/>
                  <w:vAlign w:val="center"/>
                </w:tcPr>
                <w:p w14:paraId="7FC295C8">
                  <w:pPr>
                    <w:keepNext w:val="0"/>
                    <w:keepLines w:val="0"/>
                    <w:suppressLineNumbers w:val="0"/>
                    <w:spacing w:before="0" w:beforeAutospacing="0" w:after="0" w:afterAutospacing="0" w:line="240" w:lineRule="auto"/>
                    <w:ind w:left="0" w:right="0"/>
                    <w:jc w:val="center"/>
                    <w:rPr>
                      <w:rFonts w:hint="default"/>
                      <w:b/>
                      <w:color w:val="000000"/>
                      <w:sz w:val="21"/>
                      <w:szCs w:val="21"/>
                    </w:rPr>
                  </w:pPr>
                  <w:r>
                    <w:rPr>
                      <w:rFonts w:hint="default"/>
                      <w:b/>
                      <w:color w:val="000000"/>
                      <w:sz w:val="21"/>
                      <w:szCs w:val="21"/>
                    </w:rPr>
                    <w:t>X</w:t>
                  </w:r>
                </w:p>
              </w:tc>
              <w:tc>
                <w:tcPr>
                  <w:tcW w:w="329" w:type="pct"/>
                  <w:tcBorders>
                    <w:tl2br w:val="nil"/>
                    <w:tr2bl w:val="nil"/>
                  </w:tcBorders>
                  <w:noWrap w:val="0"/>
                  <w:vAlign w:val="center"/>
                </w:tcPr>
                <w:p w14:paraId="0A8C0CDE">
                  <w:pPr>
                    <w:keepNext w:val="0"/>
                    <w:keepLines w:val="0"/>
                    <w:suppressLineNumbers w:val="0"/>
                    <w:spacing w:before="0" w:beforeAutospacing="0" w:after="0" w:afterAutospacing="0" w:line="240" w:lineRule="auto"/>
                    <w:ind w:left="0" w:right="0"/>
                    <w:jc w:val="center"/>
                    <w:rPr>
                      <w:rFonts w:hint="default"/>
                      <w:b/>
                      <w:color w:val="000000"/>
                      <w:sz w:val="21"/>
                      <w:szCs w:val="21"/>
                    </w:rPr>
                  </w:pPr>
                  <w:r>
                    <w:rPr>
                      <w:rFonts w:hint="default"/>
                      <w:b/>
                      <w:color w:val="000000"/>
                      <w:sz w:val="21"/>
                      <w:szCs w:val="21"/>
                    </w:rPr>
                    <w:t>Y</w:t>
                  </w:r>
                </w:p>
              </w:tc>
              <w:tc>
                <w:tcPr>
                  <w:tcW w:w="240" w:type="pct"/>
                  <w:tcBorders>
                    <w:tl2br w:val="nil"/>
                    <w:tr2bl w:val="nil"/>
                  </w:tcBorders>
                  <w:noWrap w:val="0"/>
                  <w:vAlign w:val="center"/>
                </w:tcPr>
                <w:p w14:paraId="35CD2446">
                  <w:pPr>
                    <w:keepNext w:val="0"/>
                    <w:keepLines w:val="0"/>
                    <w:suppressLineNumbers w:val="0"/>
                    <w:spacing w:before="0" w:beforeAutospacing="0" w:after="0" w:afterAutospacing="0" w:line="240" w:lineRule="auto"/>
                    <w:ind w:left="0" w:right="0"/>
                    <w:jc w:val="center"/>
                    <w:rPr>
                      <w:rFonts w:hint="default"/>
                      <w:b/>
                      <w:color w:val="000000"/>
                      <w:sz w:val="21"/>
                      <w:szCs w:val="21"/>
                    </w:rPr>
                  </w:pPr>
                  <w:r>
                    <w:rPr>
                      <w:rFonts w:hint="default"/>
                      <w:b/>
                      <w:color w:val="000000"/>
                      <w:sz w:val="21"/>
                      <w:szCs w:val="21"/>
                    </w:rPr>
                    <w:t>Z</w:t>
                  </w:r>
                </w:p>
              </w:tc>
              <w:tc>
                <w:tcPr>
                  <w:tcW w:w="496" w:type="pct"/>
                  <w:tcBorders>
                    <w:tl2br w:val="nil"/>
                    <w:tr2bl w:val="nil"/>
                  </w:tcBorders>
                  <w:noWrap w:val="0"/>
                  <w:vAlign w:val="center"/>
                </w:tcPr>
                <w:p w14:paraId="69F4C067">
                  <w:pPr>
                    <w:keepNext w:val="0"/>
                    <w:keepLines w:val="0"/>
                    <w:suppressLineNumbers w:val="0"/>
                    <w:spacing w:before="0" w:beforeAutospacing="0" w:after="0" w:afterAutospacing="0" w:line="240" w:lineRule="auto"/>
                    <w:ind w:left="0" w:right="0"/>
                    <w:jc w:val="center"/>
                    <w:rPr>
                      <w:rFonts w:hint="default"/>
                      <w:b/>
                      <w:color w:val="000000"/>
                      <w:sz w:val="21"/>
                      <w:szCs w:val="21"/>
                    </w:rPr>
                  </w:pPr>
                  <w:r>
                    <w:rPr>
                      <w:rFonts w:hint="default"/>
                      <w:b/>
                      <w:color w:val="000000"/>
                      <w:sz w:val="21"/>
                      <w:szCs w:val="21"/>
                    </w:rPr>
                    <w:t>声功率级/dB（A）</w:t>
                  </w:r>
                </w:p>
              </w:tc>
              <w:tc>
                <w:tcPr>
                  <w:tcW w:w="367" w:type="pct"/>
                  <w:vMerge w:val="continue"/>
                  <w:tcBorders>
                    <w:tl2br w:val="nil"/>
                    <w:tr2bl w:val="nil"/>
                  </w:tcBorders>
                  <w:noWrap w:val="0"/>
                  <w:vAlign w:val="center"/>
                </w:tcPr>
                <w:p w14:paraId="05108BF7">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296" w:type="pct"/>
                  <w:vMerge w:val="continue"/>
                  <w:tcBorders>
                    <w:tl2br w:val="nil"/>
                    <w:tr2bl w:val="nil"/>
                  </w:tcBorders>
                  <w:noWrap w:val="0"/>
                  <w:vAlign w:val="center"/>
                </w:tcPr>
                <w:p w14:paraId="0C6AB530">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383" w:type="pct"/>
                  <w:vMerge w:val="continue"/>
                  <w:tcBorders>
                    <w:tl2br w:val="nil"/>
                    <w:tr2bl w:val="nil"/>
                  </w:tcBorders>
                  <w:noWrap w:val="0"/>
                  <w:vAlign w:val="center"/>
                </w:tcPr>
                <w:p w14:paraId="2719F0AA">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400" w:type="pct"/>
                  <w:vMerge w:val="continue"/>
                  <w:tcBorders>
                    <w:tl2br w:val="nil"/>
                    <w:tr2bl w:val="nil"/>
                  </w:tcBorders>
                  <w:noWrap w:val="0"/>
                  <w:vAlign w:val="center"/>
                </w:tcPr>
                <w:p w14:paraId="6FACD005">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387" w:type="pct"/>
                  <w:vMerge w:val="continue"/>
                  <w:tcBorders>
                    <w:tl2br w:val="nil"/>
                    <w:tr2bl w:val="nil"/>
                  </w:tcBorders>
                  <w:noWrap w:val="0"/>
                  <w:vAlign w:val="center"/>
                </w:tcPr>
                <w:p w14:paraId="01EDB440">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319" w:type="pct"/>
                  <w:vMerge w:val="continue"/>
                  <w:tcBorders>
                    <w:tl2br w:val="nil"/>
                    <w:tr2bl w:val="nil"/>
                  </w:tcBorders>
                  <w:noWrap w:val="0"/>
                  <w:vAlign w:val="center"/>
                </w:tcPr>
                <w:p w14:paraId="30D17471">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379" w:type="pct"/>
                  <w:vMerge w:val="continue"/>
                  <w:tcBorders>
                    <w:tl2br w:val="nil"/>
                    <w:tr2bl w:val="nil"/>
                  </w:tcBorders>
                  <w:noWrap w:val="0"/>
                  <w:vAlign w:val="center"/>
                </w:tcPr>
                <w:p w14:paraId="58631A8A">
                  <w:pPr>
                    <w:keepNext w:val="0"/>
                    <w:keepLines w:val="0"/>
                    <w:suppressLineNumbers w:val="0"/>
                    <w:spacing w:before="0" w:beforeAutospacing="0" w:after="0" w:afterAutospacing="0" w:line="240" w:lineRule="auto"/>
                    <w:ind w:left="0" w:right="0"/>
                    <w:jc w:val="center"/>
                    <w:rPr>
                      <w:rFonts w:hint="default"/>
                      <w:color w:val="000000"/>
                      <w:sz w:val="21"/>
                      <w:szCs w:val="21"/>
                    </w:rPr>
                  </w:pPr>
                </w:p>
              </w:tc>
            </w:tr>
            <w:tr w14:paraId="2C46D4AD">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278" w:hRule="atLeast"/>
              </w:trPr>
              <w:tc>
                <w:tcPr>
                  <w:tcW w:w="175" w:type="pct"/>
                  <w:tcBorders>
                    <w:tl2br w:val="nil"/>
                    <w:tr2bl w:val="nil"/>
                  </w:tcBorders>
                  <w:noWrap w:val="0"/>
                  <w:vAlign w:val="center"/>
                </w:tcPr>
                <w:p w14:paraId="3398F740">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1</w:t>
                  </w:r>
                </w:p>
              </w:tc>
              <w:tc>
                <w:tcPr>
                  <w:tcW w:w="303" w:type="pct"/>
                  <w:vMerge w:val="restart"/>
                  <w:tcBorders>
                    <w:tl2br w:val="nil"/>
                    <w:tr2bl w:val="nil"/>
                  </w:tcBorders>
                  <w:noWrap w:val="0"/>
                  <w:vAlign w:val="center"/>
                </w:tcPr>
                <w:p w14:paraId="71D14E07">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生产车间</w:t>
                  </w:r>
                </w:p>
              </w:tc>
              <w:tc>
                <w:tcPr>
                  <w:tcW w:w="555" w:type="pct"/>
                  <w:tcBorders>
                    <w:tl2br w:val="nil"/>
                    <w:tr2bl w:val="nil"/>
                  </w:tcBorders>
                  <w:noWrap w:val="0"/>
                  <w:vAlign w:val="center"/>
                </w:tcPr>
                <w:p w14:paraId="4736E5F9">
                  <w:pPr>
                    <w:keepNext w:val="0"/>
                    <w:keepLines w:val="0"/>
                    <w:suppressLineNumbers w:val="0"/>
                    <w:adjustRightInd w:val="0"/>
                    <w:snapToGrid w:val="0"/>
                    <w:spacing w:before="0" w:beforeAutospacing="0" w:after="0" w:afterAutospacing="0"/>
                    <w:ind w:left="0" w:right="0"/>
                    <w:jc w:val="center"/>
                    <w:textAlignment w:val="center"/>
                    <w:rPr>
                      <w:rFonts w:hint="default"/>
                      <w:color w:val="000000"/>
                      <w:sz w:val="21"/>
                      <w:szCs w:val="21"/>
                    </w:rPr>
                  </w:pPr>
                  <w:r>
                    <w:rPr>
                      <w:rFonts w:hint="eastAsia" w:ascii="Times New Roman" w:hAnsi="Times New Roman" w:cs="Times New Roman"/>
                      <w:color w:val="000000"/>
                      <w:kern w:val="0"/>
                      <w:sz w:val="21"/>
                      <w:szCs w:val="21"/>
                      <w:lang w:val="en-US" w:eastAsia="zh-CN" w:bidi="ar"/>
                    </w:rPr>
                    <w:t>粉碎</w:t>
                  </w:r>
                  <w:r>
                    <w:rPr>
                      <w:rFonts w:hint="eastAsia"/>
                      <w:color w:val="000000"/>
                      <w:kern w:val="0"/>
                      <w:sz w:val="21"/>
                      <w:szCs w:val="21"/>
                      <w:lang w:bidi="ar"/>
                    </w:rPr>
                    <w:t>机</w:t>
                  </w:r>
                </w:p>
              </w:tc>
              <w:tc>
                <w:tcPr>
                  <w:tcW w:w="365" w:type="pct"/>
                  <w:tcBorders>
                    <w:tl2br w:val="nil"/>
                    <w:tr2bl w:val="nil"/>
                  </w:tcBorders>
                  <w:noWrap w:val="0"/>
                  <w:vAlign w:val="center"/>
                </w:tcPr>
                <w:p w14:paraId="5DC6C96F">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1</w:t>
                  </w:r>
                  <w:r>
                    <w:rPr>
                      <w:rFonts w:hint="eastAsia" w:ascii="Times New Roman" w:hAnsi="Times New Roman" w:cs="Times New Roman"/>
                      <w:color w:val="000000"/>
                      <w:sz w:val="21"/>
                      <w:szCs w:val="21"/>
                      <w:lang w:val="en-US" w:eastAsia="zh-CN"/>
                    </w:rPr>
                    <w:t>21.55</w:t>
                  </w:r>
                </w:p>
              </w:tc>
              <w:tc>
                <w:tcPr>
                  <w:tcW w:w="329" w:type="pct"/>
                  <w:tcBorders>
                    <w:tl2br w:val="nil"/>
                    <w:tr2bl w:val="nil"/>
                  </w:tcBorders>
                  <w:noWrap w:val="0"/>
                  <w:vAlign w:val="center"/>
                </w:tcPr>
                <w:p w14:paraId="681F32AC">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5</w:t>
                  </w:r>
                  <w:r>
                    <w:rPr>
                      <w:rFonts w:hint="eastAsia" w:ascii="Times New Roman" w:hAnsi="Times New Roman" w:cs="Times New Roman"/>
                      <w:color w:val="000000"/>
                      <w:sz w:val="21"/>
                      <w:szCs w:val="21"/>
                      <w:lang w:val="en-US" w:eastAsia="zh-CN"/>
                    </w:rPr>
                    <w:t>8.32</w:t>
                  </w:r>
                </w:p>
              </w:tc>
              <w:tc>
                <w:tcPr>
                  <w:tcW w:w="240" w:type="pct"/>
                  <w:tcBorders>
                    <w:tl2br w:val="nil"/>
                    <w:tr2bl w:val="nil"/>
                  </w:tcBorders>
                  <w:noWrap w:val="0"/>
                  <w:vAlign w:val="center"/>
                </w:tcPr>
                <w:p w14:paraId="2CA6B145">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1</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w:t>
                  </w:r>
                </w:p>
              </w:tc>
              <w:tc>
                <w:tcPr>
                  <w:tcW w:w="496" w:type="pct"/>
                  <w:tcBorders>
                    <w:tl2br w:val="nil"/>
                    <w:tr2bl w:val="nil"/>
                  </w:tcBorders>
                  <w:noWrap w:val="0"/>
                  <w:vAlign w:val="center"/>
                </w:tcPr>
                <w:p w14:paraId="421832F7">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85</w:t>
                  </w:r>
                </w:p>
              </w:tc>
              <w:tc>
                <w:tcPr>
                  <w:tcW w:w="367" w:type="pct"/>
                  <w:vMerge w:val="restart"/>
                  <w:tcBorders>
                    <w:tl2br w:val="nil"/>
                    <w:tr2bl w:val="nil"/>
                  </w:tcBorders>
                  <w:noWrap w:val="0"/>
                  <w:vAlign w:val="center"/>
                </w:tcPr>
                <w:p w14:paraId="4C89B752">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选用低噪声设备、减振、消声</w:t>
                  </w:r>
                </w:p>
              </w:tc>
              <w:tc>
                <w:tcPr>
                  <w:tcW w:w="296" w:type="pct"/>
                  <w:vMerge w:val="restart"/>
                  <w:tcBorders>
                    <w:tl2br w:val="nil"/>
                    <w:tr2bl w:val="nil"/>
                  </w:tcBorders>
                  <w:noWrap w:val="0"/>
                  <w:vAlign w:val="center"/>
                </w:tcPr>
                <w:p w14:paraId="1427BBE5">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ascii="Times New Roman" w:hAnsi="Times New Roman" w:eastAsia="宋体" w:cs="Times New Roman"/>
                      <w:kern w:val="2"/>
                      <w:sz w:val="21"/>
                      <w:szCs w:val="21"/>
                      <w:lang w:val="en-US" w:eastAsia="zh-CN" w:bidi="ar"/>
                    </w:rPr>
                    <w:t>9:00-17:00</w:t>
                  </w:r>
                </w:p>
              </w:tc>
              <w:tc>
                <w:tcPr>
                  <w:tcW w:w="383" w:type="pct"/>
                  <w:tcBorders>
                    <w:tl2br w:val="nil"/>
                    <w:tr2bl w:val="nil"/>
                  </w:tcBorders>
                  <w:noWrap w:val="0"/>
                  <w:vAlign w:val="center"/>
                </w:tcPr>
                <w:p w14:paraId="762453DA">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3</w:t>
                  </w:r>
                </w:p>
              </w:tc>
              <w:tc>
                <w:tcPr>
                  <w:tcW w:w="400" w:type="pct"/>
                  <w:tcBorders>
                    <w:tl2br w:val="nil"/>
                    <w:tr2bl w:val="nil"/>
                  </w:tcBorders>
                  <w:noWrap w:val="0"/>
                  <w:vAlign w:val="center"/>
                </w:tcPr>
                <w:p w14:paraId="1DD84F18">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75.5</w:t>
                  </w:r>
                </w:p>
              </w:tc>
              <w:tc>
                <w:tcPr>
                  <w:tcW w:w="387" w:type="pct"/>
                  <w:tcBorders>
                    <w:tl2br w:val="nil"/>
                    <w:tr2bl w:val="nil"/>
                  </w:tcBorders>
                  <w:noWrap w:val="0"/>
                  <w:vAlign w:val="center"/>
                </w:tcPr>
                <w:p w14:paraId="0A9D30A2">
                  <w:pPr>
                    <w:keepNext w:val="0"/>
                    <w:keepLines w:val="0"/>
                    <w:suppressLineNumbers w:val="0"/>
                    <w:spacing w:before="0" w:beforeAutospacing="0" w:after="0" w:afterAutospacing="0" w:line="240" w:lineRule="auto"/>
                    <w:ind w:left="0" w:right="0"/>
                    <w:jc w:val="center"/>
                    <w:rPr>
                      <w:rFonts w:hint="default" w:eastAsia="宋体"/>
                      <w:color w:val="000000"/>
                      <w:sz w:val="21"/>
                      <w:szCs w:val="21"/>
                      <w:lang w:val="en-US" w:eastAsia="zh-CN"/>
                    </w:rPr>
                  </w:pPr>
                  <w:r>
                    <w:rPr>
                      <w:rFonts w:hint="eastAsia"/>
                      <w:color w:val="000000"/>
                      <w:sz w:val="21"/>
                      <w:szCs w:val="21"/>
                      <w:lang w:val="en-US" w:eastAsia="zh-CN"/>
                    </w:rPr>
                    <w:t>10</w:t>
                  </w:r>
                </w:p>
              </w:tc>
              <w:tc>
                <w:tcPr>
                  <w:tcW w:w="319" w:type="pct"/>
                  <w:tcBorders>
                    <w:tl2br w:val="nil"/>
                    <w:tr2bl w:val="nil"/>
                  </w:tcBorders>
                  <w:noWrap w:val="0"/>
                  <w:vAlign w:val="center"/>
                </w:tcPr>
                <w:p w14:paraId="2419347A">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65.5</w:t>
                  </w:r>
                </w:p>
              </w:tc>
              <w:tc>
                <w:tcPr>
                  <w:tcW w:w="379" w:type="pct"/>
                  <w:tcBorders>
                    <w:tl2br w:val="nil"/>
                    <w:tr2bl w:val="nil"/>
                  </w:tcBorders>
                  <w:noWrap w:val="0"/>
                  <w:vAlign w:val="center"/>
                </w:tcPr>
                <w:p w14:paraId="6A651579">
                  <w:pPr>
                    <w:keepNext w:val="0"/>
                    <w:keepLines w:val="0"/>
                    <w:suppressLineNumbers w:val="0"/>
                    <w:spacing w:before="0" w:beforeAutospacing="0" w:after="0" w:afterAutospacing="0" w:line="240" w:lineRule="auto"/>
                    <w:ind w:left="0" w:right="0"/>
                    <w:jc w:val="center"/>
                    <w:rPr>
                      <w:rFonts w:hint="eastAsia"/>
                      <w:color w:val="000000"/>
                      <w:sz w:val="21"/>
                      <w:szCs w:val="21"/>
                    </w:rPr>
                  </w:pPr>
                  <w:r>
                    <w:rPr>
                      <w:rFonts w:hint="eastAsia" w:ascii="Times New Roman" w:hAnsi="Times New Roman" w:cs="Times New Roman"/>
                      <w:color w:val="000000"/>
                      <w:sz w:val="21"/>
                      <w:szCs w:val="21"/>
                      <w:lang w:val="en-US" w:eastAsia="zh-CN"/>
                    </w:rPr>
                    <w:t>1</w:t>
                  </w:r>
                </w:p>
              </w:tc>
            </w:tr>
            <w:tr w14:paraId="3B4E21AC">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308" w:hRule="atLeast"/>
              </w:trPr>
              <w:tc>
                <w:tcPr>
                  <w:tcW w:w="175" w:type="pct"/>
                  <w:tcBorders>
                    <w:tl2br w:val="nil"/>
                    <w:tr2bl w:val="nil"/>
                  </w:tcBorders>
                  <w:noWrap w:val="0"/>
                  <w:vAlign w:val="center"/>
                </w:tcPr>
                <w:p w14:paraId="70669AA1">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2</w:t>
                  </w:r>
                </w:p>
              </w:tc>
              <w:tc>
                <w:tcPr>
                  <w:tcW w:w="303" w:type="pct"/>
                  <w:vMerge w:val="continue"/>
                  <w:tcBorders>
                    <w:tl2br w:val="nil"/>
                    <w:tr2bl w:val="nil"/>
                  </w:tcBorders>
                  <w:noWrap w:val="0"/>
                  <w:vAlign w:val="center"/>
                </w:tcPr>
                <w:p w14:paraId="05AD0ED6">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555" w:type="pct"/>
                  <w:tcBorders>
                    <w:tl2br w:val="nil"/>
                    <w:tr2bl w:val="nil"/>
                  </w:tcBorders>
                  <w:noWrap w:val="0"/>
                  <w:vAlign w:val="center"/>
                </w:tcPr>
                <w:p w14:paraId="6F26BD90">
                  <w:pPr>
                    <w:keepNext w:val="0"/>
                    <w:keepLines w:val="0"/>
                    <w:suppressLineNumbers w:val="0"/>
                    <w:adjustRightInd w:val="0"/>
                    <w:snapToGrid w:val="0"/>
                    <w:spacing w:before="0" w:beforeAutospacing="0" w:after="0" w:afterAutospacing="0"/>
                    <w:ind w:left="0" w:right="0"/>
                    <w:jc w:val="center"/>
                    <w:textAlignment w:val="center"/>
                    <w:rPr>
                      <w:rFonts w:hint="default"/>
                      <w:color w:val="000000"/>
                      <w:sz w:val="21"/>
                      <w:szCs w:val="21"/>
                    </w:rPr>
                  </w:pPr>
                  <w:r>
                    <w:rPr>
                      <w:rFonts w:hint="eastAsia" w:ascii="Times New Roman" w:hAnsi="Times New Roman" w:cs="Times New Roman"/>
                      <w:sz w:val="21"/>
                      <w:szCs w:val="21"/>
                      <w:lang w:val="en-US" w:eastAsia="zh-CN"/>
                    </w:rPr>
                    <w:t>膨化主</w:t>
                  </w:r>
                  <w:r>
                    <w:rPr>
                      <w:rFonts w:hint="eastAsia"/>
                      <w:sz w:val="21"/>
                      <w:szCs w:val="21"/>
                    </w:rPr>
                    <w:t>机</w:t>
                  </w:r>
                </w:p>
              </w:tc>
              <w:tc>
                <w:tcPr>
                  <w:tcW w:w="365" w:type="pct"/>
                  <w:tcBorders>
                    <w:tl2br w:val="nil"/>
                    <w:tr2bl w:val="nil"/>
                  </w:tcBorders>
                  <w:noWrap w:val="0"/>
                  <w:vAlign w:val="center"/>
                </w:tcPr>
                <w:p w14:paraId="7CFA03F6">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1</w:t>
                  </w:r>
                  <w:r>
                    <w:rPr>
                      <w:rFonts w:hint="eastAsia" w:ascii="Times New Roman" w:hAnsi="Times New Roman" w:cs="Times New Roman"/>
                      <w:color w:val="000000"/>
                      <w:sz w:val="21"/>
                      <w:szCs w:val="21"/>
                      <w:lang w:val="en-US" w:eastAsia="zh-CN"/>
                    </w:rPr>
                    <w:t>34.67</w:t>
                  </w:r>
                </w:p>
              </w:tc>
              <w:tc>
                <w:tcPr>
                  <w:tcW w:w="329" w:type="pct"/>
                  <w:tcBorders>
                    <w:tl2br w:val="nil"/>
                    <w:tr2bl w:val="nil"/>
                  </w:tcBorders>
                  <w:noWrap w:val="0"/>
                  <w:vAlign w:val="center"/>
                </w:tcPr>
                <w:p w14:paraId="07F61011">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5</w:t>
                  </w:r>
                  <w:r>
                    <w:rPr>
                      <w:rFonts w:hint="eastAsia" w:ascii="Times New Roman" w:hAnsi="Times New Roman" w:cs="Times New Roman"/>
                      <w:color w:val="000000"/>
                      <w:sz w:val="21"/>
                      <w:szCs w:val="21"/>
                      <w:lang w:val="en-US" w:eastAsia="zh-CN"/>
                    </w:rPr>
                    <w:t>5.76</w:t>
                  </w:r>
                </w:p>
              </w:tc>
              <w:tc>
                <w:tcPr>
                  <w:tcW w:w="240" w:type="pct"/>
                  <w:tcBorders>
                    <w:tl2br w:val="nil"/>
                    <w:tr2bl w:val="nil"/>
                  </w:tcBorders>
                  <w:noWrap w:val="0"/>
                  <w:vAlign w:val="center"/>
                </w:tcPr>
                <w:p w14:paraId="75D5C014">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1</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w:t>
                  </w:r>
                </w:p>
              </w:tc>
              <w:tc>
                <w:tcPr>
                  <w:tcW w:w="496" w:type="pct"/>
                  <w:tcBorders>
                    <w:tl2br w:val="nil"/>
                    <w:tr2bl w:val="nil"/>
                  </w:tcBorders>
                  <w:noWrap w:val="0"/>
                  <w:vAlign w:val="center"/>
                </w:tcPr>
                <w:p w14:paraId="5982D768">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70</w:t>
                  </w:r>
                </w:p>
              </w:tc>
              <w:tc>
                <w:tcPr>
                  <w:tcW w:w="367" w:type="pct"/>
                  <w:vMerge w:val="continue"/>
                  <w:tcBorders>
                    <w:tl2br w:val="nil"/>
                    <w:tr2bl w:val="nil"/>
                  </w:tcBorders>
                  <w:noWrap w:val="0"/>
                  <w:vAlign w:val="center"/>
                </w:tcPr>
                <w:p w14:paraId="23F7B0AD">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296" w:type="pct"/>
                  <w:vMerge w:val="continue"/>
                  <w:tcBorders>
                    <w:tl2br w:val="nil"/>
                    <w:tr2bl w:val="nil"/>
                  </w:tcBorders>
                  <w:noWrap w:val="0"/>
                  <w:vAlign w:val="center"/>
                </w:tcPr>
                <w:p w14:paraId="1BE68DB9">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383" w:type="pct"/>
                  <w:tcBorders>
                    <w:tl2br w:val="nil"/>
                    <w:tr2bl w:val="nil"/>
                  </w:tcBorders>
                  <w:noWrap w:val="0"/>
                  <w:vAlign w:val="center"/>
                </w:tcPr>
                <w:p w14:paraId="6014D438">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3</w:t>
                  </w:r>
                </w:p>
              </w:tc>
              <w:tc>
                <w:tcPr>
                  <w:tcW w:w="400" w:type="pct"/>
                  <w:tcBorders>
                    <w:tl2br w:val="nil"/>
                    <w:tr2bl w:val="nil"/>
                  </w:tcBorders>
                  <w:noWrap w:val="0"/>
                  <w:vAlign w:val="center"/>
                </w:tcPr>
                <w:p w14:paraId="0B48B1F5">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60</w:t>
                  </w:r>
                  <w:r>
                    <w:rPr>
                      <w:rFonts w:hint="default"/>
                      <w:color w:val="000000"/>
                      <w:sz w:val="21"/>
                      <w:szCs w:val="21"/>
                    </w:rPr>
                    <w:t>.5</w:t>
                  </w:r>
                </w:p>
              </w:tc>
              <w:tc>
                <w:tcPr>
                  <w:tcW w:w="387" w:type="pct"/>
                  <w:tcBorders>
                    <w:tl2br w:val="nil"/>
                    <w:tr2bl w:val="nil"/>
                  </w:tcBorders>
                  <w:noWrap w:val="0"/>
                  <w:vAlign w:val="center"/>
                </w:tcPr>
                <w:p w14:paraId="4A4A826E">
                  <w:pPr>
                    <w:keepNext w:val="0"/>
                    <w:keepLines w:val="0"/>
                    <w:suppressLineNumbers w:val="0"/>
                    <w:spacing w:before="0" w:beforeAutospacing="0" w:after="0" w:afterAutospacing="0" w:line="240" w:lineRule="auto"/>
                    <w:ind w:left="0" w:right="0"/>
                    <w:jc w:val="center"/>
                    <w:rPr>
                      <w:rFonts w:hint="default" w:eastAsia="宋体"/>
                      <w:color w:val="000000"/>
                      <w:sz w:val="21"/>
                      <w:szCs w:val="21"/>
                      <w:lang w:val="en-US" w:eastAsia="zh-CN"/>
                    </w:rPr>
                  </w:pPr>
                  <w:r>
                    <w:rPr>
                      <w:rFonts w:hint="eastAsia"/>
                      <w:color w:val="000000"/>
                      <w:sz w:val="21"/>
                      <w:szCs w:val="21"/>
                      <w:lang w:val="en-US" w:eastAsia="zh-CN"/>
                    </w:rPr>
                    <w:t>10</w:t>
                  </w:r>
                </w:p>
              </w:tc>
              <w:tc>
                <w:tcPr>
                  <w:tcW w:w="319" w:type="pct"/>
                  <w:tcBorders>
                    <w:tl2br w:val="nil"/>
                    <w:tr2bl w:val="nil"/>
                  </w:tcBorders>
                  <w:noWrap w:val="0"/>
                  <w:vAlign w:val="center"/>
                </w:tcPr>
                <w:p w14:paraId="20FDAAC2">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50</w:t>
                  </w:r>
                  <w:r>
                    <w:rPr>
                      <w:rFonts w:hint="default"/>
                      <w:color w:val="000000"/>
                      <w:sz w:val="21"/>
                      <w:szCs w:val="21"/>
                    </w:rPr>
                    <w:t>.5</w:t>
                  </w:r>
                </w:p>
              </w:tc>
              <w:tc>
                <w:tcPr>
                  <w:tcW w:w="379" w:type="pct"/>
                  <w:tcBorders>
                    <w:tl2br w:val="nil"/>
                    <w:tr2bl w:val="nil"/>
                  </w:tcBorders>
                  <w:noWrap w:val="0"/>
                  <w:vAlign w:val="center"/>
                </w:tcPr>
                <w:p w14:paraId="66A54BDA">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1</w:t>
                  </w:r>
                </w:p>
              </w:tc>
            </w:tr>
            <w:tr w14:paraId="0896276D">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233" w:hRule="atLeast"/>
              </w:trPr>
              <w:tc>
                <w:tcPr>
                  <w:tcW w:w="175" w:type="pct"/>
                  <w:tcBorders>
                    <w:tl2br w:val="nil"/>
                    <w:tr2bl w:val="nil"/>
                  </w:tcBorders>
                  <w:noWrap w:val="0"/>
                  <w:vAlign w:val="center"/>
                </w:tcPr>
                <w:p w14:paraId="016FF468">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3</w:t>
                  </w:r>
                </w:p>
              </w:tc>
              <w:tc>
                <w:tcPr>
                  <w:tcW w:w="303" w:type="pct"/>
                  <w:vMerge w:val="continue"/>
                  <w:tcBorders>
                    <w:tl2br w:val="nil"/>
                    <w:tr2bl w:val="nil"/>
                  </w:tcBorders>
                  <w:noWrap w:val="0"/>
                  <w:vAlign w:val="center"/>
                </w:tcPr>
                <w:p w14:paraId="4A66DD2D">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555" w:type="pct"/>
                  <w:tcBorders>
                    <w:tl2br w:val="nil"/>
                    <w:tr2bl w:val="nil"/>
                  </w:tcBorders>
                  <w:noWrap w:val="0"/>
                  <w:vAlign w:val="center"/>
                </w:tcPr>
                <w:p w14:paraId="529DEC3F">
                  <w:pPr>
                    <w:keepNext w:val="0"/>
                    <w:keepLines w:val="0"/>
                    <w:suppressLineNumbers w:val="0"/>
                    <w:adjustRightInd w:val="0"/>
                    <w:snapToGrid w:val="0"/>
                    <w:spacing w:before="0" w:beforeAutospacing="0" w:after="0" w:afterAutospacing="0"/>
                    <w:ind w:left="0" w:right="0"/>
                    <w:jc w:val="center"/>
                    <w:textAlignment w:val="center"/>
                    <w:rPr>
                      <w:rFonts w:hint="default"/>
                      <w:color w:val="000000"/>
                      <w:sz w:val="21"/>
                      <w:szCs w:val="21"/>
                    </w:rPr>
                  </w:pPr>
                  <w:r>
                    <w:rPr>
                      <w:rFonts w:hint="eastAsia" w:ascii="Times New Roman" w:hAnsi="Times New Roman" w:cs="Times New Roman"/>
                      <w:sz w:val="21"/>
                      <w:szCs w:val="21"/>
                      <w:lang w:val="en-US" w:eastAsia="zh-CN"/>
                    </w:rPr>
                    <w:t>虾片机</w:t>
                  </w:r>
                </w:p>
              </w:tc>
              <w:tc>
                <w:tcPr>
                  <w:tcW w:w="365" w:type="pct"/>
                  <w:tcBorders>
                    <w:tl2br w:val="nil"/>
                    <w:tr2bl w:val="nil"/>
                  </w:tcBorders>
                  <w:noWrap w:val="0"/>
                  <w:vAlign w:val="center"/>
                </w:tcPr>
                <w:p w14:paraId="6EE8A312">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1</w:t>
                  </w:r>
                  <w:r>
                    <w:rPr>
                      <w:rFonts w:hint="eastAsia" w:ascii="Times New Roman" w:hAnsi="Times New Roman" w:cs="Times New Roman"/>
                      <w:color w:val="000000"/>
                      <w:sz w:val="21"/>
                      <w:szCs w:val="21"/>
                      <w:lang w:val="en-US" w:eastAsia="zh-CN"/>
                    </w:rPr>
                    <w:t>82.89</w:t>
                  </w:r>
                </w:p>
              </w:tc>
              <w:tc>
                <w:tcPr>
                  <w:tcW w:w="329" w:type="pct"/>
                  <w:tcBorders>
                    <w:tl2br w:val="nil"/>
                    <w:tr2bl w:val="nil"/>
                  </w:tcBorders>
                  <w:noWrap w:val="0"/>
                  <w:vAlign w:val="center"/>
                </w:tcPr>
                <w:p w14:paraId="7D96CF22">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6</w:t>
                  </w:r>
                  <w:r>
                    <w:rPr>
                      <w:rFonts w:hint="eastAsia" w:ascii="Times New Roman" w:hAnsi="Times New Roman" w:cs="Times New Roman"/>
                      <w:color w:val="000000"/>
                      <w:sz w:val="21"/>
                      <w:szCs w:val="21"/>
                      <w:lang w:val="en-US" w:eastAsia="zh-CN"/>
                    </w:rPr>
                    <w:t>0.73</w:t>
                  </w:r>
                </w:p>
              </w:tc>
              <w:tc>
                <w:tcPr>
                  <w:tcW w:w="240" w:type="pct"/>
                  <w:tcBorders>
                    <w:tl2br w:val="nil"/>
                    <w:tr2bl w:val="nil"/>
                  </w:tcBorders>
                  <w:noWrap w:val="0"/>
                  <w:vAlign w:val="center"/>
                </w:tcPr>
                <w:p w14:paraId="47233553">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1.2</w:t>
                  </w:r>
                </w:p>
              </w:tc>
              <w:tc>
                <w:tcPr>
                  <w:tcW w:w="496" w:type="pct"/>
                  <w:tcBorders>
                    <w:tl2br w:val="nil"/>
                    <w:tr2bl w:val="nil"/>
                  </w:tcBorders>
                  <w:noWrap w:val="0"/>
                  <w:vAlign w:val="center"/>
                </w:tcPr>
                <w:p w14:paraId="2B6D2518">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75</w:t>
                  </w:r>
                </w:p>
              </w:tc>
              <w:tc>
                <w:tcPr>
                  <w:tcW w:w="367" w:type="pct"/>
                  <w:vMerge w:val="continue"/>
                  <w:tcBorders>
                    <w:tl2br w:val="nil"/>
                    <w:tr2bl w:val="nil"/>
                  </w:tcBorders>
                  <w:noWrap w:val="0"/>
                  <w:vAlign w:val="center"/>
                </w:tcPr>
                <w:p w14:paraId="58991CE1">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296" w:type="pct"/>
                  <w:vMerge w:val="continue"/>
                  <w:tcBorders>
                    <w:tl2br w:val="nil"/>
                    <w:tr2bl w:val="nil"/>
                  </w:tcBorders>
                  <w:noWrap w:val="0"/>
                  <w:vAlign w:val="center"/>
                </w:tcPr>
                <w:p w14:paraId="5E838B5F">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383" w:type="pct"/>
                  <w:tcBorders>
                    <w:tl2br w:val="nil"/>
                    <w:tr2bl w:val="nil"/>
                  </w:tcBorders>
                  <w:noWrap w:val="0"/>
                  <w:vAlign w:val="center"/>
                </w:tcPr>
                <w:p w14:paraId="0A06A317">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3</w:t>
                  </w:r>
                </w:p>
              </w:tc>
              <w:tc>
                <w:tcPr>
                  <w:tcW w:w="400" w:type="pct"/>
                  <w:tcBorders>
                    <w:tl2br w:val="nil"/>
                    <w:tr2bl w:val="nil"/>
                  </w:tcBorders>
                  <w:noWrap w:val="0"/>
                  <w:vAlign w:val="center"/>
                </w:tcPr>
                <w:p w14:paraId="6E23C206">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65</w:t>
                  </w:r>
                  <w:r>
                    <w:rPr>
                      <w:rFonts w:hint="default"/>
                      <w:color w:val="000000"/>
                      <w:sz w:val="21"/>
                      <w:szCs w:val="21"/>
                    </w:rPr>
                    <w:t>.5</w:t>
                  </w:r>
                </w:p>
              </w:tc>
              <w:tc>
                <w:tcPr>
                  <w:tcW w:w="387" w:type="pct"/>
                  <w:tcBorders>
                    <w:tl2br w:val="nil"/>
                    <w:tr2bl w:val="nil"/>
                  </w:tcBorders>
                  <w:noWrap w:val="0"/>
                  <w:vAlign w:val="center"/>
                </w:tcPr>
                <w:p w14:paraId="2C949EA7">
                  <w:pPr>
                    <w:keepNext w:val="0"/>
                    <w:keepLines w:val="0"/>
                    <w:suppressLineNumbers w:val="0"/>
                    <w:spacing w:before="0" w:beforeAutospacing="0" w:after="0" w:afterAutospacing="0" w:line="240" w:lineRule="auto"/>
                    <w:ind w:left="0" w:right="0"/>
                    <w:jc w:val="center"/>
                    <w:rPr>
                      <w:rFonts w:hint="default" w:eastAsia="宋体"/>
                      <w:color w:val="000000"/>
                      <w:sz w:val="21"/>
                      <w:szCs w:val="21"/>
                      <w:lang w:val="en-US" w:eastAsia="zh-CN"/>
                    </w:rPr>
                  </w:pPr>
                  <w:r>
                    <w:rPr>
                      <w:rFonts w:hint="eastAsia"/>
                      <w:color w:val="000000"/>
                      <w:sz w:val="21"/>
                      <w:szCs w:val="21"/>
                      <w:lang w:val="en-US" w:eastAsia="zh-CN"/>
                    </w:rPr>
                    <w:t>10</w:t>
                  </w:r>
                </w:p>
              </w:tc>
              <w:tc>
                <w:tcPr>
                  <w:tcW w:w="319" w:type="pct"/>
                  <w:tcBorders>
                    <w:tl2br w:val="nil"/>
                    <w:tr2bl w:val="nil"/>
                  </w:tcBorders>
                  <w:noWrap w:val="0"/>
                  <w:vAlign w:val="center"/>
                </w:tcPr>
                <w:p w14:paraId="18E6C1FE">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5</w:t>
                  </w:r>
                  <w:r>
                    <w:rPr>
                      <w:rFonts w:hint="default"/>
                      <w:color w:val="000000"/>
                      <w:sz w:val="21"/>
                      <w:szCs w:val="21"/>
                    </w:rPr>
                    <w:t>0.5</w:t>
                  </w:r>
                </w:p>
              </w:tc>
              <w:tc>
                <w:tcPr>
                  <w:tcW w:w="379" w:type="pct"/>
                  <w:tcBorders>
                    <w:tl2br w:val="nil"/>
                    <w:tr2bl w:val="nil"/>
                  </w:tcBorders>
                  <w:noWrap w:val="0"/>
                  <w:vAlign w:val="center"/>
                </w:tcPr>
                <w:p w14:paraId="01F83DAC">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1</w:t>
                  </w:r>
                </w:p>
              </w:tc>
            </w:tr>
            <w:tr w14:paraId="0A9D2F6B">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185" w:hRule="atLeast"/>
              </w:trPr>
              <w:tc>
                <w:tcPr>
                  <w:tcW w:w="175" w:type="pct"/>
                  <w:tcBorders>
                    <w:tl2br w:val="nil"/>
                    <w:tr2bl w:val="nil"/>
                  </w:tcBorders>
                  <w:noWrap w:val="0"/>
                  <w:vAlign w:val="center"/>
                </w:tcPr>
                <w:p w14:paraId="1C63CFC7">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4</w:t>
                  </w:r>
                </w:p>
              </w:tc>
              <w:tc>
                <w:tcPr>
                  <w:tcW w:w="303" w:type="pct"/>
                  <w:vMerge w:val="continue"/>
                  <w:tcBorders>
                    <w:tl2br w:val="nil"/>
                    <w:tr2bl w:val="nil"/>
                  </w:tcBorders>
                  <w:noWrap w:val="0"/>
                  <w:vAlign w:val="center"/>
                </w:tcPr>
                <w:p w14:paraId="04D754D7">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555" w:type="pct"/>
                  <w:tcBorders>
                    <w:tl2br w:val="nil"/>
                    <w:tr2bl w:val="nil"/>
                  </w:tcBorders>
                  <w:noWrap w:val="0"/>
                  <w:vAlign w:val="center"/>
                </w:tcPr>
                <w:p w14:paraId="5CAA91FF">
                  <w:pPr>
                    <w:keepNext w:val="0"/>
                    <w:keepLines w:val="0"/>
                    <w:suppressLineNumbers w:val="0"/>
                    <w:adjustRightInd w:val="0"/>
                    <w:snapToGrid w:val="0"/>
                    <w:spacing w:before="0" w:beforeAutospacing="0" w:after="0" w:afterAutospacing="0"/>
                    <w:ind w:left="0" w:right="0"/>
                    <w:jc w:val="center"/>
                    <w:textAlignment w:val="center"/>
                    <w:rPr>
                      <w:rFonts w:hint="default"/>
                      <w:color w:val="000000"/>
                      <w:sz w:val="21"/>
                      <w:szCs w:val="21"/>
                    </w:rPr>
                  </w:pPr>
                  <w:r>
                    <w:rPr>
                      <w:rFonts w:hint="eastAsia" w:ascii="Times New Roman" w:hAnsi="Times New Roman" w:cs="Times New Roman"/>
                      <w:color w:val="000000"/>
                      <w:kern w:val="0"/>
                      <w:sz w:val="21"/>
                      <w:szCs w:val="21"/>
                      <w:lang w:val="en-US" w:eastAsia="zh-CN" w:bidi="ar"/>
                    </w:rPr>
                    <w:t>蛋卷</w:t>
                  </w:r>
                  <w:r>
                    <w:rPr>
                      <w:rFonts w:hint="eastAsia"/>
                      <w:color w:val="000000"/>
                      <w:kern w:val="0"/>
                      <w:sz w:val="21"/>
                      <w:szCs w:val="21"/>
                      <w:lang w:bidi="ar"/>
                    </w:rPr>
                    <w:t>机</w:t>
                  </w:r>
                </w:p>
              </w:tc>
              <w:tc>
                <w:tcPr>
                  <w:tcW w:w="365" w:type="pct"/>
                  <w:tcBorders>
                    <w:tl2br w:val="nil"/>
                    <w:tr2bl w:val="nil"/>
                  </w:tcBorders>
                  <w:noWrap w:val="0"/>
                  <w:vAlign w:val="center"/>
                </w:tcPr>
                <w:p w14:paraId="7763709E">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1</w:t>
                  </w:r>
                  <w:r>
                    <w:rPr>
                      <w:rFonts w:hint="eastAsia" w:ascii="Times New Roman" w:hAnsi="Times New Roman" w:cs="Times New Roman"/>
                      <w:color w:val="000000"/>
                      <w:sz w:val="21"/>
                      <w:szCs w:val="21"/>
                      <w:lang w:val="en-US" w:eastAsia="zh-CN"/>
                    </w:rPr>
                    <w:t>80.67</w:t>
                  </w:r>
                </w:p>
              </w:tc>
              <w:tc>
                <w:tcPr>
                  <w:tcW w:w="329" w:type="pct"/>
                  <w:tcBorders>
                    <w:tl2br w:val="nil"/>
                    <w:tr2bl w:val="nil"/>
                  </w:tcBorders>
                  <w:noWrap w:val="0"/>
                  <w:vAlign w:val="center"/>
                </w:tcPr>
                <w:p w14:paraId="7FDCF12A">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5</w:t>
                  </w:r>
                  <w:r>
                    <w:rPr>
                      <w:rFonts w:hint="eastAsia" w:ascii="Times New Roman" w:hAnsi="Times New Roman" w:cs="Times New Roman"/>
                      <w:color w:val="000000"/>
                      <w:sz w:val="21"/>
                      <w:szCs w:val="21"/>
                      <w:lang w:val="en-US" w:eastAsia="zh-CN"/>
                    </w:rPr>
                    <w:t>9.78</w:t>
                  </w:r>
                </w:p>
              </w:tc>
              <w:tc>
                <w:tcPr>
                  <w:tcW w:w="240" w:type="pct"/>
                  <w:tcBorders>
                    <w:tl2br w:val="nil"/>
                    <w:tr2bl w:val="nil"/>
                  </w:tcBorders>
                  <w:noWrap w:val="0"/>
                  <w:vAlign w:val="center"/>
                </w:tcPr>
                <w:p w14:paraId="357D674E">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1</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w:t>
                  </w:r>
                </w:p>
              </w:tc>
              <w:tc>
                <w:tcPr>
                  <w:tcW w:w="496" w:type="pct"/>
                  <w:tcBorders>
                    <w:tl2br w:val="nil"/>
                    <w:tr2bl w:val="nil"/>
                  </w:tcBorders>
                  <w:noWrap w:val="0"/>
                  <w:vAlign w:val="center"/>
                </w:tcPr>
                <w:p w14:paraId="3B2A2106">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7</w:t>
                  </w:r>
                  <w:r>
                    <w:rPr>
                      <w:rFonts w:hint="eastAsia" w:ascii="Times New Roman" w:hAnsi="Times New Roman" w:cs="Times New Roman"/>
                      <w:color w:val="000000"/>
                      <w:sz w:val="21"/>
                      <w:szCs w:val="21"/>
                      <w:lang w:val="en-US" w:eastAsia="zh-CN"/>
                    </w:rPr>
                    <w:t>5</w:t>
                  </w:r>
                </w:p>
              </w:tc>
              <w:tc>
                <w:tcPr>
                  <w:tcW w:w="367" w:type="pct"/>
                  <w:vMerge w:val="continue"/>
                  <w:tcBorders>
                    <w:tl2br w:val="nil"/>
                    <w:tr2bl w:val="nil"/>
                  </w:tcBorders>
                  <w:noWrap w:val="0"/>
                  <w:vAlign w:val="center"/>
                </w:tcPr>
                <w:p w14:paraId="77DB740E">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296" w:type="pct"/>
                  <w:vMerge w:val="continue"/>
                  <w:tcBorders>
                    <w:tl2br w:val="nil"/>
                    <w:tr2bl w:val="nil"/>
                  </w:tcBorders>
                  <w:noWrap w:val="0"/>
                  <w:vAlign w:val="center"/>
                </w:tcPr>
                <w:p w14:paraId="5C67098B">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383" w:type="pct"/>
                  <w:tcBorders>
                    <w:tl2br w:val="nil"/>
                    <w:tr2bl w:val="nil"/>
                  </w:tcBorders>
                  <w:noWrap w:val="0"/>
                  <w:vAlign w:val="center"/>
                </w:tcPr>
                <w:p w14:paraId="402DB5AA">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3</w:t>
                  </w:r>
                </w:p>
              </w:tc>
              <w:tc>
                <w:tcPr>
                  <w:tcW w:w="400" w:type="pct"/>
                  <w:tcBorders>
                    <w:tl2br w:val="nil"/>
                    <w:tr2bl w:val="nil"/>
                  </w:tcBorders>
                  <w:noWrap w:val="0"/>
                  <w:vAlign w:val="center"/>
                </w:tcPr>
                <w:p w14:paraId="665CFAC9">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6</w:t>
                  </w:r>
                  <w:r>
                    <w:rPr>
                      <w:rFonts w:hint="default"/>
                      <w:color w:val="000000"/>
                      <w:sz w:val="21"/>
                      <w:szCs w:val="21"/>
                    </w:rPr>
                    <w:t>5.5</w:t>
                  </w:r>
                </w:p>
              </w:tc>
              <w:tc>
                <w:tcPr>
                  <w:tcW w:w="387" w:type="pct"/>
                  <w:tcBorders>
                    <w:tl2br w:val="nil"/>
                    <w:tr2bl w:val="nil"/>
                  </w:tcBorders>
                  <w:noWrap w:val="0"/>
                  <w:vAlign w:val="center"/>
                </w:tcPr>
                <w:p w14:paraId="3E6A152C">
                  <w:pPr>
                    <w:keepNext w:val="0"/>
                    <w:keepLines w:val="0"/>
                    <w:suppressLineNumbers w:val="0"/>
                    <w:spacing w:before="0" w:beforeAutospacing="0" w:after="0" w:afterAutospacing="0" w:line="240" w:lineRule="auto"/>
                    <w:ind w:left="0" w:right="0"/>
                    <w:jc w:val="center"/>
                    <w:rPr>
                      <w:rFonts w:hint="default" w:eastAsia="宋体"/>
                      <w:color w:val="000000"/>
                      <w:sz w:val="21"/>
                      <w:szCs w:val="21"/>
                      <w:lang w:val="en-US" w:eastAsia="zh-CN"/>
                    </w:rPr>
                  </w:pPr>
                  <w:r>
                    <w:rPr>
                      <w:rFonts w:hint="eastAsia"/>
                      <w:color w:val="000000"/>
                      <w:sz w:val="21"/>
                      <w:szCs w:val="21"/>
                      <w:lang w:val="en-US" w:eastAsia="zh-CN"/>
                    </w:rPr>
                    <w:t>10</w:t>
                  </w:r>
                </w:p>
              </w:tc>
              <w:tc>
                <w:tcPr>
                  <w:tcW w:w="319" w:type="pct"/>
                  <w:tcBorders>
                    <w:tl2br w:val="nil"/>
                    <w:tr2bl w:val="nil"/>
                  </w:tcBorders>
                  <w:noWrap w:val="0"/>
                  <w:vAlign w:val="center"/>
                </w:tcPr>
                <w:p w14:paraId="130C1527">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5</w:t>
                  </w:r>
                  <w:r>
                    <w:rPr>
                      <w:rFonts w:hint="default"/>
                      <w:color w:val="000000"/>
                      <w:sz w:val="21"/>
                      <w:szCs w:val="21"/>
                    </w:rPr>
                    <w:t>5.5</w:t>
                  </w:r>
                </w:p>
              </w:tc>
              <w:tc>
                <w:tcPr>
                  <w:tcW w:w="379" w:type="pct"/>
                  <w:tcBorders>
                    <w:tl2br w:val="nil"/>
                    <w:tr2bl w:val="nil"/>
                  </w:tcBorders>
                  <w:noWrap w:val="0"/>
                  <w:vAlign w:val="center"/>
                </w:tcPr>
                <w:p w14:paraId="27BF7B9B">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1</w:t>
                  </w:r>
                </w:p>
              </w:tc>
            </w:tr>
            <w:tr w14:paraId="25F08708">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368" w:hRule="atLeast"/>
              </w:trPr>
              <w:tc>
                <w:tcPr>
                  <w:tcW w:w="175" w:type="pct"/>
                  <w:tcBorders>
                    <w:tl2br w:val="nil"/>
                    <w:tr2bl w:val="nil"/>
                  </w:tcBorders>
                  <w:noWrap w:val="0"/>
                  <w:vAlign w:val="center"/>
                </w:tcPr>
                <w:p w14:paraId="187507BD">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5</w:t>
                  </w:r>
                </w:p>
              </w:tc>
              <w:tc>
                <w:tcPr>
                  <w:tcW w:w="303" w:type="pct"/>
                  <w:vMerge w:val="continue"/>
                  <w:tcBorders>
                    <w:tl2br w:val="nil"/>
                    <w:tr2bl w:val="nil"/>
                  </w:tcBorders>
                  <w:noWrap w:val="0"/>
                  <w:vAlign w:val="center"/>
                </w:tcPr>
                <w:p w14:paraId="3005FC01">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555" w:type="pct"/>
                  <w:tcBorders>
                    <w:tl2br w:val="nil"/>
                    <w:tr2bl w:val="nil"/>
                  </w:tcBorders>
                  <w:noWrap w:val="0"/>
                  <w:vAlign w:val="center"/>
                </w:tcPr>
                <w:p w14:paraId="3DA29122">
                  <w:pPr>
                    <w:keepNext w:val="0"/>
                    <w:keepLines w:val="0"/>
                    <w:suppressLineNumbers w:val="0"/>
                    <w:adjustRightInd w:val="0"/>
                    <w:snapToGrid w:val="0"/>
                    <w:spacing w:before="0" w:beforeAutospacing="0" w:after="0" w:afterAutospacing="0"/>
                    <w:ind w:left="0" w:right="0"/>
                    <w:jc w:val="center"/>
                    <w:textAlignment w:val="center"/>
                    <w:rPr>
                      <w:rFonts w:hint="default"/>
                      <w:color w:val="000000"/>
                      <w:sz w:val="21"/>
                      <w:szCs w:val="21"/>
                    </w:rPr>
                  </w:pPr>
                  <w:r>
                    <w:rPr>
                      <w:rFonts w:hint="eastAsia" w:ascii="Times New Roman" w:hAnsi="Times New Roman" w:cs="Times New Roman"/>
                      <w:color w:val="000000"/>
                      <w:kern w:val="0"/>
                      <w:szCs w:val="21"/>
                      <w:lang w:bidi="ar"/>
                    </w:rPr>
                    <w:t>热风旋转炉</w:t>
                  </w:r>
                </w:p>
              </w:tc>
              <w:tc>
                <w:tcPr>
                  <w:tcW w:w="365" w:type="pct"/>
                  <w:tcBorders>
                    <w:tl2br w:val="nil"/>
                    <w:tr2bl w:val="nil"/>
                  </w:tcBorders>
                  <w:noWrap w:val="0"/>
                  <w:vAlign w:val="center"/>
                </w:tcPr>
                <w:p w14:paraId="402C64FC">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1</w:t>
                  </w:r>
                  <w:r>
                    <w:rPr>
                      <w:rFonts w:hint="eastAsia" w:ascii="Times New Roman" w:hAnsi="Times New Roman" w:cs="Times New Roman"/>
                      <w:color w:val="000000"/>
                      <w:sz w:val="21"/>
                      <w:szCs w:val="21"/>
                      <w:lang w:val="en-US" w:eastAsia="zh-CN"/>
                    </w:rPr>
                    <w:t>36.39</w:t>
                  </w:r>
                </w:p>
              </w:tc>
              <w:tc>
                <w:tcPr>
                  <w:tcW w:w="329" w:type="pct"/>
                  <w:tcBorders>
                    <w:tl2br w:val="nil"/>
                    <w:tr2bl w:val="nil"/>
                  </w:tcBorders>
                  <w:noWrap w:val="0"/>
                  <w:vAlign w:val="center"/>
                </w:tcPr>
                <w:p w14:paraId="47284EB4">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5</w:t>
                  </w:r>
                  <w:r>
                    <w:rPr>
                      <w:rFonts w:hint="eastAsia" w:ascii="Times New Roman" w:hAnsi="Times New Roman" w:cs="Times New Roman"/>
                      <w:color w:val="000000"/>
                      <w:sz w:val="21"/>
                      <w:szCs w:val="21"/>
                      <w:lang w:val="en-US" w:eastAsia="zh-CN"/>
                    </w:rPr>
                    <w:t>6.98</w:t>
                  </w:r>
                </w:p>
              </w:tc>
              <w:tc>
                <w:tcPr>
                  <w:tcW w:w="240" w:type="pct"/>
                  <w:tcBorders>
                    <w:tl2br w:val="nil"/>
                    <w:tr2bl w:val="nil"/>
                  </w:tcBorders>
                  <w:noWrap w:val="0"/>
                  <w:vAlign w:val="center"/>
                </w:tcPr>
                <w:p w14:paraId="13200886">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1</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w:t>
                  </w:r>
                </w:p>
              </w:tc>
              <w:tc>
                <w:tcPr>
                  <w:tcW w:w="496" w:type="pct"/>
                  <w:tcBorders>
                    <w:tl2br w:val="nil"/>
                    <w:tr2bl w:val="nil"/>
                  </w:tcBorders>
                  <w:noWrap w:val="0"/>
                  <w:vAlign w:val="center"/>
                </w:tcPr>
                <w:p w14:paraId="5DCAFAD9">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8</w:t>
                  </w:r>
                  <w:r>
                    <w:rPr>
                      <w:rFonts w:hint="eastAsia" w:ascii="Times New Roman" w:hAnsi="Times New Roman" w:cs="Times New Roman"/>
                      <w:color w:val="000000"/>
                      <w:sz w:val="21"/>
                      <w:szCs w:val="21"/>
                      <w:lang w:val="en-US" w:eastAsia="zh-CN"/>
                    </w:rPr>
                    <w:t>0</w:t>
                  </w:r>
                </w:p>
              </w:tc>
              <w:tc>
                <w:tcPr>
                  <w:tcW w:w="367" w:type="pct"/>
                  <w:vMerge w:val="continue"/>
                  <w:tcBorders>
                    <w:tl2br w:val="nil"/>
                    <w:tr2bl w:val="nil"/>
                  </w:tcBorders>
                  <w:noWrap w:val="0"/>
                  <w:vAlign w:val="center"/>
                </w:tcPr>
                <w:p w14:paraId="47EF4F32">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296" w:type="pct"/>
                  <w:vMerge w:val="continue"/>
                  <w:tcBorders>
                    <w:tl2br w:val="nil"/>
                    <w:tr2bl w:val="nil"/>
                  </w:tcBorders>
                  <w:noWrap w:val="0"/>
                  <w:vAlign w:val="center"/>
                </w:tcPr>
                <w:p w14:paraId="726A35BE">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383" w:type="pct"/>
                  <w:tcBorders>
                    <w:tl2br w:val="nil"/>
                    <w:tr2bl w:val="nil"/>
                  </w:tcBorders>
                  <w:noWrap w:val="0"/>
                  <w:vAlign w:val="center"/>
                </w:tcPr>
                <w:p w14:paraId="16496FF5">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3</w:t>
                  </w:r>
                </w:p>
              </w:tc>
              <w:tc>
                <w:tcPr>
                  <w:tcW w:w="400" w:type="pct"/>
                  <w:tcBorders>
                    <w:tl2br w:val="nil"/>
                    <w:tr2bl w:val="nil"/>
                  </w:tcBorders>
                  <w:noWrap w:val="0"/>
                  <w:vAlign w:val="center"/>
                </w:tcPr>
                <w:p w14:paraId="3B204E40">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7</w:t>
                  </w:r>
                  <w:r>
                    <w:rPr>
                      <w:rFonts w:hint="eastAsia" w:ascii="Times New Roman" w:hAnsi="Times New Roman" w:cs="Times New Roman"/>
                      <w:color w:val="000000"/>
                      <w:sz w:val="21"/>
                      <w:szCs w:val="21"/>
                      <w:lang w:val="en-US" w:eastAsia="zh-CN"/>
                    </w:rPr>
                    <w:t>0</w:t>
                  </w:r>
                  <w:r>
                    <w:rPr>
                      <w:rFonts w:hint="default"/>
                      <w:color w:val="000000"/>
                      <w:sz w:val="21"/>
                      <w:szCs w:val="21"/>
                    </w:rPr>
                    <w:t>.5</w:t>
                  </w:r>
                </w:p>
              </w:tc>
              <w:tc>
                <w:tcPr>
                  <w:tcW w:w="387" w:type="pct"/>
                  <w:tcBorders>
                    <w:tl2br w:val="nil"/>
                    <w:tr2bl w:val="nil"/>
                  </w:tcBorders>
                  <w:noWrap w:val="0"/>
                  <w:vAlign w:val="center"/>
                </w:tcPr>
                <w:p w14:paraId="595F94AB">
                  <w:pPr>
                    <w:keepNext w:val="0"/>
                    <w:keepLines w:val="0"/>
                    <w:suppressLineNumbers w:val="0"/>
                    <w:spacing w:before="0" w:beforeAutospacing="0" w:after="0" w:afterAutospacing="0" w:line="240" w:lineRule="auto"/>
                    <w:ind w:left="0" w:right="0"/>
                    <w:jc w:val="center"/>
                    <w:rPr>
                      <w:rFonts w:hint="default" w:eastAsia="宋体"/>
                      <w:color w:val="000000"/>
                      <w:sz w:val="21"/>
                      <w:szCs w:val="21"/>
                      <w:lang w:val="en-US" w:eastAsia="zh-CN"/>
                    </w:rPr>
                  </w:pPr>
                  <w:r>
                    <w:rPr>
                      <w:rFonts w:hint="eastAsia"/>
                      <w:color w:val="000000"/>
                      <w:sz w:val="21"/>
                      <w:szCs w:val="21"/>
                      <w:lang w:val="en-US" w:eastAsia="zh-CN"/>
                    </w:rPr>
                    <w:t>10</w:t>
                  </w:r>
                </w:p>
              </w:tc>
              <w:tc>
                <w:tcPr>
                  <w:tcW w:w="319" w:type="pct"/>
                  <w:tcBorders>
                    <w:tl2br w:val="nil"/>
                    <w:tr2bl w:val="nil"/>
                  </w:tcBorders>
                  <w:noWrap w:val="0"/>
                  <w:vAlign w:val="center"/>
                </w:tcPr>
                <w:p w14:paraId="771BA26B">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eastAsia="zh-CN"/>
                    </w:rPr>
                    <w:t>6</w:t>
                  </w:r>
                  <w:r>
                    <w:rPr>
                      <w:rFonts w:hint="eastAsia" w:ascii="Times New Roman" w:hAnsi="Times New Roman" w:cs="Times New Roman"/>
                      <w:color w:val="000000"/>
                      <w:sz w:val="21"/>
                      <w:szCs w:val="21"/>
                      <w:lang w:val="en-US" w:eastAsia="zh-CN"/>
                    </w:rPr>
                    <w:t>0</w:t>
                  </w:r>
                  <w:r>
                    <w:rPr>
                      <w:rFonts w:hint="default"/>
                      <w:color w:val="000000"/>
                      <w:sz w:val="21"/>
                      <w:szCs w:val="21"/>
                    </w:rPr>
                    <w:t>.5</w:t>
                  </w:r>
                </w:p>
              </w:tc>
              <w:tc>
                <w:tcPr>
                  <w:tcW w:w="379" w:type="pct"/>
                  <w:tcBorders>
                    <w:tl2br w:val="nil"/>
                    <w:tr2bl w:val="nil"/>
                  </w:tcBorders>
                  <w:noWrap w:val="0"/>
                  <w:vAlign w:val="center"/>
                </w:tcPr>
                <w:p w14:paraId="701CAB6E">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1</w:t>
                  </w:r>
                </w:p>
              </w:tc>
            </w:tr>
            <w:tr w14:paraId="1BF5049C">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323" w:hRule="atLeast"/>
              </w:trPr>
              <w:tc>
                <w:tcPr>
                  <w:tcW w:w="175" w:type="pct"/>
                  <w:tcBorders>
                    <w:tl2br w:val="nil"/>
                    <w:tr2bl w:val="nil"/>
                  </w:tcBorders>
                  <w:noWrap w:val="0"/>
                  <w:vAlign w:val="center"/>
                </w:tcPr>
                <w:p w14:paraId="27D21AF1">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color w:val="000000"/>
                      <w:sz w:val="21"/>
                      <w:szCs w:val="21"/>
                    </w:rPr>
                    <w:t>6</w:t>
                  </w:r>
                </w:p>
              </w:tc>
              <w:tc>
                <w:tcPr>
                  <w:tcW w:w="303" w:type="pct"/>
                  <w:vMerge w:val="continue"/>
                  <w:tcBorders>
                    <w:tl2br w:val="nil"/>
                    <w:tr2bl w:val="nil"/>
                  </w:tcBorders>
                  <w:noWrap w:val="0"/>
                  <w:vAlign w:val="center"/>
                </w:tcPr>
                <w:p w14:paraId="1D15B452">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555" w:type="pct"/>
                  <w:tcBorders>
                    <w:tl2br w:val="nil"/>
                    <w:tr2bl w:val="nil"/>
                  </w:tcBorders>
                  <w:noWrap w:val="0"/>
                  <w:vAlign w:val="center"/>
                </w:tcPr>
                <w:p w14:paraId="4F2BD8F2">
                  <w:pPr>
                    <w:keepNext w:val="0"/>
                    <w:keepLines w:val="0"/>
                    <w:suppressLineNumbers w:val="0"/>
                    <w:adjustRightInd w:val="0"/>
                    <w:snapToGrid w:val="0"/>
                    <w:spacing w:before="0" w:beforeAutospacing="0" w:after="0" w:afterAutospacing="0"/>
                    <w:ind w:left="0" w:right="0"/>
                    <w:jc w:val="center"/>
                    <w:textAlignment w:val="center"/>
                    <w:rPr>
                      <w:rFonts w:hint="default"/>
                      <w:color w:val="000000"/>
                      <w:sz w:val="21"/>
                      <w:szCs w:val="21"/>
                    </w:rPr>
                  </w:pPr>
                  <w:r>
                    <w:rPr>
                      <w:rFonts w:hint="eastAsia" w:ascii="Times New Roman" w:hAnsi="Times New Roman" w:cs="Times New Roman"/>
                      <w:color w:val="000000"/>
                      <w:kern w:val="0"/>
                      <w:sz w:val="21"/>
                      <w:szCs w:val="21"/>
                      <w:lang w:bidi="ar"/>
                    </w:rPr>
                    <w:t>打浆机</w:t>
                  </w:r>
                </w:p>
              </w:tc>
              <w:tc>
                <w:tcPr>
                  <w:tcW w:w="365" w:type="pct"/>
                  <w:tcBorders>
                    <w:tl2br w:val="nil"/>
                    <w:tr2bl w:val="nil"/>
                  </w:tcBorders>
                  <w:noWrap w:val="0"/>
                  <w:vAlign w:val="center"/>
                </w:tcPr>
                <w:p w14:paraId="6DEAA6B8">
                  <w:pPr>
                    <w:keepNext w:val="0"/>
                    <w:keepLines w:val="0"/>
                    <w:suppressLineNumbers w:val="0"/>
                    <w:adjustRightInd w:val="0"/>
                    <w:snapToGrid w:val="0"/>
                    <w:spacing w:before="0" w:beforeAutospacing="0" w:after="0" w:afterAutospacing="0"/>
                    <w:ind w:left="0" w:right="0"/>
                    <w:jc w:val="center"/>
                    <w:textAlignment w:val="center"/>
                    <w:rPr>
                      <w:rFonts w:hint="default"/>
                      <w:color w:val="000000"/>
                      <w:sz w:val="21"/>
                      <w:szCs w:val="21"/>
                    </w:rPr>
                  </w:pPr>
                  <w:r>
                    <w:rPr>
                      <w:rFonts w:hint="eastAsia" w:ascii="Times New Roman" w:hAnsi="Times New Roman" w:cs="Times New Roman"/>
                      <w:sz w:val="21"/>
                      <w:szCs w:val="21"/>
                      <w:lang w:val="en-US" w:eastAsia="zh-CN"/>
                    </w:rPr>
                    <w:t>125.67</w:t>
                  </w:r>
                </w:p>
              </w:tc>
              <w:tc>
                <w:tcPr>
                  <w:tcW w:w="329" w:type="pct"/>
                  <w:tcBorders>
                    <w:tl2br w:val="nil"/>
                    <w:tr2bl w:val="nil"/>
                  </w:tcBorders>
                  <w:noWrap w:val="0"/>
                  <w:vAlign w:val="center"/>
                </w:tcPr>
                <w:p w14:paraId="3835CCB1">
                  <w:pPr>
                    <w:keepNext w:val="0"/>
                    <w:keepLines w:val="0"/>
                    <w:suppressLineNumbers w:val="0"/>
                    <w:adjustRightInd w:val="0"/>
                    <w:snapToGrid w:val="0"/>
                    <w:spacing w:before="0" w:beforeAutospacing="0" w:after="0" w:afterAutospacing="0"/>
                    <w:ind w:left="0" w:right="0"/>
                    <w:jc w:val="center"/>
                    <w:textAlignment w:val="center"/>
                    <w:rPr>
                      <w:rFonts w:hint="default"/>
                      <w:color w:val="000000"/>
                      <w:sz w:val="21"/>
                      <w:szCs w:val="21"/>
                    </w:rPr>
                  </w:pPr>
                  <w:r>
                    <w:rPr>
                      <w:rFonts w:hint="eastAsia" w:ascii="Times New Roman" w:hAnsi="Times New Roman" w:cs="Times New Roman"/>
                      <w:sz w:val="21"/>
                      <w:szCs w:val="21"/>
                      <w:lang w:val="en-US" w:eastAsia="zh-CN"/>
                    </w:rPr>
                    <w:t>57.94</w:t>
                  </w:r>
                </w:p>
              </w:tc>
              <w:tc>
                <w:tcPr>
                  <w:tcW w:w="240" w:type="pct"/>
                  <w:tcBorders>
                    <w:tl2br w:val="nil"/>
                    <w:tr2bl w:val="nil"/>
                  </w:tcBorders>
                  <w:noWrap w:val="0"/>
                  <w:vAlign w:val="center"/>
                </w:tcPr>
                <w:p w14:paraId="22A86BFC">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ascii="Times New Roman" w:hAnsi="Times New Roman" w:cs="Times New Roman"/>
                      <w:color w:val="000000"/>
                      <w:sz w:val="21"/>
                      <w:szCs w:val="21"/>
                    </w:rPr>
                    <w:t>1</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2</w:t>
                  </w:r>
                </w:p>
              </w:tc>
              <w:tc>
                <w:tcPr>
                  <w:tcW w:w="496" w:type="pct"/>
                  <w:tcBorders>
                    <w:tl2br w:val="nil"/>
                    <w:tr2bl w:val="nil"/>
                  </w:tcBorders>
                  <w:noWrap w:val="0"/>
                  <w:vAlign w:val="center"/>
                </w:tcPr>
                <w:p w14:paraId="5721E4BA">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80</w:t>
                  </w:r>
                </w:p>
              </w:tc>
              <w:tc>
                <w:tcPr>
                  <w:tcW w:w="367" w:type="pct"/>
                  <w:vMerge w:val="continue"/>
                  <w:tcBorders>
                    <w:tl2br w:val="nil"/>
                    <w:tr2bl w:val="nil"/>
                  </w:tcBorders>
                  <w:noWrap w:val="0"/>
                  <w:vAlign w:val="center"/>
                </w:tcPr>
                <w:p w14:paraId="02C410E3">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296" w:type="pct"/>
                  <w:vMerge w:val="continue"/>
                  <w:tcBorders>
                    <w:tl2br w:val="nil"/>
                    <w:tr2bl w:val="nil"/>
                  </w:tcBorders>
                  <w:noWrap w:val="0"/>
                  <w:vAlign w:val="center"/>
                </w:tcPr>
                <w:p w14:paraId="7DC63522">
                  <w:pPr>
                    <w:keepNext w:val="0"/>
                    <w:keepLines w:val="0"/>
                    <w:suppressLineNumbers w:val="0"/>
                    <w:spacing w:before="0" w:beforeAutospacing="0" w:after="0" w:afterAutospacing="0" w:line="240" w:lineRule="auto"/>
                    <w:ind w:left="0" w:right="0"/>
                    <w:jc w:val="center"/>
                    <w:rPr>
                      <w:rFonts w:hint="default"/>
                      <w:color w:val="000000"/>
                      <w:sz w:val="21"/>
                      <w:szCs w:val="21"/>
                    </w:rPr>
                  </w:pPr>
                </w:p>
              </w:tc>
              <w:tc>
                <w:tcPr>
                  <w:tcW w:w="383" w:type="pct"/>
                  <w:tcBorders>
                    <w:tl2br w:val="nil"/>
                    <w:tr2bl w:val="nil"/>
                  </w:tcBorders>
                  <w:noWrap w:val="0"/>
                  <w:vAlign w:val="center"/>
                </w:tcPr>
                <w:p w14:paraId="546AEFFB">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3</w:t>
                  </w:r>
                </w:p>
              </w:tc>
              <w:tc>
                <w:tcPr>
                  <w:tcW w:w="400" w:type="pct"/>
                  <w:tcBorders>
                    <w:tl2br w:val="nil"/>
                    <w:tr2bl w:val="nil"/>
                  </w:tcBorders>
                  <w:noWrap w:val="0"/>
                  <w:vAlign w:val="center"/>
                </w:tcPr>
                <w:p w14:paraId="697184ED">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70</w:t>
                  </w:r>
                  <w:r>
                    <w:rPr>
                      <w:rFonts w:hint="default" w:ascii="Times New Roman" w:hAnsi="Times New Roman" w:cs="Times New Roman"/>
                      <w:color w:val="000000"/>
                      <w:sz w:val="21"/>
                      <w:szCs w:val="21"/>
                    </w:rPr>
                    <w:t>.5</w:t>
                  </w:r>
                </w:p>
              </w:tc>
              <w:tc>
                <w:tcPr>
                  <w:tcW w:w="387" w:type="pct"/>
                  <w:tcBorders>
                    <w:tl2br w:val="nil"/>
                    <w:tr2bl w:val="nil"/>
                  </w:tcBorders>
                  <w:noWrap w:val="0"/>
                  <w:vAlign w:val="center"/>
                </w:tcPr>
                <w:p w14:paraId="660970F8">
                  <w:pPr>
                    <w:keepNext w:val="0"/>
                    <w:keepLines w:val="0"/>
                    <w:suppressLineNumbers w:val="0"/>
                    <w:spacing w:before="0" w:beforeAutospacing="0" w:after="0" w:afterAutospacing="0" w:line="240" w:lineRule="auto"/>
                    <w:ind w:left="0" w:right="0"/>
                    <w:jc w:val="center"/>
                    <w:rPr>
                      <w:rFonts w:hint="default" w:eastAsia="宋体"/>
                      <w:color w:val="000000"/>
                      <w:sz w:val="21"/>
                      <w:szCs w:val="21"/>
                      <w:lang w:val="en-US" w:eastAsia="zh-CN"/>
                    </w:rPr>
                  </w:pPr>
                  <w:r>
                    <w:rPr>
                      <w:rFonts w:hint="eastAsia" w:ascii="Times New Roman" w:hAnsi="Times New Roman" w:cs="Times New Roman"/>
                      <w:color w:val="000000"/>
                      <w:sz w:val="21"/>
                      <w:szCs w:val="21"/>
                      <w:lang w:val="en-US" w:eastAsia="zh-CN"/>
                    </w:rPr>
                    <w:t>10</w:t>
                  </w:r>
                </w:p>
              </w:tc>
              <w:tc>
                <w:tcPr>
                  <w:tcW w:w="319" w:type="pct"/>
                  <w:tcBorders>
                    <w:tl2br w:val="nil"/>
                    <w:tr2bl w:val="nil"/>
                  </w:tcBorders>
                  <w:noWrap w:val="0"/>
                  <w:vAlign w:val="center"/>
                </w:tcPr>
                <w:p w14:paraId="68BAECAE">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ascii="Times New Roman" w:hAnsi="Times New Roman" w:cs="Times New Roman"/>
                      <w:color w:val="000000"/>
                      <w:sz w:val="21"/>
                      <w:szCs w:val="21"/>
                      <w:lang w:val="en-US" w:eastAsia="zh-CN"/>
                    </w:rPr>
                    <w:t>60.5</w:t>
                  </w:r>
                </w:p>
              </w:tc>
              <w:tc>
                <w:tcPr>
                  <w:tcW w:w="379" w:type="pct"/>
                  <w:tcBorders>
                    <w:tl2br w:val="nil"/>
                    <w:tr2bl w:val="nil"/>
                  </w:tcBorders>
                  <w:noWrap w:val="0"/>
                  <w:vAlign w:val="center"/>
                </w:tcPr>
                <w:p w14:paraId="3E39626B">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ascii="Times New Roman" w:hAnsi="Times New Roman" w:cs="Times New Roman"/>
                      <w:color w:val="000000"/>
                      <w:sz w:val="21"/>
                      <w:szCs w:val="21"/>
                    </w:rPr>
                    <w:t>1</w:t>
                  </w:r>
                </w:p>
              </w:tc>
            </w:tr>
            <w:tr w14:paraId="2BD21DA5">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328" w:hRule="atLeast"/>
              </w:trPr>
              <w:tc>
                <w:tcPr>
                  <w:tcW w:w="175" w:type="pct"/>
                  <w:tcBorders>
                    <w:tl2br w:val="nil"/>
                    <w:tr2bl w:val="nil"/>
                  </w:tcBorders>
                  <w:noWrap w:val="0"/>
                  <w:vAlign w:val="center"/>
                </w:tcPr>
                <w:p w14:paraId="7EDD7E5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7</w:t>
                  </w:r>
                </w:p>
              </w:tc>
              <w:tc>
                <w:tcPr>
                  <w:tcW w:w="303" w:type="pct"/>
                  <w:vMerge w:val="continue"/>
                  <w:tcBorders>
                    <w:tl2br w:val="nil"/>
                    <w:tr2bl w:val="nil"/>
                  </w:tcBorders>
                  <w:noWrap w:val="0"/>
                  <w:vAlign w:val="center"/>
                </w:tcPr>
                <w:p w14:paraId="189B450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rPr>
                  </w:pPr>
                </w:p>
              </w:tc>
              <w:tc>
                <w:tcPr>
                  <w:tcW w:w="555" w:type="pct"/>
                  <w:tcBorders>
                    <w:tl2br w:val="nil"/>
                    <w:tr2bl w:val="nil"/>
                  </w:tcBorders>
                  <w:noWrap w:val="0"/>
                  <w:vAlign w:val="center"/>
                </w:tcPr>
                <w:p w14:paraId="50666794">
                  <w:pPr>
                    <w:keepNext w:val="0"/>
                    <w:keepLines w:val="0"/>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包装机</w:t>
                  </w:r>
                </w:p>
              </w:tc>
              <w:tc>
                <w:tcPr>
                  <w:tcW w:w="365" w:type="pct"/>
                  <w:tcBorders>
                    <w:tl2br w:val="nil"/>
                    <w:tr2bl w:val="nil"/>
                  </w:tcBorders>
                  <w:noWrap w:val="0"/>
                  <w:vAlign w:val="center"/>
                </w:tcPr>
                <w:p w14:paraId="658FC285">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195.35</w:t>
                  </w:r>
                </w:p>
              </w:tc>
              <w:tc>
                <w:tcPr>
                  <w:tcW w:w="329" w:type="pct"/>
                  <w:tcBorders>
                    <w:tl2br w:val="nil"/>
                    <w:tr2bl w:val="nil"/>
                  </w:tcBorders>
                  <w:noWrap w:val="0"/>
                  <w:vAlign w:val="center"/>
                </w:tcPr>
                <w:p w14:paraId="71359F6F">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61.31</w:t>
                  </w:r>
                </w:p>
              </w:tc>
              <w:tc>
                <w:tcPr>
                  <w:tcW w:w="240" w:type="pct"/>
                  <w:tcBorders>
                    <w:tl2br w:val="nil"/>
                    <w:tr2bl w:val="nil"/>
                  </w:tcBorders>
                  <w:noWrap w:val="0"/>
                  <w:vAlign w:val="center"/>
                </w:tcPr>
                <w:p w14:paraId="073F82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1.2</w:t>
                  </w:r>
                </w:p>
              </w:tc>
              <w:tc>
                <w:tcPr>
                  <w:tcW w:w="496" w:type="pct"/>
                  <w:tcBorders>
                    <w:tl2br w:val="nil"/>
                    <w:tr2bl w:val="nil"/>
                  </w:tcBorders>
                  <w:noWrap w:val="0"/>
                  <w:vAlign w:val="center"/>
                </w:tcPr>
                <w:p w14:paraId="0AC3344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75</w:t>
                  </w:r>
                </w:p>
              </w:tc>
              <w:tc>
                <w:tcPr>
                  <w:tcW w:w="367" w:type="pct"/>
                  <w:vMerge w:val="continue"/>
                  <w:tcBorders>
                    <w:tl2br w:val="nil"/>
                    <w:tr2bl w:val="nil"/>
                  </w:tcBorders>
                  <w:noWrap w:val="0"/>
                  <w:vAlign w:val="center"/>
                </w:tcPr>
                <w:p w14:paraId="7939F30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rPr>
                  </w:pPr>
                </w:p>
              </w:tc>
              <w:tc>
                <w:tcPr>
                  <w:tcW w:w="296" w:type="pct"/>
                  <w:vMerge w:val="continue"/>
                  <w:tcBorders>
                    <w:tl2br w:val="nil"/>
                    <w:tr2bl w:val="nil"/>
                  </w:tcBorders>
                  <w:noWrap w:val="0"/>
                  <w:vAlign w:val="center"/>
                </w:tcPr>
                <w:p w14:paraId="4EE95DB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rPr>
                  </w:pPr>
                </w:p>
              </w:tc>
              <w:tc>
                <w:tcPr>
                  <w:tcW w:w="383" w:type="pct"/>
                  <w:tcBorders>
                    <w:tl2br w:val="nil"/>
                    <w:tr2bl w:val="nil"/>
                  </w:tcBorders>
                  <w:noWrap w:val="0"/>
                  <w:vAlign w:val="center"/>
                </w:tcPr>
                <w:p w14:paraId="02CAFF3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w:t>
                  </w:r>
                </w:p>
              </w:tc>
              <w:tc>
                <w:tcPr>
                  <w:tcW w:w="400" w:type="pct"/>
                  <w:tcBorders>
                    <w:tl2br w:val="nil"/>
                    <w:tr2bl w:val="nil"/>
                  </w:tcBorders>
                  <w:noWrap w:val="0"/>
                  <w:vAlign w:val="center"/>
                </w:tcPr>
                <w:p w14:paraId="7E1100B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65.5</w:t>
                  </w:r>
                </w:p>
              </w:tc>
              <w:tc>
                <w:tcPr>
                  <w:tcW w:w="387" w:type="pct"/>
                  <w:tcBorders>
                    <w:tl2br w:val="nil"/>
                    <w:tr2bl w:val="nil"/>
                  </w:tcBorders>
                  <w:noWrap w:val="0"/>
                  <w:vAlign w:val="center"/>
                </w:tcPr>
                <w:p w14:paraId="365FA8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10</w:t>
                  </w:r>
                </w:p>
              </w:tc>
              <w:tc>
                <w:tcPr>
                  <w:tcW w:w="319" w:type="pct"/>
                  <w:tcBorders>
                    <w:tl2br w:val="nil"/>
                    <w:tr2bl w:val="nil"/>
                  </w:tcBorders>
                  <w:noWrap w:val="0"/>
                  <w:vAlign w:val="center"/>
                </w:tcPr>
                <w:p w14:paraId="0649763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55.5</w:t>
                  </w:r>
                </w:p>
              </w:tc>
              <w:tc>
                <w:tcPr>
                  <w:tcW w:w="379" w:type="pct"/>
                  <w:tcBorders>
                    <w:tl2br w:val="nil"/>
                    <w:tr2bl w:val="nil"/>
                  </w:tcBorders>
                  <w:noWrap w:val="0"/>
                  <w:vAlign w:val="center"/>
                </w:tcPr>
                <w:p w14:paraId="34CBD36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r>
          </w:tbl>
          <w:p w14:paraId="3F96FB16">
            <w:pPr>
              <w:keepNext w:val="0"/>
              <w:keepLines w:val="0"/>
              <w:suppressLineNumbers w:val="0"/>
              <w:spacing w:before="0" w:beforeAutospacing="0" w:after="0" w:afterAutospacing="0"/>
              <w:ind w:left="0" w:right="0"/>
              <w:jc w:val="both"/>
              <w:rPr>
                <w:rFonts w:hint="default"/>
              </w:rPr>
            </w:pPr>
          </w:p>
          <w:p w14:paraId="735267B9">
            <w:pPr>
              <w:keepNext w:val="0"/>
              <w:keepLines w:val="0"/>
              <w:suppressLineNumbers w:val="0"/>
              <w:spacing w:before="0" w:beforeAutospacing="0" w:after="0" w:afterAutospacing="0"/>
              <w:ind w:left="0" w:right="0"/>
              <w:jc w:val="center"/>
              <w:rPr>
                <w:rFonts w:hint="default"/>
                <w:b/>
                <w:bCs/>
                <w:sz w:val="24"/>
              </w:rPr>
            </w:pPr>
          </w:p>
          <w:p w14:paraId="323A1EC0">
            <w:pPr>
              <w:keepNext w:val="0"/>
              <w:keepLines w:val="0"/>
              <w:suppressLineNumbers w:val="0"/>
              <w:spacing w:before="0" w:beforeAutospacing="0" w:after="0" w:afterAutospacing="0"/>
              <w:ind w:left="0" w:right="0"/>
              <w:jc w:val="both"/>
              <w:rPr>
                <w:rFonts w:hint="default"/>
                <w:b/>
                <w:bCs/>
                <w:sz w:val="24"/>
              </w:rPr>
            </w:pPr>
          </w:p>
          <w:p w14:paraId="7343AC40">
            <w:pPr>
              <w:keepNext w:val="0"/>
              <w:keepLines w:val="0"/>
              <w:suppressLineNumbers w:val="0"/>
              <w:spacing w:before="0" w:beforeAutospacing="0" w:after="0" w:afterAutospacing="0"/>
              <w:ind w:left="0" w:right="0"/>
              <w:jc w:val="both"/>
              <w:rPr>
                <w:rFonts w:hint="default"/>
                <w:b/>
                <w:bCs/>
                <w:sz w:val="24"/>
              </w:rPr>
            </w:pPr>
          </w:p>
          <w:p w14:paraId="772571D0">
            <w:pPr>
              <w:keepNext w:val="0"/>
              <w:keepLines w:val="0"/>
              <w:suppressLineNumbers w:val="0"/>
              <w:spacing w:before="0" w:beforeAutospacing="0" w:after="0" w:afterAutospacing="0"/>
              <w:ind w:left="0" w:right="0"/>
              <w:jc w:val="center"/>
              <w:rPr>
                <w:rFonts w:hint="default"/>
                <w:b/>
                <w:bCs/>
                <w:sz w:val="24"/>
              </w:rPr>
            </w:pPr>
            <w:r>
              <w:rPr>
                <w:rFonts w:hint="default"/>
                <w:b/>
                <w:bCs/>
                <w:sz w:val="24"/>
              </w:rPr>
              <w:t>表4-</w:t>
            </w:r>
            <w:r>
              <w:rPr>
                <w:rFonts w:hint="eastAsia"/>
                <w:b/>
                <w:bCs/>
                <w:sz w:val="24"/>
                <w:lang w:val="en-US" w:eastAsia="zh-CN"/>
              </w:rPr>
              <w:t>7</w:t>
            </w:r>
            <w:r>
              <w:rPr>
                <w:rFonts w:hint="default"/>
                <w:b/>
                <w:bCs/>
                <w:sz w:val="24"/>
              </w:rPr>
              <w:t xml:space="preserve"> 项目噪声源调查清单（室外源）</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shd w:val="clear" w:color="auto" w:fill="auto"/>
              <w:tblLayout w:type="autofit"/>
              <w:tblCellMar>
                <w:top w:w="0" w:type="dxa"/>
                <w:left w:w="0" w:type="dxa"/>
                <w:bottom w:w="0" w:type="dxa"/>
                <w:right w:w="0" w:type="dxa"/>
              </w:tblCellMar>
            </w:tblPr>
            <w:tblGrid>
              <w:gridCol w:w="879"/>
              <w:gridCol w:w="1875"/>
              <w:gridCol w:w="1315"/>
              <w:gridCol w:w="1261"/>
              <w:gridCol w:w="1258"/>
              <w:gridCol w:w="1236"/>
              <w:gridCol w:w="1993"/>
              <w:gridCol w:w="1320"/>
              <w:gridCol w:w="1150"/>
            </w:tblGrid>
            <w:tr w14:paraId="024B87B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shd w:val="clear" w:color="auto" w:fill="auto"/>
                <w:tblCellMar>
                  <w:top w:w="0" w:type="dxa"/>
                  <w:left w:w="0" w:type="dxa"/>
                  <w:bottom w:w="0" w:type="dxa"/>
                  <w:right w:w="0" w:type="dxa"/>
                </w:tblCellMar>
              </w:tblPrEx>
              <w:trPr>
                <w:trHeight w:val="309" w:hRule="atLeast"/>
                <w:jc w:val="center"/>
              </w:trPr>
              <w:tc>
                <w:tcPr>
                  <w:tcW w:w="358" w:type="pct"/>
                  <w:vMerge w:val="restart"/>
                  <w:tcBorders>
                    <w:tl2br w:val="nil"/>
                    <w:tr2bl w:val="nil"/>
                  </w:tcBorders>
                  <w:shd w:val="clear" w:color="auto" w:fill="auto"/>
                  <w:vAlign w:val="center"/>
                </w:tcPr>
                <w:p w14:paraId="17601DB3">
                  <w:pPr>
                    <w:pStyle w:val="73"/>
                    <w:widowControl/>
                    <w:jc w:val="center"/>
                    <w:rPr>
                      <w:rFonts w:hint="default" w:ascii="Times New Roman" w:hAnsi="Times New Roman" w:eastAsia="宋体" w:cs="Times New Roman"/>
                      <w:b/>
                      <w:bCs/>
                      <w:kern w:val="2"/>
                      <w:sz w:val="21"/>
                      <w:szCs w:val="21"/>
                    </w:rPr>
                  </w:pPr>
                  <w:r>
                    <w:rPr>
                      <w:rFonts w:hint="eastAsia" w:ascii="宋体" w:hAnsi="宋体" w:eastAsia="宋体" w:cs="宋体"/>
                      <w:b/>
                      <w:bCs/>
                      <w:spacing w:val="4"/>
                      <w:kern w:val="2"/>
                      <w:sz w:val="21"/>
                      <w:szCs w:val="21"/>
                    </w:rPr>
                    <w:t>序号</w:t>
                  </w:r>
                </w:p>
              </w:tc>
              <w:tc>
                <w:tcPr>
                  <w:tcW w:w="763" w:type="pct"/>
                  <w:vMerge w:val="restart"/>
                  <w:tcBorders>
                    <w:tl2br w:val="nil"/>
                    <w:tr2bl w:val="nil"/>
                  </w:tcBorders>
                  <w:shd w:val="clear" w:color="auto" w:fill="auto"/>
                  <w:vAlign w:val="center"/>
                </w:tcPr>
                <w:p w14:paraId="719C22A1">
                  <w:pPr>
                    <w:pStyle w:val="73"/>
                    <w:widowControl/>
                    <w:jc w:val="center"/>
                    <w:rPr>
                      <w:rFonts w:hint="default" w:ascii="Times New Roman" w:hAnsi="Times New Roman" w:eastAsia="宋体" w:cs="Times New Roman"/>
                      <w:b/>
                      <w:bCs/>
                      <w:spacing w:val="6"/>
                      <w:kern w:val="2"/>
                      <w:sz w:val="21"/>
                      <w:szCs w:val="21"/>
                    </w:rPr>
                  </w:pPr>
                  <w:r>
                    <w:rPr>
                      <w:rFonts w:hint="eastAsia" w:ascii="宋体" w:hAnsi="宋体" w:eastAsia="宋体" w:cs="宋体"/>
                      <w:b/>
                      <w:bCs/>
                      <w:spacing w:val="6"/>
                      <w:kern w:val="2"/>
                      <w:sz w:val="21"/>
                      <w:szCs w:val="21"/>
                    </w:rPr>
                    <w:t>声源名称</w:t>
                  </w:r>
                </w:p>
              </w:tc>
              <w:tc>
                <w:tcPr>
                  <w:tcW w:w="535" w:type="pct"/>
                  <w:vMerge w:val="restart"/>
                  <w:tcBorders>
                    <w:tl2br w:val="nil"/>
                    <w:tr2bl w:val="nil"/>
                  </w:tcBorders>
                  <w:shd w:val="clear" w:color="auto" w:fill="auto"/>
                  <w:vAlign w:val="center"/>
                </w:tcPr>
                <w:p w14:paraId="0C1CCC4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型号</w:t>
                  </w:r>
                </w:p>
              </w:tc>
              <w:tc>
                <w:tcPr>
                  <w:tcW w:w="1528" w:type="pct"/>
                  <w:gridSpan w:val="3"/>
                  <w:tcBorders>
                    <w:tl2br w:val="nil"/>
                    <w:tr2bl w:val="nil"/>
                  </w:tcBorders>
                  <w:shd w:val="clear" w:color="auto" w:fill="auto"/>
                  <w:vAlign w:val="center"/>
                </w:tcPr>
                <w:p w14:paraId="313D863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空间相对位置</w:t>
                  </w:r>
                  <w:r>
                    <w:rPr>
                      <w:rFonts w:hint="default" w:ascii="Times New Roman" w:hAnsi="Times New Roman" w:eastAsia="宋体" w:cs="Times New Roman"/>
                      <w:b/>
                      <w:bCs/>
                      <w:kern w:val="2"/>
                      <w:sz w:val="21"/>
                      <w:szCs w:val="21"/>
                      <w:lang w:val="en-US" w:eastAsia="zh-CN" w:bidi="ar"/>
                    </w:rPr>
                    <w:t>/m</w:t>
                  </w:r>
                </w:p>
              </w:tc>
              <w:tc>
                <w:tcPr>
                  <w:tcW w:w="811" w:type="pct"/>
                  <w:vMerge w:val="restart"/>
                  <w:tcBorders>
                    <w:tl2br w:val="nil"/>
                    <w:tr2bl w:val="nil"/>
                  </w:tcBorders>
                  <w:shd w:val="clear" w:color="auto" w:fill="auto"/>
                  <w:vAlign w:val="center"/>
                </w:tcPr>
                <w:p w14:paraId="4830F41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声源源强</w:t>
                  </w:r>
                </w:p>
                <w:p w14:paraId="11C192D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b/>
                      <w:bCs/>
                      <w:kern w:val="2"/>
                      <w:sz w:val="21"/>
                      <w:szCs w:val="21"/>
                      <w:lang w:val="en-US" w:eastAsia="zh-CN" w:bidi="ar"/>
                    </w:rPr>
                    <w:t>（声功率级）/dB(A)</w:t>
                  </w:r>
                </w:p>
              </w:tc>
              <w:tc>
                <w:tcPr>
                  <w:tcW w:w="537" w:type="pct"/>
                  <w:vMerge w:val="restart"/>
                  <w:tcBorders>
                    <w:tl2br w:val="nil"/>
                    <w:tr2bl w:val="nil"/>
                  </w:tcBorders>
                  <w:shd w:val="clear" w:color="auto" w:fill="auto"/>
                  <w:vAlign w:val="center"/>
                </w:tcPr>
                <w:p w14:paraId="2AF05AD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b/>
                      <w:bCs/>
                      <w:kern w:val="2"/>
                      <w:sz w:val="21"/>
                      <w:szCs w:val="21"/>
                      <w:lang w:val="en-US" w:eastAsia="zh-CN" w:bidi="ar"/>
                    </w:rPr>
                    <w:t>声源控制措施</w:t>
                  </w:r>
                </w:p>
              </w:tc>
              <w:tc>
                <w:tcPr>
                  <w:tcW w:w="467" w:type="pct"/>
                  <w:vMerge w:val="restart"/>
                  <w:tcBorders>
                    <w:tl2br w:val="nil"/>
                    <w:tr2bl w:val="nil"/>
                  </w:tcBorders>
                  <w:shd w:val="clear" w:color="auto" w:fill="auto"/>
                  <w:vAlign w:val="center"/>
                </w:tcPr>
                <w:p w14:paraId="0EE73C7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运行时段</w:t>
                  </w:r>
                </w:p>
              </w:tc>
            </w:tr>
            <w:tr w14:paraId="3264CBA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shd w:val="clear" w:color="auto" w:fill="auto"/>
                <w:tblCellMar>
                  <w:top w:w="0" w:type="dxa"/>
                  <w:left w:w="0" w:type="dxa"/>
                  <w:bottom w:w="0" w:type="dxa"/>
                  <w:right w:w="0" w:type="dxa"/>
                </w:tblCellMar>
              </w:tblPrEx>
              <w:trPr>
                <w:trHeight w:val="245" w:hRule="atLeast"/>
                <w:jc w:val="center"/>
              </w:trPr>
              <w:tc>
                <w:tcPr>
                  <w:tcW w:w="358" w:type="pct"/>
                  <w:vMerge w:val="continue"/>
                  <w:tcBorders>
                    <w:tl2br w:val="nil"/>
                    <w:tr2bl w:val="nil"/>
                  </w:tcBorders>
                  <w:shd w:val="clear" w:color="auto" w:fill="auto"/>
                  <w:vAlign w:val="center"/>
                </w:tcPr>
                <w:p w14:paraId="15FD9C0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63" w:type="pct"/>
                  <w:vMerge w:val="continue"/>
                  <w:tcBorders>
                    <w:tl2br w:val="nil"/>
                    <w:tr2bl w:val="nil"/>
                  </w:tcBorders>
                  <w:shd w:val="clear" w:color="auto" w:fill="auto"/>
                  <w:vAlign w:val="center"/>
                </w:tcPr>
                <w:p w14:paraId="320FBE6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35" w:type="pct"/>
                  <w:vMerge w:val="continue"/>
                  <w:tcBorders>
                    <w:tl2br w:val="nil"/>
                    <w:tr2bl w:val="nil"/>
                  </w:tcBorders>
                  <w:shd w:val="clear" w:color="auto" w:fill="auto"/>
                  <w:vAlign w:val="center"/>
                </w:tcPr>
                <w:p w14:paraId="1BEE67B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13" w:type="pct"/>
                  <w:tcBorders>
                    <w:tl2br w:val="nil"/>
                    <w:tr2bl w:val="nil"/>
                  </w:tcBorders>
                  <w:shd w:val="clear" w:color="auto" w:fill="auto"/>
                  <w:vAlign w:val="center"/>
                </w:tcPr>
                <w:p w14:paraId="5AB1E11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X</w:t>
                  </w:r>
                </w:p>
              </w:tc>
              <w:tc>
                <w:tcPr>
                  <w:tcW w:w="512" w:type="pct"/>
                  <w:tcBorders>
                    <w:tl2br w:val="nil"/>
                    <w:tr2bl w:val="nil"/>
                  </w:tcBorders>
                  <w:shd w:val="clear" w:color="auto" w:fill="auto"/>
                  <w:vAlign w:val="center"/>
                </w:tcPr>
                <w:p w14:paraId="43059AD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Y</w:t>
                  </w:r>
                </w:p>
              </w:tc>
              <w:tc>
                <w:tcPr>
                  <w:tcW w:w="502" w:type="pct"/>
                  <w:tcBorders>
                    <w:tl2br w:val="nil"/>
                    <w:tr2bl w:val="nil"/>
                  </w:tcBorders>
                  <w:shd w:val="clear" w:color="auto" w:fill="auto"/>
                  <w:vAlign w:val="center"/>
                </w:tcPr>
                <w:p w14:paraId="648522A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Z</w:t>
                  </w:r>
                </w:p>
              </w:tc>
              <w:tc>
                <w:tcPr>
                  <w:tcW w:w="811" w:type="pct"/>
                  <w:vMerge w:val="continue"/>
                  <w:tcBorders>
                    <w:tl2br w:val="nil"/>
                    <w:tr2bl w:val="nil"/>
                  </w:tcBorders>
                  <w:shd w:val="clear" w:color="auto" w:fill="auto"/>
                  <w:vAlign w:val="center"/>
                </w:tcPr>
                <w:p w14:paraId="6E55DE9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37" w:type="pct"/>
                  <w:vMerge w:val="continue"/>
                  <w:tcBorders>
                    <w:tl2br w:val="nil"/>
                    <w:tr2bl w:val="nil"/>
                  </w:tcBorders>
                  <w:shd w:val="clear" w:color="auto" w:fill="auto"/>
                  <w:vAlign w:val="center"/>
                </w:tcPr>
                <w:p w14:paraId="5CFDFF5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67" w:type="pct"/>
                  <w:vMerge w:val="continue"/>
                  <w:tcBorders>
                    <w:tl2br w:val="nil"/>
                    <w:tr2bl w:val="nil"/>
                  </w:tcBorders>
                  <w:shd w:val="clear" w:color="auto" w:fill="auto"/>
                  <w:vAlign w:val="center"/>
                </w:tcPr>
                <w:p w14:paraId="78AAE83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6ADDDAC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234" w:hRule="atLeast"/>
                <w:jc w:val="center"/>
              </w:trPr>
              <w:tc>
                <w:tcPr>
                  <w:tcW w:w="358" w:type="pct"/>
                  <w:tcBorders>
                    <w:tl2br w:val="nil"/>
                    <w:tr2bl w:val="nil"/>
                  </w:tcBorders>
                  <w:shd w:val="clear" w:color="auto" w:fill="auto"/>
                  <w:vAlign w:val="center"/>
                </w:tcPr>
                <w:p w14:paraId="3AA8C8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1</w:t>
                  </w:r>
                </w:p>
              </w:tc>
              <w:tc>
                <w:tcPr>
                  <w:tcW w:w="763" w:type="pct"/>
                  <w:tcBorders>
                    <w:tl2br w:val="nil"/>
                    <w:tr2bl w:val="nil"/>
                  </w:tcBorders>
                  <w:shd w:val="clear" w:color="auto" w:fill="auto"/>
                  <w:vAlign w:val="center"/>
                </w:tcPr>
                <w:p w14:paraId="0BBF9D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风机</w:t>
                  </w:r>
                </w:p>
              </w:tc>
              <w:tc>
                <w:tcPr>
                  <w:tcW w:w="535" w:type="pct"/>
                  <w:tcBorders>
                    <w:tl2br w:val="nil"/>
                    <w:tr2bl w:val="nil"/>
                  </w:tcBorders>
                  <w:shd w:val="clear" w:color="auto" w:fill="auto"/>
                  <w:vAlign w:val="center"/>
                </w:tcPr>
                <w:p w14:paraId="5119BF9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w:t>
                  </w:r>
                </w:p>
              </w:tc>
              <w:tc>
                <w:tcPr>
                  <w:tcW w:w="513" w:type="pct"/>
                  <w:tcBorders>
                    <w:tl2br w:val="nil"/>
                    <w:tr2bl w:val="nil"/>
                  </w:tcBorders>
                  <w:shd w:val="clear" w:color="auto" w:fill="auto"/>
                  <w:vAlign w:val="center"/>
                </w:tcPr>
                <w:p w14:paraId="6A787D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w:t>
                  </w:r>
                </w:p>
              </w:tc>
              <w:tc>
                <w:tcPr>
                  <w:tcW w:w="512" w:type="pct"/>
                  <w:tcBorders>
                    <w:tl2br w:val="nil"/>
                    <w:tr2bl w:val="nil"/>
                  </w:tcBorders>
                  <w:shd w:val="clear" w:color="auto" w:fill="auto"/>
                  <w:vAlign w:val="center"/>
                </w:tcPr>
                <w:p w14:paraId="441208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104</w:t>
                  </w:r>
                </w:p>
              </w:tc>
              <w:tc>
                <w:tcPr>
                  <w:tcW w:w="502" w:type="pct"/>
                  <w:tcBorders>
                    <w:tl2br w:val="nil"/>
                    <w:tr2bl w:val="nil"/>
                  </w:tcBorders>
                  <w:shd w:val="clear" w:color="auto" w:fill="auto"/>
                  <w:vAlign w:val="center"/>
                </w:tcPr>
                <w:p w14:paraId="33F6977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3.5</w:t>
                  </w:r>
                </w:p>
              </w:tc>
              <w:tc>
                <w:tcPr>
                  <w:tcW w:w="811" w:type="pct"/>
                  <w:tcBorders>
                    <w:tl2br w:val="nil"/>
                    <w:tr2bl w:val="nil"/>
                  </w:tcBorders>
                  <w:shd w:val="clear" w:color="auto" w:fill="auto"/>
                  <w:vAlign w:val="center"/>
                </w:tcPr>
                <w:p w14:paraId="702A8F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95</w:t>
                  </w:r>
                </w:p>
              </w:tc>
              <w:tc>
                <w:tcPr>
                  <w:tcW w:w="537" w:type="pct"/>
                  <w:vMerge w:val="restart"/>
                  <w:tcBorders>
                    <w:tl2br w:val="nil"/>
                    <w:tr2bl w:val="nil"/>
                  </w:tcBorders>
                  <w:shd w:val="clear" w:color="auto" w:fill="auto"/>
                  <w:vAlign w:val="center"/>
                </w:tcPr>
                <w:p w14:paraId="4064E1F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1"/>
                      <w:szCs w:val="21"/>
                      <w:lang w:val="en-US" w:eastAsia="zh-CN" w:bidi="ar"/>
                    </w:rPr>
                    <w:t>减振、隔声</w:t>
                  </w:r>
                </w:p>
              </w:tc>
              <w:tc>
                <w:tcPr>
                  <w:tcW w:w="467" w:type="pct"/>
                  <w:vMerge w:val="restart"/>
                  <w:tcBorders>
                    <w:tl2br w:val="nil"/>
                    <w:tr2bl w:val="nil"/>
                  </w:tcBorders>
                  <w:shd w:val="clear" w:color="auto" w:fill="auto"/>
                  <w:vAlign w:val="center"/>
                </w:tcPr>
                <w:p w14:paraId="32E85D8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9:00-17:00</w:t>
                  </w:r>
                </w:p>
              </w:tc>
            </w:tr>
            <w:tr w14:paraId="17BA994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jc w:val="center"/>
              </w:trPr>
              <w:tc>
                <w:tcPr>
                  <w:tcW w:w="358" w:type="pct"/>
                  <w:tcBorders>
                    <w:tl2br w:val="nil"/>
                    <w:tr2bl w:val="nil"/>
                  </w:tcBorders>
                  <w:shd w:val="clear" w:color="auto" w:fill="auto"/>
                  <w:vAlign w:val="center"/>
                </w:tcPr>
                <w:p w14:paraId="13F6A0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2</w:t>
                  </w:r>
                </w:p>
              </w:tc>
              <w:tc>
                <w:tcPr>
                  <w:tcW w:w="763" w:type="pct"/>
                  <w:tcBorders>
                    <w:tl2br w:val="nil"/>
                    <w:tr2bl w:val="nil"/>
                  </w:tcBorders>
                  <w:shd w:val="clear" w:color="auto" w:fill="auto"/>
                  <w:vAlign w:val="center"/>
                </w:tcPr>
                <w:p w14:paraId="17D28EA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风机</w:t>
                  </w:r>
                </w:p>
              </w:tc>
              <w:tc>
                <w:tcPr>
                  <w:tcW w:w="535" w:type="pct"/>
                  <w:tcBorders>
                    <w:tl2br w:val="nil"/>
                    <w:tr2bl w:val="nil"/>
                  </w:tcBorders>
                  <w:shd w:val="clear" w:color="auto" w:fill="auto"/>
                  <w:vAlign w:val="center"/>
                </w:tcPr>
                <w:p w14:paraId="18C8BD5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w:t>
                  </w:r>
                </w:p>
              </w:tc>
              <w:tc>
                <w:tcPr>
                  <w:tcW w:w="513" w:type="pct"/>
                  <w:tcBorders>
                    <w:tl2br w:val="nil"/>
                    <w:tr2bl w:val="nil"/>
                  </w:tcBorders>
                  <w:shd w:val="clear" w:color="auto" w:fill="auto"/>
                  <w:vAlign w:val="center"/>
                </w:tcPr>
                <w:p w14:paraId="0802E6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lang w:val="en-US" w:eastAsia="zh-CN" w:bidi="ar"/>
                    </w:rPr>
                    <w:t>153</w:t>
                  </w:r>
                </w:p>
              </w:tc>
              <w:tc>
                <w:tcPr>
                  <w:tcW w:w="512" w:type="pct"/>
                  <w:tcBorders>
                    <w:tl2br w:val="nil"/>
                    <w:tr2bl w:val="nil"/>
                  </w:tcBorders>
                  <w:shd w:val="clear" w:color="auto" w:fill="auto"/>
                  <w:vAlign w:val="center"/>
                </w:tcPr>
                <w:p w14:paraId="465F3D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lang w:val="en-US" w:eastAsia="zh-CN" w:bidi="ar"/>
                    </w:rPr>
                    <w:t>238</w:t>
                  </w:r>
                </w:p>
              </w:tc>
              <w:tc>
                <w:tcPr>
                  <w:tcW w:w="502" w:type="pct"/>
                  <w:tcBorders>
                    <w:tl2br w:val="nil"/>
                    <w:tr2bl w:val="nil"/>
                  </w:tcBorders>
                  <w:shd w:val="clear" w:color="auto" w:fill="auto"/>
                  <w:vAlign w:val="center"/>
                </w:tcPr>
                <w:p w14:paraId="1004E66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3.5</w:t>
                  </w:r>
                </w:p>
              </w:tc>
              <w:tc>
                <w:tcPr>
                  <w:tcW w:w="811" w:type="pct"/>
                  <w:tcBorders>
                    <w:tl2br w:val="nil"/>
                    <w:tr2bl w:val="nil"/>
                  </w:tcBorders>
                  <w:shd w:val="clear" w:color="auto" w:fill="auto"/>
                  <w:vAlign w:val="center"/>
                </w:tcPr>
                <w:p w14:paraId="286EDF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95</w:t>
                  </w:r>
                </w:p>
              </w:tc>
              <w:tc>
                <w:tcPr>
                  <w:tcW w:w="537" w:type="pct"/>
                  <w:vMerge w:val="continue"/>
                  <w:tcBorders>
                    <w:tl2br w:val="nil"/>
                    <w:tr2bl w:val="nil"/>
                  </w:tcBorders>
                  <w:shd w:val="clear" w:color="auto" w:fill="auto"/>
                  <w:vAlign w:val="center"/>
                </w:tcPr>
                <w:p w14:paraId="1624DF4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67" w:type="pct"/>
                  <w:vMerge w:val="continue"/>
                  <w:tcBorders>
                    <w:tl2br w:val="nil"/>
                    <w:tr2bl w:val="nil"/>
                  </w:tcBorders>
                  <w:shd w:val="clear" w:color="auto" w:fill="auto"/>
                  <w:vAlign w:val="center"/>
                </w:tcPr>
                <w:p w14:paraId="6B1FCFC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7A082BB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shd w:val="clear" w:color="auto" w:fill="auto"/>
                <w:tblCellMar>
                  <w:top w:w="0" w:type="dxa"/>
                  <w:left w:w="0" w:type="dxa"/>
                  <w:bottom w:w="0" w:type="dxa"/>
                  <w:right w:w="0" w:type="dxa"/>
                </w:tblCellMar>
              </w:tblPrEx>
              <w:trPr>
                <w:trHeight w:val="242" w:hRule="atLeast"/>
                <w:jc w:val="center"/>
              </w:trPr>
              <w:tc>
                <w:tcPr>
                  <w:tcW w:w="5000" w:type="pct"/>
                  <w:gridSpan w:val="9"/>
                  <w:tcBorders>
                    <w:tl2br w:val="nil"/>
                    <w:tr2bl w:val="nil"/>
                  </w:tcBorders>
                  <w:shd w:val="clear" w:color="auto" w:fill="auto"/>
                  <w:vAlign w:val="center"/>
                </w:tcPr>
                <w:p w14:paraId="586B10EC">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宋体" w:hAnsi="宋体" w:eastAsia="宋体" w:cs="宋体"/>
                      <w:b/>
                      <w:bCs/>
                      <w:kern w:val="2"/>
                      <w:sz w:val="20"/>
                      <w:szCs w:val="20"/>
                      <w:lang w:val="en-US" w:eastAsia="zh-CN" w:bidi="ar"/>
                    </w:rPr>
                    <w:t>注：以厂界西南角为坐标原点</w:t>
                  </w:r>
                </w:p>
              </w:tc>
            </w:tr>
          </w:tbl>
          <w:p w14:paraId="65C72320">
            <w:pPr>
              <w:keepNext w:val="0"/>
              <w:keepLines w:val="0"/>
              <w:suppressLineNumbers w:val="0"/>
              <w:spacing w:before="0" w:beforeAutospacing="0" w:after="0" w:afterAutospacing="0"/>
              <w:ind w:left="0" w:right="0"/>
              <w:jc w:val="both"/>
              <w:rPr>
                <w:rFonts w:hint="default"/>
              </w:rPr>
            </w:pPr>
          </w:p>
          <w:p w14:paraId="7121DC47">
            <w:pPr>
              <w:keepNext w:val="0"/>
              <w:keepLines w:val="0"/>
              <w:suppressLineNumbers w:val="0"/>
              <w:spacing w:before="0" w:beforeAutospacing="0" w:after="0" w:afterAutospacing="0"/>
              <w:ind w:left="0" w:right="0"/>
              <w:jc w:val="both"/>
              <w:rPr>
                <w:rFonts w:hint="default"/>
              </w:rPr>
            </w:pPr>
          </w:p>
          <w:p w14:paraId="7F3B661D">
            <w:pPr>
              <w:keepNext w:val="0"/>
              <w:keepLines w:val="0"/>
              <w:suppressLineNumbers w:val="0"/>
              <w:spacing w:before="0" w:beforeAutospacing="0" w:after="0" w:afterAutospacing="0"/>
              <w:ind w:left="0" w:right="0"/>
              <w:jc w:val="center"/>
              <w:rPr>
                <w:rFonts w:hint="default" w:ascii="Times New Roman" w:hAnsi="Times New Roman" w:cs="Times New Roman"/>
              </w:rPr>
            </w:pPr>
          </w:p>
          <w:p w14:paraId="43246879">
            <w:pPr>
              <w:keepNext w:val="0"/>
              <w:keepLines w:val="0"/>
              <w:suppressLineNumbers w:val="0"/>
              <w:spacing w:before="0" w:beforeAutospacing="0" w:after="0" w:afterAutospacing="0"/>
              <w:ind w:left="0" w:right="0"/>
              <w:jc w:val="center"/>
              <w:rPr>
                <w:rFonts w:hint="default" w:ascii="Times New Roman" w:hAnsi="Times New Roman" w:cs="Times New Roman"/>
              </w:rPr>
            </w:pPr>
          </w:p>
          <w:p w14:paraId="1A9D56EE">
            <w:pPr>
              <w:keepNext w:val="0"/>
              <w:keepLines w:val="0"/>
              <w:suppressLineNumbers w:val="0"/>
              <w:spacing w:before="0" w:beforeAutospacing="0" w:after="0" w:afterAutospacing="0"/>
              <w:ind w:left="0" w:right="0"/>
              <w:jc w:val="center"/>
              <w:rPr>
                <w:rFonts w:hint="default" w:ascii="Times New Roman" w:hAnsi="Times New Roman" w:cs="Times New Roman"/>
              </w:rPr>
            </w:pPr>
          </w:p>
          <w:p w14:paraId="30FE6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sz w:val="24"/>
                <w:szCs w:val="32"/>
                <w:lang w:val="en-US" w:eastAsia="zh-CN"/>
              </w:rPr>
            </w:pPr>
          </w:p>
        </w:tc>
      </w:tr>
    </w:tbl>
    <w:p w14:paraId="50D2FF7A">
      <w:pPr>
        <w:sectPr>
          <w:pgSz w:w="16838" w:h="11905" w:orient="landscape"/>
          <w:pgMar w:top="1531" w:right="1701" w:bottom="1531" w:left="1701" w:header="851" w:footer="850" w:gutter="0"/>
          <w:pgBorders>
            <w:top w:val="none" w:sz="0" w:space="0"/>
            <w:left w:val="none" w:sz="0" w:space="0"/>
            <w:bottom w:val="none" w:sz="0" w:space="0"/>
            <w:right w:val="none" w:sz="0" w:space="0"/>
          </w:pgBorders>
          <w:cols w:space="720" w:num="1"/>
          <w:rtlGutter w:val="0"/>
          <w:docGrid w:linePitch="312" w:charSpace="0"/>
        </w:sectPr>
      </w:pPr>
    </w:p>
    <w:tbl>
      <w:tblPr>
        <w:tblStyle w:val="28"/>
        <w:tblW w:w="50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52"/>
        <w:gridCol w:w="8677"/>
      </w:tblGrid>
      <w:tr w14:paraId="3F2EF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7" w:type="pct"/>
            <w:noWrap w:val="0"/>
            <w:tcMar>
              <w:left w:w="28" w:type="dxa"/>
              <w:right w:w="28" w:type="dxa"/>
            </w:tcMar>
            <w:vAlign w:val="center"/>
          </w:tcPr>
          <w:p w14:paraId="7ED88489">
            <w:pPr>
              <w:keepNext w:val="0"/>
              <w:keepLines w:val="0"/>
              <w:suppressLineNumbers w:val="0"/>
              <w:adjustRightInd w:val="0"/>
              <w:snapToGrid w:val="0"/>
              <w:spacing w:before="0" w:beforeAutospacing="0" w:after="0" w:afterAutospacing="0"/>
              <w:ind w:left="0" w:right="0"/>
              <w:jc w:val="center"/>
              <w:rPr>
                <w:rFonts w:hint="eastAsia" w:ascii="宋体" w:hAnsi="宋体" w:cs="宋体"/>
                <w:bCs/>
                <w:sz w:val="24"/>
              </w:rPr>
            </w:pPr>
          </w:p>
        </w:tc>
        <w:tc>
          <w:tcPr>
            <w:tcW w:w="4582" w:type="pct"/>
            <w:noWrap w:val="0"/>
            <w:vAlign w:val="center"/>
          </w:tcPr>
          <w:p w14:paraId="5FBDF8D7">
            <w:pPr>
              <w:pStyle w:val="69"/>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3.2噪声污染防治措施</w:t>
            </w:r>
          </w:p>
          <w:p w14:paraId="10ABBD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为进一步减小本项目对周边环境的影响，企业应加强噪声的治理，具体治理措施如下：</w:t>
            </w:r>
          </w:p>
          <w:p w14:paraId="6C145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fldChar w:fldCharType="begin"/>
            </w:r>
            <w:r>
              <w:rPr>
                <w:rFonts w:hint="eastAsia" w:ascii="Times New Roman" w:hAnsi="Times New Roman" w:cs="Times New Roman"/>
                <w:color w:val="auto"/>
                <w:sz w:val="24"/>
                <w:szCs w:val="24"/>
              </w:rPr>
              <w:instrText xml:space="preserve"> = 1 \* GB3 \* MERGEFORMAT </w:instrText>
            </w:r>
            <w:r>
              <w:rPr>
                <w:rFonts w:hint="eastAsia" w:ascii="Times New Roman" w:hAnsi="Times New Roman" w:cs="Times New Roman"/>
                <w:color w:val="auto"/>
                <w:sz w:val="24"/>
                <w:szCs w:val="24"/>
              </w:rPr>
              <w:fldChar w:fldCharType="separate"/>
            </w:r>
            <w:r>
              <w:rPr>
                <w:rFonts w:hint="eastAsia" w:ascii="Times New Roman" w:hAnsi="Times New Roman" w:cs="Times New Roman"/>
                <w:color w:val="auto"/>
                <w:sz w:val="24"/>
                <w:szCs w:val="24"/>
              </w:rPr>
              <w:t>①</w:t>
            </w:r>
            <w:r>
              <w:rPr>
                <w:rFonts w:hint="eastAsia" w:ascii="Times New Roman" w:hAnsi="Times New Roman" w:cs="Times New Roman"/>
                <w:color w:val="auto"/>
                <w:sz w:val="24"/>
                <w:szCs w:val="24"/>
              </w:rPr>
              <w:fldChar w:fldCharType="end"/>
            </w:r>
            <w:r>
              <w:rPr>
                <w:rFonts w:hint="eastAsia" w:ascii="Times New Roman" w:hAnsi="Times New Roman" w:cs="Times New Roman"/>
                <w:color w:val="auto"/>
                <w:sz w:val="24"/>
                <w:szCs w:val="24"/>
              </w:rPr>
              <w:t>尽量选择低噪声和符合国家噪声标准的生产设备，并进行定期检修维护，使其处于良好运行状态；在设备与地面之间安装减振垫，减少机械振动产生的噪声污染；</w:t>
            </w:r>
          </w:p>
          <w:p w14:paraId="30C440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rPr>
              <w:fldChar w:fldCharType="begin"/>
            </w:r>
            <w:r>
              <w:rPr>
                <w:rFonts w:hint="eastAsia" w:ascii="Times New Roman" w:hAnsi="Times New Roman" w:cs="Times New Roman"/>
                <w:color w:val="auto"/>
                <w:sz w:val="24"/>
                <w:szCs w:val="24"/>
              </w:rPr>
              <w:instrText xml:space="preserve"> = 2 \* GB3 \* MERGEFORMAT </w:instrText>
            </w:r>
            <w:r>
              <w:rPr>
                <w:rFonts w:hint="eastAsia" w:ascii="Times New Roman" w:hAnsi="Times New Roman" w:cs="Times New Roman"/>
                <w:color w:val="auto"/>
                <w:sz w:val="24"/>
                <w:szCs w:val="24"/>
              </w:rPr>
              <w:fldChar w:fldCharType="separate"/>
            </w:r>
            <w:r>
              <w:rPr>
                <w:rFonts w:hint="eastAsia" w:ascii="Times New Roman" w:hAnsi="Times New Roman" w:cs="Times New Roman"/>
                <w:color w:val="auto"/>
                <w:sz w:val="24"/>
                <w:szCs w:val="24"/>
              </w:rPr>
              <w:t>②</w:t>
            </w:r>
            <w:r>
              <w:rPr>
                <w:rFonts w:hint="eastAsia" w:ascii="Times New Roman" w:hAnsi="Times New Roman" w:cs="Times New Roman"/>
                <w:color w:val="auto"/>
                <w:sz w:val="24"/>
                <w:szCs w:val="24"/>
              </w:rPr>
              <w:fldChar w:fldCharType="end"/>
            </w:r>
            <w:r>
              <w:rPr>
                <w:rFonts w:hint="eastAsia" w:ascii="Times New Roman" w:hAnsi="Times New Roman" w:cs="Times New Roman"/>
                <w:color w:val="auto"/>
                <w:sz w:val="24"/>
                <w:szCs w:val="24"/>
              </w:rPr>
              <w:t>合理布局，合理布置厂内各功能区的位置及厂区内部设备的位置，将高噪声设备尽量安置在厂区中间位置以增加其距离衰减量，减少对周围环境的影响；</w:t>
            </w:r>
          </w:p>
          <w:p w14:paraId="5CC7E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搞好厂区绿化：</w:t>
            </w:r>
            <w:r>
              <w:rPr>
                <w:rFonts w:hint="default"/>
                <w:color w:val="auto"/>
                <w:sz w:val="24"/>
              </w:rPr>
              <w:t>项目邻近厂界处加强绿化，项目南侧设置隔离带</w:t>
            </w:r>
            <w:r>
              <w:rPr>
                <w:rFonts w:hint="eastAsia"/>
                <w:color w:val="auto"/>
                <w:sz w:val="24"/>
                <w:lang w:eastAsia="zh-CN"/>
              </w:rPr>
              <w:t>。</w:t>
            </w:r>
            <w:r>
              <w:rPr>
                <w:rFonts w:hint="default" w:ascii="Times New Roman" w:hAnsi="Times New Roman" w:cs="Times New Roman"/>
                <w:color w:val="auto"/>
                <w:sz w:val="24"/>
                <w:szCs w:val="24"/>
              </w:rPr>
              <w:t>据资料显示，密植槐树林带可以使中频率的声音衰减3.5dB（A）/10m，高于30cm的草地可以降低0.7dB（A）/10m；</w:t>
            </w:r>
          </w:p>
          <w:p w14:paraId="5B3BD8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利用好距离衰减，减少对场界外环境的影响；</w:t>
            </w:r>
          </w:p>
          <w:p w14:paraId="26F446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rPr>
            </w:pPr>
            <w:r>
              <w:rPr>
                <w:rFonts w:hint="default" w:ascii="Times New Roman" w:hAnsi="Times New Roman" w:cs="Times New Roman"/>
                <w:color w:val="auto"/>
                <w:sz w:val="24"/>
                <w:szCs w:val="24"/>
              </w:rPr>
              <w:t>通过以上措施，再经距离衰减和建筑物的阻挡作用，预计场区边界</w:t>
            </w:r>
            <w:r>
              <w:rPr>
                <w:rFonts w:hint="eastAsia" w:ascii="Times New Roman" w:hAnsi="Times New Roman" w:cs="Times New Roman"/>
                <w:color w:val="auto"/>
                <w:sz w:val="24"/>
                <w:szCs w:val="24"/>
                <w:lang w:eastAsia="zh-CN"/>
              </w:rPr>
              <w:t>昼间</w:t>
            </w:r>
            <w:r>
              <w:rPr>
                <w:rFonts w:hint="default" w:ascii="Times New Roman" w:hAnsi="Times New Roman" w:cs="Times New Roman"/>
                <w:color w:val="auto"/>
                <w:sz w:val="24"/>
                <w:szCs w:val="24"/>
              </w:rPr>
              <w:t>噪声值能够达到《工业企业厂界环境噪声排放标准》（GB12348-2008）中的</w:t>
            </w:r>
            <w:r>
              <w:rPr>
                <w:rFonts w:hint="eastAsia" w:cs="Times New Roman"/>
                <w:color w:val="auto"/>
                <w:sz w:val="24"/>
                <w:szCs w:val="24"/>
                <w:lang w:val="en-US" w:eastAsia="zh-CN"/>
              </w:rPr>
              <w:t>3</w:t>
            </w:r>
            <w:r>
              <w:rPr>
                <w:rFonts w:hint="default" w:ascii="Times New Roman" w:hAnsi="Times New Roman" w:cs="Times New Roman"/>
                <w:color w:val="auto"/>
                <w:sz w:val="24"/>
                <w:szCs w:val="24"/>
              </w:rPr>
              <w:t>类标准，即昼间6</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dB（A）</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夜间50</w:t>
            </w:r>
            <w:r>
              <w:rPr>
                <w:rFonts w:hint="default" w:ascii="Times New Roman" w:hAnsi="Times New Roman" w:cs="Times New Roman"/>
                <w:color w:val="auto"/>
                <w:sz w:val="24"/>
                <w:szCs w:val="24"/>
              </w:rPr>
              <w:t>dB</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A</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rPr>
              <w:t>，本项目噪声对周围声环境影响较小。</w:t>
            </w:r>
          </w:p>
          <w:p w14:paraId="4F47D7D1">
            <w:pPr>
              <w:pStyle w:val="69"/>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firstLine="0" w:firstLineChars="0"/>
              <w:jc w:val="both"/>
              <w:textAlignment w:val="auto"/>
              <w:rPr>
                <w:rFonts w:hint="default" w:ascii="Times New Roman" w:hAnsi="Times New Roman" w:cs="Times New Roman"/>
                <w:sz w:val="24"/>
              </w:rPr>
            </w:pPr>
            <w:r>
              <w:rPr>
                <w:rFonts w:hint="default" w:ascii="Times New Roman" w:hAnsi="Times New Roman" w:cs="Times New Roman"/>
                <w:b/>
                <w:bCs/>
                <w:sz w:val="24"/>
                <w:szCs w:val="24"/>
              </w:rPr>
              <w:t>3.3噪声排放达标分析</w:t>
            </w:r>
          </w:p>
          <w:p w14:paraId="6E23E9E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本次评价采用《环境影响评价技术导则—声环境》（HJ2.4-2021）中推荐模式进行预测。以厂界预测点为原点，选择一个坐标系，确定各噪声源位置，并测量各噪声源到预测点的距离，将各噪声源视为半自由状态噪声源，按声能量在空气传播中衰减模式可计算出某噪声源在预测点的声压级，预测模式如下。</w:t>
            </w:r>
          </w:p>
          <w:p w14:paraId="0B313FF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eastAsia" w:ascii="Times New Roman" w:hAnsi="Times New Roman" w:cs="Times New Roman"/>
                <w:sz w:val="24"/>
              </w:rPr>
              <w:t>1）</w:t>
            </w:r>
            <w:r>
              <w:rPr>
                <w:rFonts w:hint="default" w:ascii="Times New Roman" w:hAnsi="Times New Roman" w:cs="Times New Roman"/>
                <w:sz w:val="24"/>
              </w:rPr>
              <w:t>室内声源</w:t>
            </w:r>
          </w:p>
          <w:p w14:paraId="7E02985F">
            <w:pPr>
              <w:keepNext w:val="0"/>
              <w:keepLines w:val="0"/>
              <w:suppressLineNumbers w:val="0"/>
              <w:tabs>
                <w:tab w:val="left" w:pos="900"/>
              </w:tabs>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声源位于室内，室内声源可采用等效室外声源声功率级法进行计算。设靠近开口处（或窗户）室内、室外某倍频带的声压级分别为L</w:t>
            </w:r>
            <w:r>
              <w:rPr>
                <w:rFonts w:hint="default" w:ascii="Times New Roman" w:hAnsi="Times New Roman" w:cs="Times New Roman"/>
                <w:sz w:val="24"/>
                <w:vertAlign w:val="subscript"/>
              </w:rPr>
              <w:t>P1</w:t>
            </w:r>
            <w:r>
              <w:rPr>
                <w:rFonts w:hint="default" w:ascii="Times New Roman" w:hAnsi="Times New Roman" w:cs="Times New Roman"/>
                <w:sz w:val="24"/>
              </w:rPr>
              <w:t>和L</w:t>
            </w:r>
            <w:r>
              <w:rPr>
                <w:rFonts w:hint="default" w:ascii="Times New Roman" w:hAnsi="Times New Roman" w:cs="Times New Roman"/>
                <w:sz w:val="24"/>
                <w:vertAlign w:val="subscript"/>
              </w:rPr>
              <w:t>P2</w:t>
            </w:r>
            <w:r>
              <w:rPr>
                <w:rFonts w:hint="default" w:ascii="Times New Roman" w:hAnsi="Times New Roman" w:cs="Times New Roman"/>
                <w:sz w:val="24"/>
              </w:rPr>
              <w:t>。若声源所在室内声场为近似扩散声场，则室外的倍频带声压级可按以下计算公式如下：</w:t>
            </w:r>
          </w:p>
          <w:p w14:paraId="56286827">
            <w:pPr>
              <w:keepNext w:val="0"/>
              <w:keepLines w:val="0"/>
              <w:suppressLineNumbers w:val="0"/>
              <w:tabs>
                <w:tab w:val="left" w:pos="900"/>
              </w:tabs>
              <w:spacing w:before="0" w:beforeAutospacing="0" w:after="0" w:afterAutospacing="0" w:line="360" w:lineRule="auto"/>
              <w:ind w:left="0" w:right="0"/>
              <w:jc w:val="center"/>
              <w:rPr>
                <w:rFonts w:hint="default" w:ascii="Times New Roman" w:hAnsi="Times New Roman" w:cs="Times New Roman"/>
                <w:sz w:val="24"/>
              </w:rPr>
            </w:pPr>
            <w:r>
              <w:rPr>
                <w:rFonts w:hint="default" w:ascii="Times New Roman" w:hAnsi="Times New Roman" w:cs="Times New Roman"/>
                <w:sz w:val="24"/>
              </w:rPr>
              <w:drawing>
                <wp:inline distT="0" distB="0" distL="114300" distR="114300">
                  <wp:extent cx="1216025" cy="209550"/>
                  <wp:effectExtent l="0" t="0" r="3175" b="0"/>
                  <wp:docPr id="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2"/>
                          <pic:cNvPicPr>
                            <a:picLocks noChangeAspect="1"/>
                          </pic:cNvPicPr>
                        </pic:nvPicPr>
                        <pic:blipFill>
                          <a:blip r:embed="rId19"/>
                          <a:stretch>
                            <a:fillRect/>
                          </a:stretch>
                        </pic:blipFill>
                        <pic:spPr>
                          <a:xfrm>
                            <a:off x="0" y="0"/>
                            <a:ext cx="1216025" cy="209550"/>
                          </a:xfrm>
                          <a:prstGeom prst="rect">
                            <a:avLst/>
                          </a:prstGeom>
                          <a:noFill/>
                          <a:ln>
                            <a:noFill/>
                          </a:ln>
                        </pic:spPr>
                      </pic:pic>
                    </a:graphicData>
                  </a:graphic>
                </wp:inline>
              </w:drawing>
            </w:r>
          </w:p>
          <w:p w14:paraId="0484715A">
            <w:pPr>
              <w:pStyle w:val="14"/>
              <w:keepNext w:val="0"/>
              <w:keepLines w:val="0"/>
              <w:suppressLineNumbers w:val="0"/>
              <w:spacing w:before="0" w:beforeAutospacing="0" w:after="0" w:afterAutospacing="0" w:line="360" w:lineRule="auto"/>
              <w:ind w:left="0" w:right="0" w:firstLine="482"/>
              <w:jc w:val="left"/>
              <w:rPr>
                <w:rFonts w:hint="default" w:ascii="Times New Roman" w:hAnsi="Times New Roman" w:cs="Times New Roman"/>
                <w:sz w:val="24"/>
                <w:szCs w:val="24"/>
              </w:rPr>
            </w:pPr>
            <w:r>
              <w:rPr>
                <w:rFonts w:hint="default" w:ascii="Times New Roman" w:hAnsi="Times New Roman" w:cs="Times New Roman"/>
                <w:sz w:val="24"/>
                <w:szCs w:val="24"/>
              </w:rPr>
              <w:t>式中：TL——隔墙（或窗户）倍频带的隔声量，dB；</w:t>
            </w:r>
          </w:p>
          <w:p w14:paraId="47D60E6B">
            <w:pPr>
              <w:pStyle w:val="14"/>
              <w:keepNext w:val="0"/>
              <w:keepLines w:val="0"/>
              <w:suppressLineNumbers w:val="0"/>
              <w:spacing w:before="0" w:beforeAutospacing="0" w:after="0" w:afterAutospacing="0" w:line="360" w:lineRule="auto"/>
              <w:ind w:left="0" w:right="0" w:firstLine="482"/>
              <w:jc w:val="left"/>
              <w:rPr>
                <w:rFonts w:hint="default" w:ascii="Times New Roman" w:hAnsi="Times New Roman" w:cs="Times New Roman"/>
                <w:sz w:val="24"/>
                <w:szCs w:val="24"/>
              </w:rPr>
            </w:pPr>
            <w:r>
              <w:rPr>
                <w:rFonts w:hint="default" w:ascii="Times New Roman" w:hAnsi="Times New Roman" w:cs="Times New Roman"/>
                <w:sz w:val="24"/>
                <w:szCs w:val="24"/>
              </w:rPr>
              <w:t>按下式计算某一室内声源靠近围护结构处产生的倍频带声压级：</w:t>
            </w:r>
          </w:p>
          <w:p w14:paraId="16513319">
            <w:pPr>
              <w:keepNext w:val="0"/>
              <w:keepLines w:val="0"/>
              <w:suppressLineNumbers w:val="0"/>
              <w:tabs>
                <w:tab w:val="left" w:pos="900"/>
              </w:tabs>
              <w:spacing w:before="0" w:beforeAutospacing="0" w:after="0" w:afterAutospacing="0" w:line="360" w:lineRule="auto"/>
              <w:ind w:left="0" w:right="0" w:firstLine="480" w:firstLineChars="200"/>
              <w:jc w:val="center"/>
              <w:rPr>
                <w:rFonts w:hint="default" w:ascii="Times New Roman" w:hAnsi="Times New Roman" w:cs="Times New Roman"/>
                <w:sz w:val="24"/>
              </w:rPr>
            </w:pPr>
            <w:r>
              <w:rPr>
                <w:rFonts w:hint="default" w:ascii="Times New Roman" w:hAnsi="Times New Roman" w:cs="Times New Roman"/>
                <w:sz w:val="24"/>
              </w:rPr>
              <w:drawing>
                <wp:inline distT="0" distB="0" distL="114300" distR="114300">
                  <wp:extent cx="1382395" cy="323215"/>
                  <wp:effectExtent l="0" t="0" r="8255" b="635"/>
                  <wp:docPr id="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3"/>
                          <pic:cNvPicPr>
                            <a:picLocks noChangeAspect="1"/>
                          </pic:cNvPicPr>
                        </pic:nvPicPr>
                        <pic:blipFill>
                          <a:blip r:embed="rId20"/>
                          <a:stretch>
                            <a:fillRect/>
                          </a:stretch>
                        </pic:blipFill>
                        <pic:spPr>
                          <a:xfrm>
                            <a:off x="0" y="0"/>
                            <a:ext cx="1382395" cy="323215"/>
                          </a:xfrm>
                          <a:prstGeom prst="rect">
                            <a:avLst/>
                          </a:prstGeom>
                          <a:noFill/>
                          <a:ln>
                            <a:noFill/>
                          </a:ln>
                        </pic:spPr>
                      </pic:pic>
                    </a:graphicData>
                  </a:graphic>
                </wp:inline>
              </w:drawing>
            </w:r>
          </w:p>
          <w:p w14:paraId="28297DC9">
            <w:pPr>
              <w:keepNext w:val="0"/>
              <w:keepLines w:val="0"/>
              <w:suppressLineNumbers w:val="0"/>
              <w:tabs>
                <w:tab w:val="left" w:pos="900"/>
              </w:tabs>
              <w:spacing w:before="0" w:beforeAutospacing="0" w:after="0" w:afterAutospacing="0" w:line="360" w:lineRule="auto"/>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式中：Q——指向性因数，通常对无指向性声源，当声源放在房间中心时，Q=1；当放在一面墙的中心时，Q=2；当放在两面墙夹角处时，Q=4；当放在三面墙夹角处时，Q=8；</w:t>
            </w:r>
          </w:p>
          <w:p w14:paraId="07DE06AF">
            <w:pPr>
              <w:keepNext w:val="0"/>
              <w:keepLines w:val="0"/>
              <w:suppressLineNumbers w:val="0"/>
              <w:tabs>
                <w:tab w:val="left" w:pos="900"/>
              </w:tabs>
              <w:spacing w:before="0" w:beforeAutospacing="0" w:after="0" w:afterAutospacing="0" w:line="360" w:lineRule="auto"/>
              <w:ind w:left="0" w:right="0" w:firstLine="1200" w:firstLineChars="500"/>
              <w:rPr>
                <w:rFonts w:hint="default" w:ascii="Times New Roman" w:hAnsi="Times New Roman" w:cs="Times New Roman"/>
                <w:sz w:val="24"/>
              </w:rPr>
            </w:pPr>
            <w:r>
              <w:rPr>
                <w:rFonts w:hint="default" w:ascii="Times New Roman" w:hAnsi="Times New Roman" w:cs="Times New Roman"/>
                <w:sz w:val="24"/>
              </w:rPr>
              <w:t>R——房间常数，</w:t>
            </w:r>
            <w:r>
              <w:rPr>
                <w:rFonts w:hint="default" w:ascii="Times New Roman" w:hAnsi="Times New Roman" w:cs="Times New Roman"/>
                <w:sz w:val="24"/>
              </w:rPr>
              <w:drawing>
                <wp:inline distT="0" distB="0" distL="114300" distR="114300">
                  <wp:extent cx="944880" cy="161925"/>
                  <wp:effectExtent l="0" t="0" r="7620" b="9525"/>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pic:cNvPicPr>
                        </pic:nvPicPr>
                        <pic:blipFill>
                          <a:blip r:embed="rId21"/>
                          <a:stretch>
                            <a:fillRect/>
                          </a:stretch>
                        </pic:blipFill>
                        <pic:spPr>
                          <a:xfrm>
                            <a:off x="0" y="0"/>
                            <a:ext cx="944880" cy="161925"/>
                          </a:xfrm>
                          <a:prstGeom prst="rect">
                            <a:avLst/>
                          </a:prstGeom>
                          <a:noFill/>
                          <a:ln>
                            <a:noFill/>
                          </a:ln>
                        </pic:spPr>
                      </pic:pic>
                    </a:graphicData>
                  </a:graphic>
                </wp:inline>
              </w:drawing>
            </w:r>
            <w:r>
              <w:rPr>
                <w:rFonts w:hint="default" w:ascii="Times New Roman" w:hAnsi="Times New Roman" w:cs="Times New Roman"/>
                <w:sz w:val="24"/>
              </w:rPr>
              <w:t>；</w:t>
            </w:r>
          </w:p>
          <w:p w14:paraId="62242211">
            <w:pPr>
              <w:keepNext w:val="0"/>
              <w:keepLines w:val="0"/>
              <w:suppressLineNumbers w:val="0"/>
              <w:tabs>
                <w:tab w:val="left" w:pos="900"/>
              </w:tabs>
              <w:spacing w:before="0" w:beforeAutospacing="0" w:after="0" w:afterAutospacing="0" w:line="360" w:lineRule="auto"/>
              <w:ind w:left="0" w:right="0" w:firstLine="1200" w:firstLineChars="500"/>
              <w:rPr>
                <w:rFonts w:hint="default" w:ascii="Times New Roman" w:hAnsi="Times New Roman" w:cs="Times New Roman"/>
                <w:sz w:val="24"/>
              </w:rPr>
            </w:pPr>
            <w:r>
              <w:rPr>
                <w:rFonts w:hint="default" w:ascii="Times New Roman" w:hAnsi="Times New Roman" w:cs="Times New Roman"/>
                <w:sz w:val="24"/>
              </w:rPr>
              <w:t>S——为房间内表面面积，m</w:t>
            </w:r>
            <w:r>
              <w:rPr>
                <w:rFonts w:hint="default" w:ascii="Times New Roman" w:hAnsi="Times New Roman" w:cs="Times New Roman"/>
                <w:sz w:val="24"/>
                <w:vertAlign w:val="superscript"/>
              </w:rPr>
              <w:t>2</w:t>
            </w:r>
            <w:r>
              <w:rPr>
                <w:rFonts w:hint="default" w:ascii="Times New Roman" w:hAnsi="Times New Roman" w:cs="Times New Roman"/>
                <w:sz w:val="24"/>
              </w:rPr>
              <w:t>，α 为平均吸声系数；</w:t>
            </w:r>
          </w:p>
          <w:p w14:paraId="144E166E">
            <w:pPr>
              <w:keepNext w:val="0"/>
              <w:keepLines w:val="0"/>
              <w:suppressLineNumbers w:val="0"/>
              <w:tabs>
                <w:tab w:val="left" w:pos="900"/>
              </w:tabs>
              <w:spacing w:before="0" w:beforeAutospacing="0" w:after="0" w:afterAutospacing="0" w:line="360" w:lineRule="auto"/>
              <w:ind w:left="0" w:right="0" w:firstLine="1200" w:firstLineChars="500"/>
              <w:rPr>
                <w:rFonts w:hint="default" w:ascii="Times New Roman" w:hAnsi="Times New Roman" w:cs="Times New Roman"/>
                <w:sz w:val="24"/>
              </w:rPr>
            </w:pPr>
            <w:r>
              <w:rPr>
                <w:rFonts w:hint="default" w:ascii="Times New Roman" w:hAnsi="Times New Roman" w:cs="Times New Roman"/>
                <w:sz w:val="24"/>
              </w:rPr>
              <w:t>r——声源到靠近围护结构某点处的距离，m。</w:t>
            </w:r>
          </w:p>
          <w:p w14:paraId="31F20533">
            <w:pPr>
              <w:pStyle w:val="14"/>
              <w:keepNext w:val="0"/>
              <w:keepLines w:val="0"/>
              <w:suppressLineNumbers w:val="0"/>
              <w:spacing w:before="0" w:beforeAutospacing="0" w:after="0" w:afterAutospacing="0" w:line="360" w:lineRule="auto"/>
              <w:ind w:left="0" w:right="0" w:firstLine="482"/>
              <w:rPr>
                <w:rFonts w:hint="default" w:ascii="Times New Roman" w:hAnsi="Times New Roman" w:cs="Times New Roman"/>
                <w:sz w:val="24"/>
                <w:szCs w:val="24"/>
              </w:rPr>
            </w:pPr>
            <w:r>
              <w:rPr>
                <w:rFonts w:hint="default" w:ascii="Times New Roman" w:hAnsi="Times New Roman" w:cs="Times New Roman"/>
                <w:sz w:val="24"/>
                <w:szCs w:val="24"/>
              </w:rPr>
              <w:t>然后按下式计算出所有室内声源在围护结构处产生的i倍频带叠加声压级。</w:t>
            </w:r>
          </w:p>
          <w:p w14:paraId="7D9CCB1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24"/>
              </w:rPr>
            </w:pPr>
            <w:r>
              <w:rPr>
                <w:rFonts w:hint="default" w:ascii="Times New Roman" w:hAnsi="Times New Roman" w:cs="Times New Roman"/>
                <w:sz w:val="24"/>
              </w:rPr>
              <w:drawing>
                <wp:inline distT="0" distB="0" distL="114300" distR="114300">
                  <wp:extent cx="1595120" cy="417195"/>
                  <wp:effectExtent l="0" t="0" r="5080" b="1905"/>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pic:cNvPicPr>
                        </pic:nvPicPr>
                        <pic:blipFill>
                          <a:blip r:embed="rId22"/>
                          <a:stretch>
                            <a:fillRect/>
                          </a:stretch>
                        </pic:blipFill>
                        <pic:spPr>
                          <a:xfrm>
                            <a:off x="0" y="0"/>
                            <a:ext cx="1595120" cy="417195"/>
                          </a:xfrm>
                          <a:prstGeom prst="rect">
                            <a:avLst/>
                          </a:prstGeom>
                          <a:noFill/>
                          <a:ln>
                            <a:noFill/>
                          </a:ln>
                        </pic:spPr>
                      </pic:pic>
                    </a:graphicData>
                  </a:graphic>
                </wp:inline>
              </w:drawing>
            </w:r>
          </w:p>
          <w:p w14:paraId="3CD9A4C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式中：L</w:t>
            </w:r>
            <w:r>
              <w:rPr>
                <w:rFonts w:hint="default" w:ascii="Times New Roman" w:hAnsi="Times New Roman" w:cs="Times New Roman"/>
                <w:sz w:val="24"/>
                <w:vertAlign w:val="subscript"/>
              </w:rPr>
              <w:t>P1i</w:t>
            </w:r>
            <w:r>
              <w:rPr>
                <w:rFonts w:hint="default" w:ascii="Times New Roman" w:hAnsi="Times New Roman" w:cs="Times New Roman"/>
                <w:sz w:val="24"/>
              </w:rPr>
              <w:t>——靠近围护结构处室内N个声源i倍频带的叠加声压级，dB；</w:t>
            </w:r>
          </w:p>
          <w:p w14:paraId="2EDE108C">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sz w:val="24"/>
              </w:rPr>
            </w:pPr>
            <w:r>
              <w:rPr>
                <w:rFonts w:hint="default" w:ascii="Times New Roman" w:hAnsi="Times New Roman" w:cs="Times New Roman"/>
                <w:sz w:val="24"/>
              </w:rPr>
              <w:t>L</w:t>
            </w:r>
            <w:r>
              <w:rPr>
                <w:rFonts w:hint="default" w:ascii="Times New Roman" w:hAnsi="Times New Roman" w:cs="Times New Roman"/>
                <w:sz w:val="24"/>
                <w:vertAlign w:val="subscript"/>
              </w:rPr>
              <w:t>P1ij</w:t>
            </w:r>
            <w:r>
              <w:rPr>
                <w:rFonts w:hint="default" w:ascii="Times New Roman" w:hAnsi="Times New Roman" w:cs="Times New Roman"/>
                <w:sz w:val="24"/>
              </w:rPr>
              <w:t>——室内j声源i倍频带的声压级，dB；</w:t>
            </w:r>
          </w:p>
          <w:p w14:paraId="6398EF5D">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sz w:val="24"/>
              </w:rPr>
            </w:pPr>
            <w:r>
              <w:rPr>
                <w:rFonts w:hint="default" w:ascii="Times New Roman" w:hAnsi="Times New Roman" w:cs="Times New Roman"/>
                <w:sz w:val="24"/>
              </w:rPr>
              <w:t>N——室内声源总数。</w:t>
            </w:r>
          </w:p>
          <w:p w14:paraId="59B9851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然后按下式将室外声源的声压级和透过面积换算成等效的室外声源，计算出中心位置位于透声面积（S）处的等效声源的倍频带声功率级。</w:t>
            </w:r>
          </w:p>
          <w:p w14:paraId="599969C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24"/>
              </w:rPr>
            </w:pPr>
            <w:r>
              <w:rPr>
                <w:rFonts w:hint="default" w:ascii="Times New Roman" w:hAnsi="Times New Roman" w:cs="Times New Roman"/>
                <w:sz w:val="24"/>
              </w:rPr>
              <w:drawing>
                <wp:inline distT="0" distB="0" distL="114300" distR="114300">
                  <wp:extent cx="1299210" cy="211455"/>
                  <wp:effectExtent l="0" t="0" r="15240" b="17145"/>
                  <wp:docPr id="1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6"/>
                          <pic:cNvPicPr>
                            <a:picLocks noChangeAspect="1"/>
                          </pic:cNvPicPr>
                        </pic:nvPicPr>
                        <pic:blipFill>
                          <a:blip r:embed="rId23"/>
                          <a:stretch>
                            <a:fillRect/>
                          </a:stretch>
                        </pic:blipFill>
                        <pic:spPr>
                          <a:xfrm>
                            <a:off x="0" y="0"/>
                            <a:ext cx="1299210" cy="211455"/>
                          </a:xfrm>
                          <a:prstGeom prst="rect">
                            <a:avLst/>
                          </a:prstGeom>
                          <a:noFill/>
                          <a:ln>
                            <a:noFill/>
                          </a:ln>
                        </pic:spPr>
                      </pic:pic>
                    </a:graphicData>
                  </a:graphic>
                </wp:inline>
              </w:drawing>
            </w:r>
          </w:p>
          <w:p w14:paraId="23A85DB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然后按室外声源预测方法计算预测点处的 A声级。</w:t>
            </w:r>
          </w:p>
          <w:p w14:paraId="5A11513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eastAsia" w:ascii="Times New Roman" w:hAnsi="Times New Roman" w:cs="Times New Roman"/>
                <w:sz w:val="24"/>
              </w:rPr>
              <w:t>2）</w:t>
            </w:r>
            <w:r>
              <w:rPr>
                <w:rFonts w:hint="default" w:ascii="Times New Roman" w:hAnsi="Times New Roman" w:cs="Times New Roman"/>
                <w:sz w:val="24"/>
              </w:rPr>
              <w:t>噪声贡献值计算</w:t>
            </w:r>
          </w:p>
          <w:p w14:paraId="16AFD69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设第i个室外声源在预测点产生的A声级为L</w:t>
            </w:r>
            <w:r>
              <w:rPr>
                <w:rFonts w:hint="default" w:ascii="Times New Roman" w:hAnsi="Times New Roman" w:cs="Times New Roman"/>
                <w:sz w:val="24"/>
                <w:vertAlign w:val="subscript"/>
              </w:rPr>
              <w:t>Ai</w:t>
            </w:r>
            <w:r>
              <w:rPr>
                <w:rFonts w:hint="default" w:ascii="Times New Roman" w:hAnsi="Times New Roman" w:cs="Times New Roman"/>
                <w:sz w:val="24"/>
              </w:rPr>
              <w:t>，在T时间内该声源工作时间为t</w:t>
            </w:r>
            <w:r>
              <w:rPr>
                <w:rFonts w:hint="default" w:ascii="Times New Roman" w:hAnsi="Times New Roman" w:cs="Times New Roman"/>
                <w:sz w:val="24"/>
                <w:vertAlign w:val="subscript"/>
              </w:rPr>
              <w:t>i</w:t>
            </w:r>
            <w:r>
              <w:rPr>
                <w:rFonts w:hint="default" w:ascii="Times New Roman" w:hAnsi="Times New Roman" w:cs="Times New Roman"/>
                <w:sz w:val="24"/>
              </w:rPr>
              <w:t>；第j个等效室外声源在预测点产生的A声级为L</w:t>
            </w:r>
            <w:r>
              <w:rPr>
                <w:rFonts w:hint="default" w:ascii="Times New Roman" w:hAnsi="Times New Roman" w:cs="Times New Roman"/>
                <w:sz w:val="24"/>
                <w:vertAlign w:val="subscript"/>
              </w:rPr>
              <w:t>Aj</w:t>
            </w:r>
            <w:r>
              <w:rPr>
                <w:rFonts w:hint="default" w:ascii="Times New Roman" w:hAnsi="Times New Roman" w:cs="Times New Roman"/>
                <w:sz w:val="24"/>
              </w:rPr>
              <w:t>，在T时间内该声源工作时间为t</w:t>
            </w:r>
            <w:r>
              <w:rPr>
                <w:rFonts w:hint="default" w:ascii="Times New Roman" w:hAnsi="Times New Roman" w:cs="Times New Roman"/>
                <w:sz w:val="24"/>
                <w:vertAlign w:val="subscript"/>
              </w:rPr>
              <w:t>j</w:t>
            </w:r>
            <w:r>
              <w:rPr>
                <w:rFonts w:hint="default" w:ascii="Times New Roman" w:hAnsi="Times New Roman" w:cs="Times New Roman"/>
                <w:sz w:val="24"/>
              </w:rPr>
              <w:t>，则拟建工程声源对预测点产生的贡献值（Leqg）为：</w:t>
            </w:r>
          </w:p>
          <w:p w14:paraId="1B2144A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24"/>
              </w:rPr>
            </w:pPr>
            <w:r>
              <w:rPr>
                <w:rFonts w:hint="default" w:ascii="Times New Roman" w:hAnsi="Times New Roman" w:cs="Times New Roman"/>
                <w:sz w:val="24"/>
              </w:rPr>
              <w:drawing>
                <wp:inline distT="0" distB="0" distL="114300" distR="114300">
                  <wp:extent cx="2362835" cy="423545"/>
                  <wp:effectExtent l="0" t="0" r="18415" b="14605"/>
                  <wp:docPr id="1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7"/>
                          <pic:cNvPicPr>
                            <a:picLocks noChangeAspect="1"/>
                          </pic:cNvPicPr>
                        </pic:nvPicPr>
                        <pic:blipFill>
                          <a:blip r:embed="rId24"/>
                          <a:stretch>
                            <a:fillRect/>
                          </a:stretch>
                        </pic:blipFill>
                        <pic:spPr>
                          <a:xfrm>
                            <a:off x="0" y="0"/>
                            <a:ext cx="2362835" cy="423545"/>
                          </a:xfrm>
                          <a:prstGeom prst="rect">
                            <a:avLst/>
                          </a:prstGeom>
                          <a:noFill/>
                          <a:ln>
                            <a:noFill/>
                          </a:ln>
                        </pic:spPr>
                      </pic:pic>
                    </a:graphicData>
                  </a:graphic>
                </wp:inline>
              </w:drawing>
            </w:r>
          </w:p>
          <w:p w14:paraId="6445EE5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式中：t</w:t>
            </w:r>
            <w:r>
              <w:rPr>
                <w:rFonts w:hint="default" w:ascii="Times New Roman" w:hAnsi="Times New Roman" w:cs="Times New Roman"/>
                <w:sz w:val="24"/>
                <w:vertAlign w:val="subscript"/>
              </w:rPr>
              <w:t>j</w:t>
            </w:r>
            <w:r>
              <w:rPr>
                <w:rFonts w:hint="default" w:ascii="Times New Roman" w:hAnsi="Times New Roman" w:cs="Times New Roman"/>
                <w:sz w:val="24"/>
              </w:rPr>
              <w:t>——在T时间内j声源工作时间，s；</w:t>
            </w:r>
          </w:p>
          <w:p w14:paraId="16229A8F">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sz w:val="24"/>
              </w:rPr>
            </w:pPr>
            <w:r>
              <w:rPr>
                <w:rFonts w:hint="default" w:ascii="Times New Roman" w:hAnsi="Times New Roman" w:cs="Times New Roman"/>
                <w:sz w:val="24"/>
              </w:rPr>
              <w:t>t</w:t>
            </w:r>
            <w:r>
              <w:rPr>
                <w:rFonts w:hint="default" w:ascii="Times New Roman" w:hAnsi="Times New Roman" w:cs="Times New Roman"/>
                <w:sz w:val="24"/>
                <w:vertAlign w:val="subscript"/>
              </w:rPr>
              <w:t>i</w:t>
            </w:r>
            <w:r>
              <w:rPr>
                <w:rFonts w:hint="default" w:ascii="Times New Roman" w:hAnsi="Times New Roman" w:cs="Times New Roman"/>
                <w:sz w:val="24"/>
              </w:rPr>
              <w:t>——在T时间内i声源工作时间，s；</w:t>
            </w:r>
          </w:p>
          <w:p w14:paraId="5B56A3C3">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sz w:val="24"/>
              </w:rPr>
            </w:pPr>
            <w:r>
              <w:rPr>
                <w:rFonts w:hint="default" w:ascii="Times New Roman" w:hAnsi="Times New Roman" w:cs="Times New Roman"/>
                <w:sz w:val="24"/>
              </w:rPr>
              <w:t>T——用于计算等效声级的时间，s；</w:t>
            </w:r>
          </w:p>
          <w:p w14:paraId="320971D4">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sz w:val="24"/>
              </w:rPr>
            </w:pPr>
            <w:r>
              <w:rPr>
                <w:rFonts w:hint="default" w:ascii="Times New Roman" w:hAnsi="Times New Roman" w:cs="Times New Roman"/>
                <w:sz w:val="24"/>
              </w:rPr>
              <w:t>N——室外声源个数；</w:t>
            </w:r>
          </w:p>
          <w:p w14:paraId="603C822D">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sz w:val="24"/>
              </w:rPr>
            </w:pPr>
            <w:r>
              <w:rPr>
                <w:rFonts w:hint="default" w:ascii="Times New Roman" w:hAnsi="Times New Roman" w:cs="Times New Roman"/>
                <w:sz w:val="24"/>
              </w:rPr>
              <w:t>M——等效室外声源个数。</w:t>
            </w:r>
          </w:p>
          <w:p w14:paraId="4110AA2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（2）预测结果</w:t>
            </w:r>
          </w:p>
          <w:p w14:paraId="1E6DD5AD">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黑体"/>
                <w:sz w:val="24"/>
              </w:rPr>
            </w:pPr>
            <w:r>
              <w:rPr>
                <w:rFonts w:hint="eastAsia"/>
                <w:sz w:val="24"/>
              </w:rPr>
              <w:t>运营期间，企业昼间进行生产活动，运营期噪声预测结果须考虑昼间</w:t>
            </w:r>
            <w:r>
              <w:rPr>
                <w:rFonts w:hint="default"/>
                <w:sz w:val="24"/>
              </w:rPr>
              <w:t>，预测中同时考虑其他因素引起的衰减。预测</w:t>
            </w:r>
            <w:r>
              <w:rPr>
                <w:rFonts w:hint="eastAsia"/>
                <w:sz w:val="24"/>
              </w:rPr>
              <w:t>结果</w:t>
            </w:r>
            <w:r>
              <w:rPr>
                <w:rFonts w:hint="default"/>
                <w:sz w:val="24"/>
              </w:rPr>
              <w:t>见</w:t>
            </w:r>
            <w:r>
              <w:rPr>
                <w:rFonts w:hint="eastAsia"/>
                <w:sz w:val="24"/>
              </w:rPr>
              <w:t>下</w:t>
            </w:r>
            <w:r>
              <w:rPr>
                <w:rFonts w:hint="default"/>
                <w:sz w:val="24"/>
              </w:rPr>
              <w:t>表</w:t>
            </w:r>
            <w:r>
              <w:rPr>
                <w:rFonts w:hint="eastAsia"/>
                <w:sz w:val="24"/>
              </w:rPr>
              <w:t>。</w:t>
            </w:r>
          </w:p>
          <w:p w14:paraId="47D2B358">
            <w:pPr>
              <w:keepNext w:val="0"/>
              <w:keepLines w:val="0"/>
              <w:suppressLineNumbers w:val="0"/>
              <w:spacing w:before="0" w:beforeAutospacing="0" w:after="0" w:afterAutospacing="0"/>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表4-</w:t>
            </w:r>
            <w:r>
              <w:rPr>
                <w:rFonts w:hint="eastAsia" w:cs="Times New Roman"/>
                <w:b/>
                <w:sz w:val="24"/>
                <w:szCs w:val="24"/>
                <w:lang w:val="en-US" w:eastAsia="zh-CN"/>
              </w:rPr>
              <w:t>8</w:t>
            </w:r>
            <w:r>
              <w:rPr>
                <w:rFonts w:hint="eastAsia" w:ascii="Times New Roman" w:hAnsi="Times New Roman" w:cs="Times New Roman"/>
                <w:b/>
                <w:sz w:val="24"/>
                <w:szCs w:val="24"/>
              </w:rPr>
              <w:t xml:space="preserve"> </w:t>
            </w:r>
            <w:r>
              <w:rPr>
                <w:rFonts w:hint="default" w:ascii="Times New Roman" w:hAnsi="Times New Roman" w:cs="Times New Roman"/>
                <w:b/>
                <w:sz w:val="24"/>
                <w:szCs w:val="24"/>
              </w:rPr>
              <w:t xml:space="preserve"> 噪声影响预测结果  单位:dB（A）</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Layout w:type="autofit"/>
              <w:tblCellMar>
                <w:top w:w="0" w:type="dxa"/>
                <w:left w:w="108" w:type="dxa"/>
                <w:bottom w:w="0" w:type="dxa"/>
                <w:right w:w="108" w:type="dxa"/>
              </w:tblCellMar>
            </w:tblPr>
            <w:tblGrid>
              <w:gridCol w:w="363"/>
              <w:gridCol w:w="1189"/>
              <w:gridCol w:w="686"/>
              <w:gridCol w:w="693"/>
              <w:gridCol w:w="687"/>
              <w:gridCol w:w="697"/>
              <w:gridCol w:w="689"/>
              <w:gridCol w:w="692"/>
              <w:gridCol w:w="699"/>
              <w:gridCol w:w="679"/>
              <w:gridCol w:w="735"/>
              <w:gridCol w:w="647"/>
            </w:tblGrid>
            <w:tr w14:paraId="1141E1B7">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26" w:hRule="atLeast"/>
                <w:jc w:val="center"/>
              </w:trPr>
              <w:tc>
                <w:tcPr>
                  <w:tcW w:w="215" w:type="pct"/>
                  <w:vMerge w:val="restart"/>
                  <w:tcBorders>
                    <w:tl2br w:val="nil"/>
                    <w:tr2bl w:val="nil"/>
                  </w:tcBorders>
                  <w:noWrap w:val="0"/>
                  <w:vAlign w:val="center"/>
                </w:tcPr>
                <w:p w14:paraId="19EBB5F9">
                  <w:pPr>
                    <w:keepNext w:val="0"/>
                    <w:keepLines w:val="0"/>
                    <w:suppressLineNumbers w:val="0"/>
                    <w:tabs>
                      <w:tab w:val="left" w:pos="3600"/>
                      <w:tab w:val="left" w:pos="4320"/>
                    </w:tabs>
                    <w:adjustRightInd w:val="0"/>
                    <w:snapToGrid w:val="0"/>
                    <w:spacing w:before="0" w:beforeAutospacing="0" w:after="0" w:afterAutospacing="0" w:line="320" w:lineRule="exact"/>
                    <w:ind w:left="-105" w:leftChars="-50" w:right="-105" w:rightChars="-50"/>
                    <w:jc w:val="center"/>
                    <w:rPr>
                      <w:rFonts w:hint="default"/>
                      <w:b/>
                      <w:sz w:val="21"/>
                      <w:szCs w:val="21"/>
                    </w:rPr>
                  </w:pPr>
                  <w:r>
                    <w:rPr>
                      <w:rFonts w:hint="default"/>
                      <w:b/>
                      <w:sz w:val="21"/>
                      <w:szCs w:val="21"/>
                    </w:rPr>
                    <w:t>测点</w:t>
                  </w:r>
                </w:p>
                <w:p w14:paraId="11BEB8D5">
                  <w:pPr>
                    <w:keepNext w:val="0"/>
                    <w:keepLines w:val="0"/>
                    <w:suppressLineNumbers w:val="0"/>
                    <w:tabs>
                      <w:tab w:val="left" w:pos="3600"/>
                      <w:tab w:val="left" w:pos="4320"/>
                    </w:tabs>
                    <w:adjustRightInd w:val="0"/>
                    <w:snapToGrid w:val="0"/>
                    <w:spacing w:before="0" w:beforeAutospacing="0" w:after="0" w:afterAutospacing="0" w:line="320" w:lineRule="exact"/>
                    <w:ind w:left="-105" w:leftChars="-50" w:right="-105" w:rightChars="-50"/>
                    <w:jc w:val="center"/>
                    <w:rPr>
                      <w:rFonts w:hint="default"/>
                      <w:b/>
                      <w:sz w:val="21"/>
                      <w:szCs w:val="21"/>
                    </w:rPr>
                  </w:pPr>
                  <w:r>
                    <w:rPr>
                      <w:rFonts w:hint="default"/>
                      <w:b/>
                      <w:sz w:val="21"/>
                      <w:szCs w:val="21"/>
                    </w:rPr>
                    <w:t>编号</w:t>
                  </w:r>
                </w:p>
              </w:tc>
              <w:tc>
                <w:tcPr>
                  <w:tcW w:w="703" w:type="pct"/>
                  <w:vMerge w:val="restart"/>
                  <w:tcBorders>
                    <w:tl2br w:val="nil"/>
                    <w:tr2bl w:val="nil"/>
                  </w:tcBorders>
                  <w:noWrap w:val="0"/>
                  <w:vAlign w:val="center"/>
                </w:tcPr>
                <w:p w14:paraId="1A2AFCAB">
                  <w:pPr>
                    <w:keepNext w:val="0"/>
                    <w:keepLines w:val="0"/>
                    <w:suppressLineNumbers w:val="0"/>
                    <w:tabs>
                      <w:tab w:val="left" w:pos="3600"/>
                      <w:tab w:val="left" w:pos="4320"/>
                    </w:tabs>
                    <w:adjustRightInd w:val="0"/>
                    <w:snapToGrid w:val="0"/>
                    <w:spacing w:before="0" w:beforeAutospacing="0" w:after="0" w:afterAutospacing="0" w:line="320" w:lineRule="exact"/>
                    <w:ind w:left="-105" w:leftChars="-50" w:right="-105" w:rightChars="-50"/>
                    <w:jc w:val="center"/>
                    <w:rPr>
                      <w:rFonts w:hint="default"/>
                      <w:b/>
                      <w:sz w:val="21"/>
                      <w:szCs w:val="21"/>
                    </w:rPr>
                  </w:pPr>
                  <w:r>
                    <w:rPr>
                      <w:rFonts w:hint="default"/>
                      <w:b/>
                      <w:sz w:val="21"/>
                      <w:szCs w:val="21"/>
                    </w:rPr>
                    <w:t>测点位置</w:t>
                  </w:r>
                </w:p>
              </w:tc>
              <w:tc>
                <w:tcPr>
                  <w:tcW w:w="816" w:type="pct"/>
                  <w:gridSpan w:val="2"/>
                  <w:tcBorders>
                    <w:tl2br w:val="nil"/>
                    <w:tr2bl w:val="nil"/>
                  </w:tcBorders>
                  <w:noWrap w:val="0"/>
                  <w:vAlign w:val="center"/>
                </w:tcPr>
                <w:p w14:paraId="44796FF2">
                  <w:pPr>
                    <w:keepNext w:val="0"/>
                    <w:keepLines w:val="0"/>
                    <w:suppressLineNumbers w:val="0"/>
                    <w:adjustRightInd w:val="0"/>
                    <w:snapToGrid w:val="0"/>
                    <w:spacing w:before="0" w:beforeAutospacing="0" w:after="0" w:afterAutospacing="0"/>
                    <w:ind w:left="0" w:right="0"/>
                    <w:jc w:val="center"/>
                    <w:textAlignment w:val="bottom"/>
                    <w:rPr>
                      <w:rFonts w:hint="eastAsia"/>
                      <w:b/>
                      <w:bCs/>
                      <w:kern w:val="0"/>
                      <w:sz w:val="21"/>
                      <w:szCs w:val="21"/>
                    </w:rPr>
                  </w:pPr>
                  <w:r>
                    <w:rPr>
                      <w:rFonts w:hint="eastAsia"/>
                      <w:b/>
                      <w:bCs/>
                      <w:kern w:val="0"/>
                      <w:sz w:val="21"/>
                      <w:szCs w:val="21"/>
                    </w:rPr>
                    <w:t>噪声现状</w:t>
                  </w:r>
                  <w:r>
                    <w:rPr>
                      <w:rFonts w:hint="default"/>
                      <w:b/>
                      <w:bCs/>
                      <w:kern w:val="0"/>
                      <w:sz w:val="21"/>
                      <w:szCs w:val="21"/>
                    </w:rPr>
                    <w:t>值</w:t>
                  </w:r>
                  <w:r>
                    <w:rPr>
                      <w:rFonts w:hint="eastAsia"/>
                      <w:b/>
                      <w:bCs/>
                      <w:kern w:val="0"/>
                      <w:sz w:val="21"/>
                      <w:szCs w:val="21"/>
                    </w:rPr>
                    <w:t>（</w:t>
                  </w:r>
                  <w:r>
                    <w:rPr>
                      <w:rFonts w:hint="eastAsia"/>
                      <w:b/>
                      <w:bCs/>
                      <w:sz w:val="21"/>
                      <w:szCs w:val="21"/>
                    </w:rPr>
                    <w:t>dB</w:t>
                  </w:r>
                  <w:r>
                    <w:rPr>
                      <w:rFonts w:hint="eastAsia"/>
                      <w:b/>
                      <w:bCs/>
                      <w:kern w:val="0"/>
                      <w:sz w:val="21"/>
                      <w:szCs w:val="21"/>
                    </w:rPr>
                    <w:t>）</w:t>
                  </w:r>
                </w:p>
              </w:tc>
              <w:tc>
                <w:tcPr>
                  <w:tcW w:w="818" w:type="pct"/>
                  <w:gridSpan w:val="2"/>
                  <w:tcBorders>
                    <w:tl2br w:val="nil"/>
                    <w:tr2bl w:val="nil"/>
                  </w:tcBorders>
                  <w:noWrap w:val="0"/>
                  <w:vAlign w:val="center"/>
                </w:tcPr>
                <w:p w14:paraId="0FC4AFE9">
                  <w:pPr>
                    <w:keepNext w:val="0"/>
                    <w:keepLines w:val="0"/>
                    <w:suppressLineNumbers w:val="0"/>
                    <w:adjustRightInd w:val="0"/>
                    <w:snapToGrid w:val="0"/>
                    <w:spacing w:before="0" w:beforeAutospacing="0" w:after="0" w:afterAutospacing="0"/>
                    <w:ind w:left="0" w:right="0"/>
                    <w:jc w:val="center"/>
                    <w:textAlignment w:val="bottom"/>
                    <w:rPr>
                      <w:rFonts w:hint="eastAsia"/>
                      <w:b/>
                      <w:bCs/>
                      <w:kern w:val="0"/>
                      <w:sz w:val="21"/>
                      <w:szCs w:val="21"/>
                    </w:rPr>
                  </w:pPr>
                  <w:r>
                    <w:rPr>
                      <w:rFonts w:hint="eastAsia"/>
                      <w:b/>
                      <w:bCs/>
                      <w:kern w:val="0"/>
                      <w:sz w:val="21"/>
                      <w:szCs w:val="21"/>
                    </w:rPr>
                    <w:t>噪声</w:t>
                  </w:r>
                  <w:r>
                    <w:rPr>
                      <w:rFonts w:hint="default"/>
                      <w:b/>
                      <w:bCs/>
                      <w:kern w:val="0"/>
                      <w:sz w:val="21"/>
                      <w:szCs w:val="21"/>
                    </w:rPr>
                    <w:t>贡献值</w:t>
                  </w:r>
                  <w:r>
                    <w:rPr>
                      <w:rFonts w:hint="eastAsia"/>
                      <w:b/>
                      <w:bCs/>
                      <w:kern w:val="0"/>
                      <w:sz w:val="21"/>
                      <w:szCs w:val="21"/>
                    </w:rPr>
                    <w:t>（</w:t>
                  </w:r>
                  <w:r>
                    <w:rPr>
                      <w:rFonts w:hint="eastAsia"/>
                      <w:b/>
                      <w:bCs/>
                      <w:sz w:val="21"/>
                      <w:szCs w:val="21"/>
                    </w:rPr>
                    <w:t>dB</w:t>
                  </w:r>
                  <w:r>
                    <w:rPr>
                      <w:rFonts w:hint="eastAsia"/>
                      <w:b/>
                      <w:bCs/>
                      <w:kern w:val="0"/>
                      <w:sz w:val="21"/>
                      <w:szCs w:val="21"/>
                    </w:rPr>
                    <w:t>）</w:t>
                  </w:r>
                </w:p>
              </w:tc>
              <w:tc>
                <w:tcPr>
                  <w:tcW w:w="814" w:type="pct"/>
                  <w:gridSpan w:val="2"/>
                  <w:tcBorders>
                    <w:tl2br w:val="nil"/>
                    <w:tr2bl w:val="nil"/>
                  </w:tcBorders>
                  <w:noWrap w:val="0"/>
                  <w:vAlign w:val="center"/>
                </w:tcPr>
                <w:p w14:paraId="3ED182D2">
                  <w:pPr>
                    <w:keepNext w:val="0"/>
                    <w:keepLines w:val="0"/>
                    <w:suppressLineNumbers w:val="0"/>
                    <w:adjustRightInd w:val="0"/>
                    <w:snapToGrid w:val="0"/>
                    <w:spacing w:before="0" w:beforeAutospacing="0" w:after="0" w:afterAutospacing="0"/>
                    <w:ind w:left="0" w:right="0"/>
                    <w:jc w:val="center"/>
                    <w:textAlignment w:val="bottom"/>
                    <w:rPr>
                      <w:rFonts w:hint="eastAsia"/>
                      <w:b/>
                      <w:sz w:val="21"/>
                      <w:szCs w:val="21"/>
                    </w:rPr>
                  </w:pPr>
                  <w:r>
                    <w:rPr>
                      <w:rFonts w:hint="eastAsia"/>
                      <w:b/>
                      <w:bCs/>
                      <w:kern w:val="0"/>
                      <w:sz w:val="21"/>
                      <w:szCs w:val="21"/>
                    </w:rPr>
                    <w:t>噪声预测</w:t>
                  </w:r>
                  <w:r>
                    <w:rPr>
                      <w:rFonts w:hint="default"/>
                      <w:b/>
                      <w:bCs/>
                      <w:kern w:val="0"/>
                      <w:sz w:val="21"/>
                      <w:szCs w:val="21"/>
                    </w:rPr>
                    <w:t>值</w:t>
                  </w:r>
                  <w:r>
                    <w:rPr>
                      <w:rFonts w:hint="eastAsia"/>
                      <w:b/>
                      <w:bCs/>
                      <w:kern w:val="0"/>
                      <w:sz w:val="21"/>
                      <w:szCs w:val="21"/>
                    </w:rPr>
                    <w:t>（</w:t>
                  </w:r>
                  <w:r>
                    <w:rPr>
                      <w:rFonts w:hint="eastAsia"/>
                      <w:b/>
                      <w:bCs/>
                      <w:sz w:val="21"/>
                      <w:szCs w:val="21"/>
                    </w:rPr>
                    <w:t>dB</w:t>
                  </w:r>
                  <w:r>
                    <w:rPr>
                      <w:rFonts w:hint="eastAsia"/>
                      <w:b/>
                      <w:bCs/>
                      <w:kern w:val="0"/>
                      <w:sz w:val="21"/>
                      <w:szCs w:val="21"/>
                    </w:rPr>
                    <w:t>）</w:t>
                  </w:r>
                </w:p>
              </w:tc>
              <w:tc>
                <w:tcPr>
                  <w:tcW w:w="814" w:type="pct"/>
                  <w:gridSpan w:val="2"/>
                  <w:tcBorders>
                    <w:tl2br w:val="nil"/>
                    <w:tr2bl w:val="nil"/>
                  </w:tcBorders>
                  <w:noWrap w:val="0"/>
                  <w:vAlign w:val="center"/>
                </w:tcPr>
                <w:p w14:paraId="462DEE8A">
                  <w:pPr>
                    <w:keepNext w:val="0"/>
                    <w:keepLines w:val="0"/>
                    <w:suppressLineNumbers w:val="0"/>
                    <w:adjustRightInd w:val="0"/>
                    <w:snapToGrid w:val="0"/>
                    <w:spacing w:before="0" w:beforeAutospacing="0" w:after="0" w:afterAutospacing="0"/>
                    <w:ind w:left="0" w:right="0"/>
                    <w:jc w:val="center"/>
                    <w:textAlignment w:val="bottom"/>
                    <w:rPr>
                      <w:rFonts w:hint="eastAsia"/>
                      <w:b/>
                      <w:sz w:val="21"/>
                      <w:szCs w:val="21"/>
                    </w:rPr>
                  </w:pPr>
                  <w:r>
                    <w:rPr>
                      <w:rFonts w:hint="default"/>
                      <w:b/>
                      <w:bCs/>
                      <w:kern w:val="0"/>
                      <w:sz w:val="21"/>
                      <w:szCs w:val="21"/>
                    </w:rPr>
                    <w:t>评价标准</w:t>
                  </w:r>
                  <w:r>
                    <w:rPr>
                      <w:rFonts w:hint="eastAsia"/>
                      <w:b/>
                      <w:bCs/>
                      <w:kern w:val="0"/>
                      <w:sz w:val="21"/>
                      <w:szCs w:val="21"/>
                    </w:rPr>
                    <w:t>（</w:t>
                  </w:r>
                  <w:r>
                    <w:rPr>
                      <w:rFonts w:hint="eastAsia"/>
                      <w:b/>
                      <w:bCs/>
                      <w:sz w:val="21"/>
                      <w:szCs w:val="21"/>
                    </w:rPr>
                    <w:t>dB</w:t>
                  </w:r>
                  <w:r>
                    <w:rPr>
                      <w:rFonts w:hint="eastAsia"/>
                      <w:b/>
                      <w:bCs/>
                      <w:kern w:val="0"/>
                      <w:sz w:val="21"/>
                      <w:szCs w:val="21"/>
                    </w:rPr>
                    <w:t>）</w:t>
                  </w:r>
                </w:p>
              </w:tc>
              <w:tc>
                <w:tcPr>
                  <w:tcW w:w="816" w:type="pct"/>
                  <w:gridSpan w:val="2"/>
                  <w:tcBorders>
                    <w:tl2br w:val="nil"/>
                    <w:tr2bl w:val="nil"/>
                  </w:tcBorders>
                  <w:noWrap w:val="0"/>
                  <w:vAlign w:val="center"/>
                </w:tcPr>
                <w:p w14:paraId="6940AB71">
                  <w:pPr>
                    <w:keepNext w:val="0"/>
                    <w:keepLines w:val="0"/>
                    <w:suppressLineNumbers w:val="0"/>
                    <w:adjustRightInd w:val="0"/>
                    <w:snapToGrid w:val="0"/>
                    <w:spacing w:before="0" w:beforeAutospacing="0" w:after="0" w:afterAutospacing="0"/>
                    <w:ind w:left="0" w:right="0"/>
                    <w:jc w:val="center"/>
                    <w:textAlignment w:val="bottom"/>
                    <w:rPr>
                      <w:rFonts w:hint="eastAsia"/>
                      <w:b/>
                      <w:sz w:val="21"/>
                      <w:szCs w:val="21"/>
                    </w:rPr>
                  </w:pPr>
                  <w:r>
                    <w:rPr>
                      <w:rFonts w:hint="eastAsia"/>
                      <w:b/>
                      <w:bCs/>
                      <w:kern w:val="0"/>
                      <w:sz w:val="21"/>
                      <w:szCs w:val="21"/>
                    </w:rPr>
                    <w:t>超标和</w:t>
                  </w:r>
                  <w:r>
                    <w:rPr>
                      <w:rFonts w:hint="default"/>
                      <w:b/>
                      <w:bCs/>
                      <w:kern w:val="0"/>
                      <w:sz w:val="21"/>
                      <w:szCs w:val="21"/>
                    </w:rPr>
                    <w:t>达标情况</w:t>
                  </w:r>
                </w:p>
              </w:tc>
            </w:tr>
            <w:tr w14:paraId="5DD0ABE3">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704" w:hRule="atLeast"/>
                <w:jc w:val="center"/>
              </w:trPr>
              <w:tc>
                <w:tcPr>
                  <w:tcW w:w="215" w:type="pct"/>
                  <w:vMerge w:val="continue"/>
                  <w:tcBorders>
                    <w:tl2br w:val="nil"/>
                    <w:tr2bl w:val="nil"/>
                  </w:tcBorders>
                  <w:noWrap w:val="0"/>
                  <w:vAlign w:val="center"/>
                </w:tcPr>
                <w:p w14:paraId="33EC18C9">
                  <w:pPr>
                    <w:keepNext w:val="0"/>
                    <w:keepLines w:val="0"/>
                    <w:suppressLineNumbers w:val="0"/>
                    <w:tabs>
                      <w:tab w:val="left" w:pos="3600"/>
                      <w:tab w:val="left" w:pos="4320"/>
                    </w:tabs>
                    <w:adjustRightInd w:val="0"/>
                    <w:snapToGrid w:val="0"/>
                    <w:spacing w:before="0" w:beforeAutospacing="0" w:after="0" w:afterAutospacing="0" w:line="320" w:lineRule="exact"/>
                    <w:ind w:left="-105" w:leftChars="-50" w:right="-105" w:rightChars="-50"/>
                    <w:jc w:val="center"/>
                    <w:rPr>
                      <w:rFonts w:hint="default"/>
                      <w:b/>
                      <w:sz w:val="21"/>
                      <w:szCs w:val="21"/>
                    </w:rPr>
                  </w:pPr>
                </w:p>
              </w:tc>
              <w:tc>
                <w:tcPr>
                  <w:tcW w:w="703" w:type="pct"/>
                  <w:vMerge w:val="continue"/>
                  <w:tcBorders>
                    <w:tl2br w:val="nil"/>
                    <w:tr2bl w:val="nil"/>
                  </w:tcBorders>
                  <w:noWrap w:val="0"/>
                  <w:vAlign w:val="center"/>
                </w:tcPr>
                <w:p w14:paraId="0C499C1A">
                  <w:pPr>
                    <w:keepNext w:val="0"/>
                    <w:keepLines w:val="0"/>
                    <w:suppressLineNumbers w:val="0"/>
                    <w:tabs>
                      <w:tab w:val="left" w:pos="3600"/>
                      <w:tab w:val="left" w:pos="4320"/>
                    </w:tabs>
                    <w:adjustRightInd w:val="0"/>
                    <w:snapToGrid w:val="0"/>
                    <w:spacing w:before="0" w:beforeAutospacing="0" w:after="0" w:afterAutospacing="0" w:line="320" w:lineRule="exact"/>
                    <w:ind w:left="-105" w:leftChars="-50" w:right="-105" w:rightChars="-50"/>
                    <w:jc w:val="center"/>
                    <w:rPr>
                      <w:rFonts w:hint="default"/>
                      <w:b/>
                      <w:sz w:val="21"/>
                      <w:szCs w:val="21"/>
                    </w:rPr>
                  </w:pPr>
                </w:p>
              </w:tc>
              <w:tc>
                <w:tcPr>
                  <w:tcW w:w="406" w:type="pct"/>
                  <w:tcBorders>
                    <w:tl2br w:val="nil"/>
                    <w:tr2bl w:val="nil"/>
                  </w:tcBorders>
                  <w:noWrap w:val="0"/>
                  <w:vAlign w:val="center"/>
                </w:tcPr>
                <w:p w14:paraId="27A077DC">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b/>
                      <w:bCs/>
                      <w:kern w:val="0"/>
                      <w:sz w:val="21"/>
                      <w:szCs w:val="21"/>
                    </w:rPr>
                  </w:pPr>
                  <w:r>
                    <w:rPr>
                      <w:rFonts w:hint="default"/>
                      <w:b/>
                      <w:bCs/>
                      <w:kern w:val="0"/>
                      <w:sz w:val="21"/>
                      <w:szCs w:val="21"/>
                    </w:rPr>
                    <w:t>昼间</w:t>
                  </w:r>
                </w:p>
              </w:tc>
              <w:tc>
                <w:tcPr>
                  <w:tcW w:w="410" w:type="pct"/>
                  <w:tcBorders>
                    <w:tl2br w:val="nil"/>
                    <w:tr2bl w:val="nil"/>
                  </w:tcBorders>
                  <w:noWrap w:val="0"/>
                  <w:vAlign w:val="center"/>
                </w:tcPr>
                <w:p w14:paraId="62B52766">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b/>
                      <w:bCs/>
                      <w:kern w:val="0"/>
                      <w:sz w:val="21"/>
                      <w:szCs w:val="21"/>
                    </w:rPr>
                  </w:pPr>
                  <w:r>
                    <w:rPr>
                      <w:rFonts w:hint="eastAsia"/>
                      <w:b/>
                      <w:bCs/>
                      <w:kern w:val="0"/>
                      <w:sz w:val="21"/>
                      <w:szCs w:val="21"/>
                    </w:rPr>
                    <w:t>夜间</w:t>
                  </w:r>
                </w:p>
              </w:tc>
              <w:tc>
                <w:tcPr>
                  <w:tcW w:w="406" w:type="pct"/>
                  <w:tcBorders>
                    <w:tl2br w:val="nil"/>
                    <w:tr2bl w:val="nil"/>
                  </w:tcBorders>
                  <w:noWrap w:val="0"/>
                  <w:vAlign w:val="center"/>
                </w:tcPr>
                <w:p w14:paraId="150D36FA">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b/>
                      <w:bCs/>
                      <w:kern w:val="0"/>
                      <w:sz w:val="21"/>
                      <w:szCs w:val="21"/>
                    </w:rPr>
                  </w:pPr>
                  <w:r>
                    <w:rPr>
                      <w:rFonts w:hint="default"/>
                      <w:b/>
                      <w:bCs/>
                      <w:kern w:val="0"/>
                      <w:sz w:val="21"/>
                      <w:szCs w:val="21"/>
                    </w:rPr>
                    <w:t>昼间</w:t>
                  </w:r>
                </w:p>
              </w:tc>
              <w:tc>
                <w:tcPr>
                  <w:tcW w:w="411" w:type="pct"/>
                  <w:tcBorders>
                    <w:tl2br w:val="nil"/>
                    <w:tr2bl w:val="nil"/>
                  </w:tcBorders>
                  <w:noWrap w:val="0"/>
                  <w:vAlign w:val="center"/>
                </w:tcPr>
                <w:p w14:paraId="7110F40F">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b/>
                      <w:bCs/>
                      <w:kern w:val="0"/>
                      <w:sz w:val="21"/>
                      <w:szCs w:val="21"/>
                    </w:rPr>
                  </w:pPr>
                  <w:r>
                    <w:rPr>
                      <w:rFonts w:hint="eastAsia"/>
                      <w:b/>
                      <w:bCs/>
                      <w:kern w:val="0"/>
                      <w:sz w:val="21"/>
                      <w:szCs w:val="21"/>
                    </w:rPr>
                    <w:t>夜间</w:t>
                  </w:r>
                </w:p>
              </w:tc>
              <w:tc>
                <w:tcPr>
                  <w:tcW w:w="405" w:type="pct"/>
                  <w:tcBorders>
                    <w:tl2br w:val="nil"/>
                    <w:tr2bl w:val="nil"/>
                  </w:tcBorders>
                  <w:noWrap w:val="0"/>
                  <w:vAlign w:val="center"/>
                </w:tcPr>
                <w:p w14:paraId="46809B1E">
                  <w:pPr>
                    <w:keepNext w:val="0"/>
                    <w:keepLines w:val="0"/>
                    <w:suppressLineNumbers w:val="0"/>
                    <w:adjustRightInd w:val="0"/>
                    <w:snapToGrid w:val="0"/>
                    <w:spacing w:before="60" w:beforeAutospacing="0" w:after="60" w:afterAutospacing="0" w:line="400" w:lineRule="exact"/>
                    <w:ind w:left="0" w:right="0"/>
                    <w:jc w:val="center"/>
                    <w:textAlignment w:val="bottom"/>
                    <w:rPr>
                      <w:rFonts w:hint="eastAsia"/>
                      <w:b/>
                      <w:sz w:val="21"/>
                      <w:szCs w:val="21"/>
                    </w:rPr>
                  </w:pPr>
                  <w:r>
                    <w:rPr>
                      <w:rFonts w:hint="default"/>
                      <w:b/>
                      <w:bCs/>
                      <w:kern w:val="0"/>
                      <w:sz w:val="21"/>
                      <w:szCs w:val="21"/>
                    </w:rPr>
                    <w:t>昼间</w:t>
                  </w:r>
                </w:p>
              </w:tc>
              <w:tc>
                <w:tcPr>
                  <w:tcW w:w="409" w:type="pct"/>
                  <w:tcBorders>
                    <w:tl2br w:val="nil"/>
                    <w:tr2bl w:val="nil"/>
                  </w:tcBorders>
                  <w:noWrap w:val="0"/>
                  <w:vAlign w:val="center"/>
                </w:tcPr>
                <w:p w14:paraId="16CCD432">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b/>
                      <w:bCs/>
                      <w:kern w:val="0"/>
                      <w:sz w:val="21"/>
                      <w:szCs w:val="21"/>
                    </w:rPr>
                  </w:pPr>
                  <w:r>
                    <w:rPr>
                      <w:rFonts w:hint="eastAsia"/>
                      <w:b/>
                      <w:bCs/>
                      <w:kern w:val="0"/>
                      <w:sz w:val="21"/>
                      <w:szCs w:val="21"/>
                    </w:rPr>
                    <w:t>夜间</w:t>
                  </w:r>
                </w:p>
              </w:tc>
              <w:tc>
                <w:tcPr>
                  <w:tcW w:w="413" w:type="pct"/>
                  <w:tcBorders>
                    <w:tl2br w:val="nil"/>
                    <w:tr2bl w:val="nil"/>
                  </w:tcBorders>
                  <w:noWrap w:val="0"/>
                  <w:vAlign w:val="center"/>
                </w:tcPr>
                <w:p w14:paraId="7C6D4B38">
                  <w:pPr>
                    <w:keepNext w:val="0"/>
                    <w:keepLines w:val="0"/>
                    <w:suppressLineNumbers w:val="0"/>
                    <w:adjustRightInd w:val="0"/>
                    <w:snapToGrid w:val="0"/>
                    <w:spacing w:before="60" w:beforeAutospacing="0" w:after="60" w:afterAutospacing="0" w:line="400" w:lineRule="exact"/>
                    <w:ind w:left="0" w:right="0"/>
                    <w:jc w:val="center"/>
                    <w:textAlignment w:val="bottom"/>
                    <w:rPr>
                      <w:rFonts w:hint="eastAsia"/>
                      <w:b/>
                      <w:sz w:val="21"/>
                      <w:szCs w:val="21"/>
                    </w:rPr>
                  </w:pPr>
                  <w:r>
                    <w:rPr>
                      <w:rFonts w:hint="default"/>
                      <w:b/>
                      <w:bCs/>
                      <w:kern w:val="0"/>
                      <w:sz w:val="21"/>
                      <w:szCs w:val="21"/>
                    </w:rPr>
                    <w:t>昼间</w:t>
                  </w:r>
                </w:p>
              </w:tc>
              <w:tc>
                <w:tcPr>
                  <w:tcW w:w="400" w:type="pct"/>
                  <w:tcBorders>
                    <w:tl2br w:val="nil"/>
                    <w:tr2bl w:val="nil"/>
                  </w:tcBorders>
                  <w:noWrap w:val="0"/>
                  <w:vAlign w:val="center"/>
                </w:tcPr>
                <w:p w14:paraId="3371AE1D">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b/>
                      <w:bCs/>
                      <w:kern w:val="0"/>
                      <w:sz w:val="21"/>
                      <w:szCs w:val="21"/>
                    </w:rPr>
                  </w:pPr>
                  <w:r>
                    <w:rPr>
                      <w:rFonts w:hint="eastAsia"/>
                      <w:b/>
                      <w:bCs/>
                      <w:kern w:val="0"/>
                      <w:sz w:val="21"/>
                      <w:szCs w:val="21"/>
                    </w:rPr>
                    <w:t>夜间</w:t>
                  </w:r>
                </w:p>
              </w:tc>
              <w:tc>
                <w:tcPr>
                  <w:tcW w:w="434" w:type="pct"/>
                  <w:tcBorders>
                    <w:tl2br w:val="nil"/>
                    <w:tr2bl w:val="nil"/>
                  </w:tcBorders>
                  <w:noWrap w:val="0"/>
                  <w:vAlign w:val="center"/>
                </w:tcPr>
                <w:p w14:paraId="3B8E7FFB">
                  <w:pPr>
                    <w:keepNext w:val="0"/>
                    <w:keepLines w:val="0"/>
                    <w:suppressLineNumbers w:val="0"/>
                    <w:adjustRightInd w:val="0"/>
                    <w:snapToGrid w:val="0"/>
                    <w:spacing w:before="60" w:beforeAutospacing="0" w:after="60" w:afterAutospacing="0" w:line="400" w:lineRule="exact"/>
                    <w:ind w:left="0" w:right="0"/>
                    <w:jc w:val="center"/>
                    <w:textAlignment w:val="bottom"/>
                    <w:rPr>
                      <w:rFonts w:hint="eastAsia"/>
                      <w:b/>
                      <w:sz w:val="21"/>
                      <w:szCs w:val="21"/>
                    </w:rPr>
                  </w:pPr>
                  <w:r>
                    <w:rPr>
                      <w:rFonts w:hint="default"/>
                      <w:b/>
                      <w:bCs/>
                      <w:kern w:val="0"/>
                      <w:sz w:val="21"/>
                      <w:szCs w:val="21"/>
                    </w:rPr>
                    <w:t>昼间</w:t>
                  </w:r>
                </w:p>
              </w:tc>
              <w:tc>
                <w:tcPr>
                  <w:tcW w:w="382" w:type="pct"/>
                  <w:tcBorders>
                    <w:tl2br w:val="nil"/>
                    <w:tr2bl w:val="nil"/>
                  </w:tcBorders>
                  <w:noWrap w:val="0"/>
                  <w:vAlign w:val="center"/>
                </w:tcPr>
                <w:p w14:paraId="2D48578E">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b/>
                      <w:bCs/>
                      <w:kern w:val="0"/>
                      <w:sz w:val="21"/>
                      <w:szCs w:val="21"/>
                    </w:rPr>
                  </w:pPr>
                  <w:r>
                    <w:rPr>
                      <w:rFonts w:hint="eastAsia"/>
                      <w:b/>
                      <w:bCs/>
                      <w:kern w:val="0"/>
                      <w:sz w:val="21"/>
                      <w:szCs w:val="21"/>
                    </w:rPr>
                    <w:t>夜间</w:t>
                  </w:r>
                </w:p>
              </w:tc>
            </w:tr>
            <w:tr w14:paraId="676B3C15">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26" w:hRule="atLeast"/>
                <w:jc w:val="center"/>
              </w:trPr>
              <w:tc>
                <w:tcPr>
                  <w:tcW w:w="215" w:type="pct"/>
                  <w:tcBorders>
                    <w:tl2br w:val="nil"/>
                    <w:tr2bl w:val="nil"/>
                  </w:tcBorders>
                  <w:noWrap w:val="0"/>
                  <w:vAlign w:val="center"/>
                </w:tcPr>
                <w:p w14:paraId="11C15311">
                  <w:pPr>
                    <w:keepNext w:val="0"/>
                    <w:keepLines w:val="0"/>
                    <w:suppressLineNumbers w:val="0"/>
                    <w:tabs>
                      <w:tab w:val="left" w:pos="3600"/>
                      <w:tab w:val="left" w:pos="4320"/>
                    </w:tabs>
                    <w:adjustRightInd w:val="0"/>
                    <w:snapToGrid w:val="0"/>
                    <w:spacing w:before="0" w:beforeAutospacing="0" w:after="0" w:afterAutospacing="0" w:line="320" w:lineRule="exact"/>
                    <w:ind w:left="-105" w:leftChars="-50" w:right="-105" w:rightChars="-50"/>
                    <w:jc w:val="center"/>
                    <w:rPr>
                      <w:rFonts w:hint="default"/>
                      <w:sz w:val="21"/>
                      <w:szCs w:val="21"/>
                    </w:rPr>
                  </w:pPr>
                  <w:r>
                    <w:rPr>
                      <w:rFonts w:hint="default"/>
                      <w:sz w:val="21"/>
                      <w:szCs w:val="21"/>
                    </w:rPr>
                    <w:t>1</w:t>
                  </w:r>
                </w:p>
              </w:tc>
              <w:tc>
                <w:tcPr>
                  <w:tcW w:w="703" w:type="pct"/>
                  <w:tcBorders>
                    <w:tl2br w:val="nil"/>
                    <w:tr2bl w:val="nil"/>
                  </w:tcBorders>
                  <w:noWrap w:val="0"/>
                  <w:vAlign w:val="center"/>
                </w:tcPr>
                <w:p w14:paraId="6A93C39B">
                  <w:pPr>
                    <w:keepNext w:val="0"/>
                    <w:keepLines w:val="0"/>
                    <w:suppressLineNumbers w:val="0"/>
                    <w:adjustRightInd w:val="0"/>
                    <w:snapToGrid w:val="0"/>
                    <w:spacing w:before="0" w:beforeAutospacing="0" w:after="0" w:afterAutospacing="0"/>
                    <w:ind w:left="0" w:right="0"/>
                    <w:jc w:val="center"/>
                    <w:rPr>
                      <w:rFonts w:hint="default"/>
                      <w:spacing w:val="-6"/>
                      <w:sz w:val="21"/>
                      <w:szCs w:val="21"/>
                    </w:rPr>
                  </w:pPr>
                  <w:r>
                    <w:rPr>
                      <w:rFonts w:hint="default"/>
                      <w:sz w:val="21"/>
                      <w:szCs w:val="21"/>
                    </w:rPr>
                    <w:t>厂界北侧1m处</w:t>
                  </w:r>
                </w:p>
              </w:tc>
              <w:tc>
                <w:tcPr>
                  <w:tcW w:w="406" w:type="pct"/>
                  <w:tcBorders>
                    <w:tl2br w:val="nil"/>
                    <w:tr2bl w:val="nil"/>
                  </w:tcBorders>
                  <w:noWrap w:val="0"/>
                  <w:vAlign w:val="center"/>
                </w:tcPr>
                <w:p w14:paraId="117A9F7C">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rPr>
                    <w:t>53.</w:t>
                  </w:r>
                  <w:r>
                    <w:rPr>
                      <w:rFonts w:hint="eastAsia"/>
                      <w:sz w:val="21"/>
                      <w:szCs w:val="21"/>
                      <w:lang w:val="en-US" w:eastAsia="zh-CN"/>
                    </w:rPr>
                    <w:t>5</w:t>
                  </w:r>
                </w:p>
              </w:tc>
              <w:tc>
                <w:tcPr>
                  <w:tcW w:w="410" w:type="pct"/>
                  <w:tcBorders>
                    <w:tl2br w:val="nil"/>
                    <w:tr2bl w:val="nil"/>
                  </w:tcBorders>
                  <w:noWrap w:val="0"/>
                  <w:vAlign w:val="center"/>
                </w:tcPr>
                <w:p w14:paraId="1C6D531D">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eastAsia"/>
                      <w:sz w:val="21"/>
                      <w:szCs w:val="21"/>
                    </w:rPr>
                  </w:pPr>
                  <w:r>
                    <w:rPr>
                      <w:rFonts w:hint="eastAsia"/>
                      <w:sz w:val="21"/>
                      <w:szCs w:val="21"/>
                    </w:rPr>
                    <w:t>/</w:t>
                  </w:r>
                </w:p>
              </w:tc>
              <w:tc>
                <w:tcPr>
                  <w:tcW w:w="406" w:type="pct"/>
                  <w:tcBorders>
                    <w:tl2br w:val="nil"/>
                    <w:tr2bl w:val="nil"/>
                  </w:tcBorders>
                  <w:noWrap w:val="0"/>
                  <w:vAlign w:val="center"/>
                </w:tcPr>
                <w:p w14:paraId="52FE7E19">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eastAsia" w:eastAsia="宋体"/>
                      <w:sz w:val="21"/>
                      <w:szCs w:val="21"/>
                      <w:lang w:val="en-US" w:eastAsia="zh-CN"/>
                    </w:rPr>
                  </w:pPr>
                  <w:r>
                    <w:rPr>
                      <w:rFonts w:hint="eastAsia"/>
                      <w:sz w:val="21"/>
                      <w:szCs w:val="21"/>
                    </w:rPr>
                    <w:t>5</w:t>
                  </w:r>
                  <w:r>
                    <w:rPr>
                      <w:rFonts w:hint="eastAsia"/>
                      <w:sz w:val="21"/>
                      <w:szCs w:val="21"/>
                      <w:lang w:val="en-US" w:eastAsia="zh-CN"/>
                    </w:rPr>
                    <w:t>2</w:t>
                  </w:r>
                  <w:r>
                    <w:rPr>
                      <w:rFonts w:hint="eastAsia"/>
                      <w:sz w:val="21"/>
                      <w:szCs w:val="21"/>
                    </w:rPr>
                    <w:t>.</w:t>
                  </w:r>
                  <w:r>
                    <w:rPr>
                      <w:rFonts w:hint="eastAsia"/>
                      <w:sz w:val="21"/>
                      <w:szCs w:val="21"/>
                      <w:lang w:val="en-US" w:eastAsia="zh-CN"/>
                    </w:rPr>
                    <w:t>6</w:t>
                  </w:r>
                </w:p>
              </w:tc>
              <w:tc>
                <w:tcPr>
                  <w:tcW w:w="411" w:type="pct"/>
                  <w:tcBorders>
                    <w:tl2br w:val="nil"/>
                    <w:tr2bl w:val="nil"/>
                  </w:tcBorders>
                  <w:noWrap w:val="0"/>
                  <w:vAlign w:val="center"/>
                </w:tcPr>
                <w:p w14:paraId="4FC620D6">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eastAsia"/>
                      <w:sz w:val="21"/>
                      <w:szCs w:val="21"/>
                    </w:rPr>
                  </w:pPr>
                  <w:r>
                    <w:rPr>
                      <w:rFonts w:hint="eastAsia"/>
                      <w:sz w:val="21"/>
                      <w:szCs w:val="21"/>
                    </w:rPr>
                    <w:t>/</w:t>
                  </w:r>
                </w:p>
              </w:tc>
              <w:tc>
                <w:tcPr>
                  <w:tcW w:w="405" w:type="pct"/>
                  <w:tcBorders>
                    <w:tl2br w:val="nil"/>
                    <w:tr2bl w:val="nil"/>
                  </w:tcBorders>
                  <w:noWrap w:val="0"/>
                  <w:vAlign w:val="center"/>
                </w:tcPr>
                <w:p w14:paraId="1604763C">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55.45</w:t>
                  </w:r>
                </w:p>
              </w:tc>
              <w:tc>
                <w:tcPr>
                  <w:tcW w:w="409" w:type="pct"/>
                  <w:tcBorders>
                    <w:tl2br w:val="nil"/>
                    <w:tr2bl w:val="nil"/>
                  </w:tcBorders>
                  <w:noWrap w:val="0"/>
                  <w:vAlign w:val="center"/>
                </w:tcPr>
                <w:p w14:paraId="39B946E8">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default"/>
                      <w:sz w:val="21"/>
                      <w:szCs w:val="21"/>
                    </w:rPr>
                  </w:pPr>
                  <w:r>
                    <w:rPr>
                      <w:rFonts w:hint="eastAsia"/>
                      <w:sz w:val="21"/>
                      <w:szCs w:val="21"/>
                    </w:rPr>
                    <w:t>/</w:t>
                  </w:r>
                </w:p>
              </w:tc>
              <w:tc>
                <w:tcPr>
                  <w:tcW w:w="413" w:type="pct"/>
                  <w:tcBorders>
                    <w:tl2br w:val="nil"/>
                    <w:tr2bl w:val="nil"/>
                  </w:tcBorders>
                  <w:noWrap w:val="0"/>
                  <w:vAlign w:val="center"/>
                </w:tcPr>
                <w:p w14:paraId="7059637D">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kern w:val="0"/>
                      <w:sz w:val="21"/>
                      <w:szCs w:val="21"/>
                    </w:rPr>
                  </w:pPr>
                  <w:r>
                    <w:rPr>
                      <w:rFonts w:hint="eastAsia"/>
                      <w:kern w:val="0"/>
                      <w:sz w:val="21"/>
                      <w:szCs w:val="21"/>
                    </w:rPr>
                    <w:t>65</w:t>
                  </w:r>
                </w:p>
              </w:tc>
              <w:tc>
                <w:tcPr>
                  <w:tcW w:w="400" w:type="pct"/>
                  <w:tcBorders>
                    <w:tl2br w:val="nil"/>
                    <w:tr2bl w:val="nil"/>
                  </w:tcBorders>
                  <w:noWrap w:val="0"/>
                  <w:vAlign w:val="center"/>
                </w:tcPr>
                <w:p w14:paraId="36BBA147">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kern w:val="0"/>
                      <w:sz w:val="21"/>
                      <w:szCs w:val="21"/>
                    </w:rPr>
                  </w:pPr>
                  <w:r>
                    <w:rPr>
                      <w:rFonts w:hint="eastAsia"/>
                      <w:sz w:val="21"/>
                      <w:szCs w:val="21"/>
                    </w:rPr>
                    <w:t>/</w:t>
                  </w:r>
                </w:p>
              </w:tc>
              <w:tc>
                <w:tcPr>
                  <w:tcW w:w="434" w:type="pct"/>
                  <w:tcBorders>
                    <w:tl2br w:val="nil"/>
                    <w:tr2bl w:val="nil"/>
                  </w:tcBorders>
                  <w:noWrap w:val="0"/>
                  <w:vAlign w:val="center"/>
                </w:tcPr>
                <w:p w14:paraId="4481EF86">
                  <w:pPr>
                    <w:keepNext w:val="0"/>
                    <w:keepLines w:val="0"/>
                    <w:suppressLineNumbers w:val="0"/>
                    <w:adjustRightInd w:val="0"/>
                    <w:snapToGrid w:val="0"/>
                    <w:spacing w:before="60" w:beforeAutospacing="0" w:after="60" w:afterAutospacing="0" w:line="400" w:lineRule="exact"/>
                    <w:ind w:left="0" w:right="0"/>
                    <w:jc w:val="center"/>
                    <w:textAlignment w:val="bottom"/>
                    <w:rPr>
                      <w:rFonts w:hint="eastAsia"/>
                      <w:kern w:val="0"/>
                      <w:sz w:val="21"/>
                      <w:szCs w:val="21"/>
                    </w:rPr>
                  </w:pPr>
                  <w:r>
                    <w:rPr>
                      <w:rFonts w:hint="default"/>
                      <w:kern w:val="0"/>
                      <w:sz w:val="21"/>
                      <w:szCs w:val="21"/>
                    </w:rPr>
                    <w:t>达标</w:t>
                  </w:r>
                </w:p>
              </w:tc>
              <w:tc>
                <w:tcPr>
                  <w:tcW w:w="382" w:type="pct"/>
                  <w:tcBorders>
                    <w:tl2br w:val="nil"/>
                    <w:tr2bl w:val="nil"/>
                  </w:tcBorders>
                  <w:noWrap w:val="0"/>
                  <w:vAlign w:val="center"/>
                </w:tcPr>
                <w:p w14:paraId="427F46A6">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kern w:val="0"/>
                      <w:sz w:val="21"/>
                      <w:szCs w:val="21"/>
                    </w:rPr>
                  </w:pPr>
                  <w:r>
                    <w:rPr>
                      <w:rFonts w:hint="eastAsia"/>
                      <w:sz w:val="21"/>
                      <w:szCs w:val="21"/>
                    </w:rPr>
                    <w:t>/</w:t>
                  </w:r>
                </w:p>
              </w:tc>
            </w:tr>
            <w:tr w14:paraId="6CBEFF2E">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26" w:hRule="atLeast"/>
                <w:jc w:val="center"/>
              </w:trPr>
              <w:tc>
                <w:tcPr>
                  <w:tcW w:w="215" w:type="pct"/>
                  <w:tcBorders>
                    <w:tl2br w:val="nil"/>
                    <w:tr2bl w:val="nil"/>
                  </w:tcBorders>
                  <w:noWrap w:val="0"/>
                  <w:vAlign w:val="center"/>
                </w:tcPr>
                <w:p w14:paraId="37140293">
                  <w:pPr>
                    <w:keepNext w:val="0"/>
                    <w:keepLines w:val="0"/>
                    <w:suppressLineNumbers w:val="0"/>
                    <w:tabs>
                      <w:tab w:val="left" w:pos="3600"/>
                      <w:tab w:val="left" w:pos="4320"/>
                    </w:tabs>
                    <w:adjustRightInd w:val="0"/>
                    <w:snapToGrid w:val="0"/>
                    <w:spacing w:before="0" w:beforeAutospacing="0" w:after="0" w:afterAutospacing="0" w:line="320" w:lineRule="exact"/>
                    <w:ind w:left="-105" w:leftChars="-50" w:right="-105" w:rightChars="-50"/>
                    <w:jc w:val="center"/>
                    <w:rPr>
                      <w:rFonts w:hint="default"/>
                      <w:sz w:val="21"/>
                      <w:szCs w:val="21"/>
                    </w:rPr>
                  </w:pPr>
                  <w:r>
                    <w:rPr>
                      <w:rFonts w:hint="default"/>
                      <w:sz w:val="21"/>
                      <w:szCs w:val="21"/>
                    </w:rPr>
                    <w:t>2</w:t>
                  </w:r>
                </w:p>
              </w:tc>
              <w:tc>
                <w:tcPr>
                  <w:tcW w:w="703" w:type="pct"/>
                  <w:tcBorders>
                    <w:tl2br w:val="nil"/>
                    <w:tr2bl w:val="nil"/>
                  </w:tcBorders>
                  <w:noWrap w:val="0"/>
                  <w:vAlign w:val="center"/>
                </w:tcPr>
                <w:p w14:paraId="6A8BFDC9">
                  <w:pPr>
                    <w:keepNext w:val="0"/>
                    <w:keepLines w:val="0"/>
                    <w:suppressLineNumbers w:val="0"/>
                    <w:adjustRightInd w:val="0"/>
                    <w:snapToGrid w:val="0"/>
                    <w:spacing w:before="0" w:beforeAutospacing="0" w:after="0" w:afterAutospacing="0"/>
                    <w:ind w:left="0" w:right="0"/>
                    <w:jc w:val="center"/>
                    <w:rPr>
                      <w:rFonts w:hint="default"/>
                      <w:spacing w:val="-6"/>
                      <w:sz w:val="21"/>
                      <w:szCs w:val="21"/>
                    </w:rPr>
                  </w:pPr>
                  <w:r>
                    <w:rPr>
                      <w:rFonts w:hint="default"/>
                      <w:sz w:val="21"/>
                      <w:szCs w:val="21"/>
                    </w:rPr>
                    <w:t>厂界西侧1m处</w:t>
                  </w:r>
                </w:p>
              </w:tc>
              <w:tc>
                <w:tcPr>
                  <w:tcW w:w="406" w:type="pct"/>
                  <w:tcBorders>
                    <w:tl2br w:val="nil"/>
                    <w:tr2bl w:val="nil"/>
                  </w:tcBorders>
                  <w:noWrap w:val="0"/>
                  <w:vAlign w:val="center"/>
                </w:tcPr>
                <w:p w14:paraId="5E4954EA">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default"/>
                      <w:sz w:val="21"/>
                      <w:szCs w:val="21"/>
                    </w:rPr>
                  </w:pPr>
                  <w:r>
                    <w:rPr>
                      <w:rFonts w:hint="eastAsia"/>
                      <w:sz w:val="21"/>
                      <w:szCs w:val="21"/>
                    </w:rPr>
                    <w:t>5</w:t>
                  </w:r>
                  <w:r>
                    <w:rPr>
                      <w:rFonts w:hint="eastAsia"/>
                      <w:sz w:val="21"/>
                      <w:szCs w:val="21"/>
                      <w:lang w:val="en-US" w:eastAsia="zh-CN"/>
                    </w:rPr>
                    <w:t>6</w:t>
                  </w:r>
                  <w:r>
                    <w:rPr>
                      <w:rFonts w:hint="eastAsia"/>
                      <w:sz w:val="21"/>
                      <w:szCs w:val="21"/>
                    </w:rPr>
                    <w:t>.0</w:t>
                  </w:r>
                </w:p>
              </w:tc>
              <w:tc>
                <w:tcPr>
                  <w:tcW w:w="410" w:type="pct"/>
                  <w:tcBorders>
                    <w:tl2br w:val="nil"/>
                    <w:tr2bl w:val="nil"/>
                  </w:tcBorders>
                  <w:noWrap w:val="0"/>
                  <w:vAlign w:val="center"/>
                </w:tcPr>
                <w:p w14:paraId="0D8EF09D">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w:t>
                  </w:r>
                </w:p>
              </w:tc>
              <w:tc>
                <w:tcPr>
                  <w:tcW w:w="406" w:type="pct"/>
                  <w:tcBorders>
                    <w:tl2br w:val="nil"/>
                    <w:tr2bl w:val="nil"/>
                  </w:tcBorders>
                  <w:noWrap w:val="0"/>
                  <w:vAlign w:val="center"/>
                </w:tcPr>
                <w:p w14:paraId="38855CD0">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eastAsia"/>
                      <w:sz w:val="21"/>
                      <w:szCs w:val="21"/>
                    </w:rPr>
                  </w:pPr>
                  <w:r>
                    <w:rPr>
                      <w:rFonts w:hint="eastAsia"/>
                      <w:sz w:val="21"/>
                      <w:szCs w:val="21"/>
                    </w:rPr>
                    <w:t>5</w:t>
                  </w:r>
                  <w:r>
                    <w:rPr>
                      <w:rFonts w:hint="eastAsia"/>
                      <w:sz w:val="21"/>
                      <w:szCs w:val="21"/>
                      <w:lang w:val="en-US" w:eastAsia="zh-CN"/>
                    </w:rPr>
                    <w:t>3</w:t>
                  </w:r>
                  <w:r>
                    <w:rPr>
                      <w:rFonts w:hint="eastAsia"/>
                      <w:sz w:val="21"/>
                      <w:szCs w:val="21"/>
                    </w:rPr>
                    <w:t>.2</w:t>
                  </w:r>
                </w:p>
              </w:tc>
              <w:tc>
                <w:tcPr>
                  <w:tcW w:w="411" w:type="pct"/>
                  <w:tcBorders>
                    <w:tl2br w:val="nil"/>
                    <w:tr2bl w:val="nil"/>
                  </w:tcBorders>
                  <w:noWrap w:val="0"/>
                  <w:vAlign w:val="center"/>
                </w:tcPr>
                <w:p w14:paraId="489FA648">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w:t>
                  </w:r>
                </w:p>
              </w:tc>
              <w:tc>
                <w:tcPr>
                  <w:tcW w:w="405" w:type="pct"/>
                  <w:tcBorders>
                    <w:tl2br w:val="nil"/>
                    <w:tr2bl w:val="nil"/>
                  </w:tcBorders>
                  <w:noWrap w:val="0"/>
                  <w:vAlign w:val="center"/>
                </w:tcPr>
                <w:p w14:paraId="4394CFA2">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rPr>
                    <w:t>55.</w:t>
                  </w:r>
                  <w:r>
                    <w:rPr>
                      <w:rFonts w:hint="eastAsia"/>
                      <w:sz w:val="21"/>
                      <w:szCs w:val="21"/>
                      <w:lang w:val="en-US" w:eastAsia="zh-CN"/>
                    </w:rPr>
                    <w:t>76</w:t>
                  </w:r>
                </w:p>
              </w:tc>
              <w:tc>
                <w:tcPr>
                  <w:tcW w:w="409" w:type="pct"/>
                  <w:tcBorders>
                    <w:tl2br w:val="nil"/>
                    <w:tr2bl w:val="nil"/>
                  </w:tcBorders>
                  <w:noWrap w:val="0"/>
                  <w:vAlign w:val="center"/>
                </w:tcPr>
                <w:p w14:paraId="5C82016F">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w:t>
                  </w:r>
                </w:p>
              </w:tc>
              <w:tc>
                <w:tcPr>
                  <w:tcW w:w="413" w:type="pct"/>
                  <w:tcBorders>
                    <w:tl2br w:val="nil"/>
                    <w:tr2bl w:val="nil"/>
                  </w:tcBorders>
                  <w:noWrap w:val="0"/>
                  <w:vAlign w:val="center"/>
                </w:tcPr>
                <w:p w14:paraId="2A704A1C">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kern w:val="0"/>
                      <w:sz w:val="21"/>
                      <w:szCs w:val="21"/>
                    </w:rPr>
                  </w:pPr>
                  <w:r>
                    <w:rPr>
                      <w:rFonts w:hint="eastAsia"/>
                      <w:kern w:val="0"/>
                      <w:sz w:val="21"/>
                      <w:szCs w:val="21"/>
                    </w:rPr>
                    <w:t>65</w:t>
                  </w:r>
                </w:p>
              </w:tc>
              <w:tc>
                <w:tcPr>
                  <w:tcW w:w="400" w:type="pct"/>
                  <w:tcBorders>
                    <w:tl2br w:val="nil"/>
                    <w:tr2bl w:val="nil"/>
                  </w:tcBorders>
                  <w:noWrap w:val="0"/>
                  <w:vAlign w:val="center"/>
                </w:tcPr>
                <w:p w14:paraId="67BB120F">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kern w:val="0"/>
                      <w:sz w:val="21"/>
                      <w:szCs w:val="21"/>
                    </w:rPr>
                  </w:pPr>
                  <w:r>
                    <w:rPr>
                      <w:rFonts w:hint="eastAsia"/>
                      <w:sz w:val="21"/>
                      <w:szCs w:val="21"/>
                    </w:rPr>
                    <w:t>/</w:t>
                  </w:r>
                </w:p>
              </w:tc>
              <w:tc>
                <w:tcPr>
                  <w:tcW w:w="434" w:type="pct"/>
                  <w:tcBorders>
                    <w:tl2br w:val="nil"/>
                    <w:tr2bl w:val="nil"/>
                  </w:tcBorders>
                  <w:noWrap w:val="0"/>
                  <w:vAlign w:val="center"/>
                </w:tcPr>
                <w:p w14:paraId="2A5B3478">
                  <w:pPr>
                    <w:keepNext w:val="0"/>
                    <w:keepLines w:val="0"/>
                    <w:suppressLineNumbers w:val="0"/>
                    <w:adjustRightInd w:val="0"/>
                    <w:snapToGrid w:val="0"/>
                    <w:spacing w:before="60" w:beforeAutospacing="0" w:after="60" w:afterAutospacing="0" w:line="400" w:lineRule="exact"/>
                    <w:ind w:left="0" w:right="0"/>
                    <w:jc w:val="center"/>
                    <w:textAlignment w:val="bottom"/>
                    <w:rPr>
                      <w:rFonts w:hint="eastAsia"/>
                      <w:kern w:val="0"/>
                      <w:sz w:val="21"/>
                      <w:szCs w:val="21"/>
                    </w:rPr>
                  </w:pPr>
                  <w:r>
                    <w:rPr>
                      <w:rFonts w:hint="default"/>
                      <w:kern w:val="0"/>
                      <w:sz w:val="21"/>
                      <w:szCs w:val="21"/>
                    </w:rPr>
                    <w:t>达标</w:t>
                  </w:r>
                </w:p>
              </w:tc>
              <w:tc>
                <w:tcPr>
                  <w:tcW w:w="382" w:type="pct"/>
                  <w:tcBorders>
                    <w:tl2br w:val="nil"/>
                    <w:tr2bl w:val="nil"/>
                  </w:tcBorders>
                  <w:noWrap w:val="0"/>
                  <w:vAlign w:val="center"/>
                </w:tcPr>
                <w:p w14:paraId="60B96D79">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kern w:val="0"/>
                      <w:sz w:val="21"/>
                      <w:szCs w:val="21"/>
                    </w:rPr>
                  </w:pPr>
                  <w:r>
                    <w:rPr>
                      <w:rFonts w:hint="eastAsia"/>
                      <w:sz w:val="21"/>
                      <w:szCs w:val="21"/>
                    </w:rPr>
                    <w:t>/</w:t>
                  </w:r>
                </w:p>
              </w:tc>
            </w:tr>
            <w:tr w14:paraId="2C0DE0BE">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26" w:hRule="atLeast"/>
                <w:jc w:val="center"/>
              </w:trPr>
              <w:tc>
                <w:tcPr>
                  <w:tcW w:w="215" w:type="pct"/>
                  <w:tcBorders>
                    <w:tl2br w:val="nil"/>
                    <w:tr2bl w:val="nil"/>
                  </w:tcBorders>
                  <w:noWrap w:val="0"/>
                  <w:vAlign w:val="center"/>
                </w:tcPr>
                <w:p w14:paraId="31027B1E">
                  <w:pPr>
                    <w:keepNext w:val="0"/>
                    <w:keepLines w:val="0"/>
                    <w:suppressLineNumbers w:val="0"/>
                    <w:tabs>
                      <w:tab w:val="left" w:pos="3600"/>
                      <w:tab w:val="left" w:pos="4320"/>
                    </w:tabs>
                    <w:adjustRightInd w:val="0"/>
                    <w:snapToGrid w:val="0"/>
                    <w:spacing w:before="0" w:beforeAutospacing="0" w:after="0" w:afterAutospacing="0" w:line="320" w:lineRule="exact"/>
                    <w:ind w:left="-105" w:leftChars="-50" w:right="-105" w:rightChars="-50"/>
                    <w:jc w:val="center"/>
                    <w:rPr>
                      <w:rFonts w:hint="default"/>
                      <w:sz w:val="21"/>
                      <w:szCs w:val="21"/>
                    </w:rPr>
                  </w:pPr>
                  <w:r>
                    <w:rPr>
                      <w:rFonts w:hint="default"/>
                      <w:sz w:val="21"/>
                      <w:szCs w:val="21"/>
                    </w:rPr>
                    <w:t>3</w:t>
                  </w:r>
                </w:p>
              </w:tc>
              <w:tc>
                <w:tcPr>
                  <w:tcW w:w="703" w:type="pct"/>
                  <w:tcBorders>
                    <w:tl2br w:val="nil"/>
                    <w:tr2bl w:val="nil"/>
                  </w:tcBorders>
                  <w:noWrap w:val="0"/>
                  <w:vAlign w:val="center"/>
                </w:tcPr>
                <w:p w14:paraId="0FE5E2E4">
                  <w:pPr>
                    <w:keepNext w:val="0"/>
                    <w:keepLines w:val="0"/>
                    <w:suppressLineNumbers w:val="0"/>
                    <w:adjustRightInd w:val="0"/>
                    <w:snapToGrid w:val="0"/>
                    <w:spacing w:before="0" w:beforeAutospacing="0" w:after="0" w:afterAutospacing="0"/>
                    <w:ind w:left="0" w:right="0"/>
                    <w:jc w:val="center"/>
                    <w:rPr>
                      <w:rFonts w:hint="default"/>
                      <w:spacing w:val="-6"/>
                      <w:sz w:val="21"/>
                      <w:szCs w:val="21"/>
                    </w:rPr>
                  </w:pPr>
                  <w:r>
                    <w:rPr>
                      <w:rFonts w:hint="default"/>
                      <w:sz w:val="21"/>
                      <w:szCs w:val="21"/>
                    </w:rPr>
                    <w:t>厂界南侧1m处</w:t>
                  </w:r>
                </w:p>
              </w:tc>
              <w:tc>
                <w:tcPr>
                  <w:tcW w:w="406" w:type="pct"/>
                  <w:tcBorders>
                    <w:tl2br w:val="nil"/>
                    <w:tr2bl w:val="nil"/>
                  </w:tcBorders>
                  <w:noWrap w:val="0"/>
                  <w:vAlign w:val="center"/>
                </w:tcPr>
                <w:p w14:paraId="5D439C72">
                  <w:pPr>
                    <w:keepNext w:val="0"/>
                    <w:keepLines w:val="0"/>
                    <w:suppressLineNumbers w:val="0"/>
                    <w:tabs>
                      <w:tab w:val="left" w:pos="7638"/>
                    </w:tabs>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rPr>
                    <w:t>5</w:t>
                  </w:r>
                  <w:r>
                    <w:rPr>
                      <w:rFonts w:hint="eastAsia"/>
                      <w:sz w:val="21"/>
                      <w:szCs w:val="21"/>
                      <w:lang w:val="en-US" w:eastAsia="zh-CN"/>
                    </w:rPr>
                    <w:t>3</w:t>
                  </w:r>
                  <w:r>
                    <w:rPr>
                      <w:rFonts w:hint="eastAsia"/>
                      <w:sz w:val="21"/>
                      <w:szCs w:val="21"/>
                    </w:rPr>
                    <w:t>.</w:t>
                  </w:r>
                  <w:r>
                    <w:rPr>
                      <w:rFonts w:hint="eastAsia"/>
                      <w:sz w:val="21"/>
                      <w:szCs w:val="21"/>
                      <w:lang w:val="en-US" w:eastAsia="zh-CN"/>
                    </w:rPr>
                    <w:t>6</w:t>
                  </w:r>
                </w:p>
              </w:tc>
              <w:tc>
                <w:tcPr>
                  <w:tcW w:w="410" w:type="pct"/>
                  <w:tcBorders>
                    <w:tl2br w:val="nil"/>
                    <w:tr2bl w:val="nil"/>
                  </w:tcBorders>
                  <w:noWrap w:val="0"/>
                  <w:vAlign w:val="center"/>
                </w:tcPr>
                <w:p w14:paraId="58A5B930">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w:t>
                  </w:r>
                </w:p>
              </w:tc>
              <w:tc>
                <w:tcPr>
                  <w:tcW w:w="406" w:type="pct"/>
                  <w:tcBorders>
                    <w:tl2br w:val="nil"/>
                    <w:tr2bl w:val="nil"/>
                  </w:tcBorders>
                  <w:noWrap w:val="0"/>
                  <w:vAlign w:val="center"/>
                </w:tcPr>
                <w:p w14:paraId="30426566">
                  <w:pPr>
                    <w:keepNext w:val="0"/>
                    <w:keepLines w:val="0"/>
                    <w:suppressLineNumbers w:val="0"/>
                    <w:tabs>
                      <w:tab w:val="left" w:pos="7638"/>
                    </w:tabs>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rPr>
                    <w:t>5</w:t>
                  </w:r>
                  <w:r>
                    <w:rPr>
                      <w:rFonts w:hint="eastAsia"/>
                      <w:sz w:val="21"/>
                      <w:szCs w:val="21"/>
                      <w:lang w:val="en-US" w:eastAsia="zh-CN"/>
                    </w:rPr>
                    <w:t>1</w:t>
                  </w:r>
                  <w:r>
                    <w:rPr>
                      <w:rFonts w:hint="eastAsia"/>
                      <w:sz w:val="21"/>
                      <w:szCs w:val="21"/>
                    </w:rPr>
                    <w:t>.</w:t>
                  </w:r>
                  <w:r>
                    <w:rPr>
                      <w:rFonts w:hint="eastAsia"/>
                      <w:sz w:val="21"/>
                      <w:szCs w:val="21"/>
                      <w:lang w:val="en-US" w:eastAsia="zh-CN"/>
                    </w:rPr>
                    <w:t>6</w:t>
                  </w:r>
                </w:p>
              </w:tc>
              <w:tc>
                <w:tcPr>
                  <w:tcW w:w="411" w:type="pct"/>
                  <w:tcBorders>
                    <w:tl2br w:val="nil"/>
                    <w:tr2bl w:val="nil"/>
                  </w:tcBorders>
                  <w:noWrap w:val="0"/>
                  <w:vAlign w:val="center"/>
                </w:tcPr>
                <w:p w14:paraId="30C46865">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w:t>
                  </w:r>
                </w:p>
              </w:tc>
              <w:tc>
                <w:tcPr>
                  <w:tcW w:w="405" w:type="pct"/>
                  <w:tcBorders>
                    <w:tl2br w:val="nil"/>
                    <w:tr2bl w:val="nil"/>
                  </w:tcBorders>
                  <w:noWrap w:val="0"/>
                  <w:vAlign w:val="center"/>
                </w:tcPr>
                <w:p w14:paraId="6CB64D18">
                  <w:pPr>
                    <w:keepNext w:val="0"/>
                    <w:keepLines w:val="0"/>
                    <w:suppressLineNumbers w:val="0"/>
                    <w:tabs>
                      <w:tab w:val="left" w:pos="7638"/>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rPr>
                    <w:t>5</w:t>
                  </w:r>
                  <w:r>
                    <w:rPr>
                      <w:rFonts w:hint="eastAsia"/>
                      <w:sz w:val="21"/>
                      <w:szCs w:val="21"/>
                      <w:lang w:val="en-US" w:eastAsia="zh-CN"/>
                    </w:rPr>
                    <w:t>5</w:t>
                  </w:r>
                  <w:r>
                    <w:rPr>
                      <w:rFonts w:hint="eastAsia"/>
                      <w:sz w:val="21"/>
                      <w:szCs w:val="21"/>
                    </w:rPr>
                    <w:t>.</w:t>
                  </w:r>
                  <w:r>
                    <w:rPr>
                      <w:rFonts w:hint="eastAsia"/>
                      <w:sz w:val="21"/>
                      <w:szCs w:val="21"/>
                      <w:lang w:val="en-US" w:eastAsia="zh-CN"/>
                    </w:rPr>
                    <w:t>15</w:t>
                  </w:r>
                </w:p>
              </w:tc>
              <w:tc>
                <w:tcPr>
                  <w:tcW w:w="409" w:type="pct"/>
                  <w:tcBorders>
                    <w:tl2br w:val="nil"/>
                    <w:tr2bl w:val="nil"/>
                  </w:tcBorders>
                  <w:noWrap w:val="0"/>
                  <w:vAlign w:val="center"/>
                </w:tcPr>
                <w:p w14:paraId="072DBFE9">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w:t>
                  </w:r>
                </w:p>
              </w:tc>
              <w:tc>
                <w:tcPr>
                  <w:tcW w:w="413" w:type="pct"/>
                  <w:tcBorders>
                    <w:tl2br w:val="nil"/>
                    <w:tr2bl w:val="nil"/>
                  </w:tcBorders>
                  <w:noWrap w:val="0"/>
                  <w:vAlign w:val="center"/>
                </w:tcPr>
                <w:p w14:paraId="5A956844">
                  <w:pPr>
                    <w:keepNext w:val="0"/>
                    <w:keepLines w:val="0"/>
                    <w:suppressLineNumbers w:val="0"/>
                    <w:adjustRightInd w:val="0"/>
                    <w:snapToGrid w:val="0"/>
                    <w:spacing w:before="60" w:beforeAutospacing="0" w:after="60" w:afterAutospacing="0" w:line="400" w:lineRule="exact"/>
                    <w:ind w:left="0" w:right="0"/>
                    <w:jc w:val="center"/>
                    <w:textAlignment w:val="bottom"/>
                    <w:rPr>
                      <w:rFonts w:hint="eastAsia"/>
                      <w:kern w:val="0"/>
                      <w:sz w:val="21"/>
                      <w:szCs w:val="21"/>
                    </w:rPr>
                  </w:pPr>
                  <w:r>
                    <w:rPr>
                      <w:rFonts w:hint="eastAsia"/>
                      <w:kern w:val="0"/>
                      <w:sz w:val="21"/>
                      <w:szCs w:val="21"/>
                    </w:rPr>
                    <w:t>65</w:t>
                  </w:r>
                </w:p>
              </w:tc>
              <w:tc>
                <w:tcPr>
                  <w:tcW w:w="400" w:type="pct"/>
                  <w:tcBorders>
                    <w:tl2br w:val="nil"/>
                    <w:tr2bl w:val="nil"/>
                  </w:tcBorders>
                  <w:noWrap w:val="0"/>
                  <w:vAlign w:val="center"/>
                </w:tcPr>
                <w:p w14:paraId="1757AB3E">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kern w:val="0"/>
                      <w:sz w:val="21"/>
                      <w:szCs w:val="21"/>
                    </w:rPr>
                  </w:pPr>
                  <w:r>
                    <w:rPr>
                      <w:rFonts w:hint="eastAsia"/>
                      <w:sz w:val="21"/>
                      <w:szCs w:val="21"/>
                    </w:rPr>
                    <w:t>/</w:t>
                  </w:r>
                </w:p>
              </w:tc>
              <w:tc>
                <w:tcPr>
                  <w:tcW w:w="434" w:type="pct"/>
                  <w:tcBorders>
                    <w:tl2br w:val="nil"/>
                    <w:tr2bl w:val="nil"/>
                  </w:tcBorders>
                  <w:noWrap w:val="0"/>
                  <w:vAlign w:val="center"/>
                </w:tcPr>
                <w:p w14:paraId="5BB5AD70">
                  <w:pPr>
                    <w:keepNext w:val="0"/>
                    <w:keepLines w:val="0"/>
                    <w:suppressLineNumbers w:val="0"/>
                    <w:adjustRightInd w:val="0"/>
                    <w:snapToGrid w:val="0"/>
                    <w:spacing w:before="60" w:beforeAutospacing="0" w:after="60" w:afterAutospacing="0" w:line="400" w:lineRule="exact"/>
                    <w:ind w:left="0" w:right="0"/>
                    <w:jc w:val="center"/>
                    <w:textAlignment w:val="bottom"/>
                    <w:rPr>
                      <w:rFonts w:hint="eastAsia"/>
                      <w:kern w:val="0"/>
                      <w:sz w:val="21"/>
                      <w:szCs w:val="21"/>
                    </w:rPr>
                  </w:pPr>
                  <w:r>
                    <w:rPr>
                      <w:rFonts w:hint="default"/>
                      <w:kern w:val="0"/>
                      <w:sz w:val="21"/>
                      <w:szCs w:val="21"/>
                    </w:rPr>
                    <w:t>达标</w:t>
                  </w:r>
                </w:p>
              </w:tc>
              <w:tc>
                <w:tcPr>
                  <w:tcW w:w="382" w:type="pct"/>
                  <w:tcBorders>
                    <w:tl2br w:val="nil"/>
                    <w:tr2bl w:val="nil"/>
                  </w:tcBorders>
                  <w:noWrap w:val="0"/>
                  <w:vAlign w:val="center"/>
                </w:tcPr>
                <w:p w14:paraId="493998A9">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kern w:val="0"/>
                      <w:sz w:val="21"/>
                      <w:szCs w:val="21"/>
                    </w:rPr>
                  </w:pPr>
                  <w:r>
                    <w:rPr>
                      <w:rFonts w:hint="eastAsia"/>
                      <w:sz w:val="21"/>
                      <w:szCs w:val="21"/>
                    </w:rPr>
                    <w:t>/</w:t>
                  </w:r>
                </w:p>
              </w:tc>
            </w:tr>
            <w:tr w14:paraId="4CD2E8F2">
              <w:tblPrEx>
                <w:tblBorders>
                  <w:top w:val="single" w:color="auto" w:sz="12" w:space="0"/>
                  <w:left w:val="none" w:color="auto" w:sz="0" w:space="0"/>
                  <w:bottom w:val="single" w:color="auto" w:sz="12" w:space="0"/>
                  <w:right w:val="none" w:color="auto" w:sz="0" w:space="0"/>
                  <w:insideH w:val="single" w:color="auto" w:sz="2" w:space="0"/>
                  <w:insideV w:val="single" w:color="auto" w:sz="8" w:space="0"/>
                </w:tblBorders>
                <w:tblCellMar>
                  <w:top w:w="0" w:type="dxa"/>
                  <w:left w:w="108" w:type="dxa"/>
                  <w:bottom w:w="0" w:type="dxa"/>
                  <w:right w:w="108" w:type="dxa"/>
                </w:tblCellMar>
              </w:tblPrEx>
              <w:trPr>
                <w:trHeight w:val="531" w:hRule="atLeast"/>
                <w:jc w:val="center"/>
              </w:trPr>
              <w:tc>
                <w:tcPr>
                  <w:tcW w:w="215" w:type="pct"/>
                  <w:tcBorders>
                    <w:tl2br w:val="nil"/>
                    <w:tr2bl w:val="nil"/>
                  </w:tcBorders>
                  <w:noWrap w:val="0"/>
                  <w:vAlign w:val="center"/>
                </w:tcPr>
                <w:p w14:paraId="46BE6FA9">
                  <w:pPr>
                    <w:keepNext w:val="0"/>
                    <w:keepLines w:val="0"/>
                    <w:suppressLineNumbers w:val="0"/>
                    <w:tabs>
                      <w:tab w:val="left" w:pos="3600"/>
                      <w:tab w:val="left" w:pos="4320"/>
                    </w:tabs>
                    <w:adjustRightInd w:val="0"/>
                    <w:snapToGrid w:val="0"/>
                    <w:spacing w:before="0" w:beforeAutospacing="0" w:after="0" w:afterAutospacing="0" w:line="320" w:lineRule="exact"/>
                    <w:ind w:left="-105" w:leftChars="-50" w:right="-105" w:rightChars="-50"/>
                    <w:jc w:val="center"/>
                    <w:rPr>
                      <w:rFonts w:hint="default"/>
                      <w:sz w:val="21"/>
                      <w:szCs w:val="21"/>
                    </w:rPr>
                  </w:pPr>
                  <w:r>
                    <w:rPr>
                      <w:rFonts w:hint="default"/>
                      <w:sz w:val="21"/>
                      <w:szCs w:val="21"/>
                    </w:rPr>
                    <w:t>4</w:t>
                  </w:r>
                </w:p>
              </w:tc>
              <w:tc>
                <w:tcPr>
                  <w:tcW w:w="703" w:type="pct"/>
                  <w:tcBorders>
                    <w:tl2br w:val="nil"/>
                    <w:tr2bl w:val="nil"/>
                  </w:tcBorders>
                  <w:noWrap w:val="0"/>
                  <w:vAlign w:val="center"/>
                </w:tcPr>
                <w:p w14:paraId="51EE9C12">
                  <w:pPr>
                    <w:keepNext w:val="0"/>
                    <w:keepLines w:val="0"/>
                    <w:suppressLineNumbers w:val="0"/>
                    <w:adjustRightInd w:val="0"/>
                    <w:snapToGrid w:val="0"/>
                    <w:spacing w:before="0" w:beforeAutospacing="0" w:after="0" w:afterAutospacing="0"/>
                    <w:ind w:left="0" w:right="0"/>
                    <w:jc w:val="center"/>
                    <w:rPr>
                      <w:rFonts w:hint="default"/>
                      <w:spacing w:val="-6"/>
                      <w:sz w:val="21"/>
                      <w:szCs w:val="21"/>
                    </w:rPr>
                  </w:pPr>
                  <w:r>
                    <w:rPr>
                      <w:rFonts w:hint="default"/>
                      <w:sz w:val="21"/>
                      <w:szCs w:val="21"/>
                    </w:rPr>
                    <w:t>厂界东侧1m处</w:t>
                  </w:r>
                </w:p>
              </w:tc>
              <w:tc>
                <w:tcPr>
                  <w:tcW w:w="406" w:type="pct"/>
                  <w:tcBorders>
                    <w:tl2br w:val="nil"/>
                    <w:tr2bl w:val="nil"/>
                  </w:tcBorders>
                  <w:noWrap w:val="0"/>
                  <w:vAlign w:val="center"/>
                </w:tcPr>
                <w:p w14:paraId="0BA9C8F2">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default"/>
                      <w:sz w:val="21"/>
                      <w:szCs w:val="21"/>
                    </w:rPr>
                  </w:pPr>
                  <w:r>
                    <w:rPr>
                      <w:rFonts w:hint="eastAsia"/>
                      <w:sz w:val="21"/>
                      <w:szCs w:val="21"/>
                    </w:rPr>
                    <w:t>5</w:t>
                  </w:r>
                  <w:r>
                    <w:rPr>
                      <w:rFonts w:hint="eastAsia"/>
                      <w:sz w:val="21"/>
                      <w:szCs w:val="21"/>
                      <w:lang w:val="en-US" w:eastAsia="zh-CN"/>
                    </w:rPr>
                    <w:t>4</w:t>
                  </w:r>
                  <w:r>
                    <w:rPr>
                      <w:rFonts w:hint="eastAsia"/>
                      <w:sz w:val="21"/>
                      <w:szCs w:val="21"/>
                    </w:rPr>
                    <w:t>.3</w:t>
                  </w:r>
                </w:p>
              </w:tc>
              <w:tc>
                <w:tcPr>
                  <w:tcW w:w="410" w:type="pct"/>
                  <w:tcBorders>
                    <w:tl2br w:val="nil"/>
                    <w:tr2bl w:val="nil"/>
                  </w:tcBorders>
                  <w:noWrap w:val="0"/>
                  <w:vAlign w:val="center"/>
                </w:tcPr>
                <w:p w14:paraId="24C854C5">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w:t>
                  </w:r>
                </w:p>
              </w:tc>
              <w:tc>
                <w:tcPr>
                  <w:tcW w:w="406" w:type="pct"/>
                  <w:tcBorders>
                    <w:tl2br w:val="nil"/>
                    <w:tr2bl w:val="nil"/>
                  </w:tcBorders>
                  <w:noWrap w:val="0"/>
                  <w:vAlign w:val="center"/>
                </w:tcPr>
                <w:p w14:paraId="431268D5">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lang w:val="en-US" w:eastAsia="zh-CN"/>
                    </w:rPr>
                    <w:t>52</w:t>
                  </w:r>
                  <w:r>
                    <w:rPr>
                      <w:rFonts w:hint="eastAsia"/>
                      <w:sz w:val="21"/>
                      <w:szCs w:val="21"/>
                    </w:rPr>
                    <w:t>.</w:t>
                  </w:r>
                  <w:r>
                    <w:rPr>
                      <w:rFonts w:hint="eastAsia"/>
                      <w:sz w:val="21"/>
                      <w:szCs w:val="21"/>
                      <w:lang w:val="en-US" w:eastAsia="zh-CN"/>
                    </w:rPr>
                    <w:t>8</w:t>
                  </w:r>
                </w:p>
              </w:tc>
              <w:tc>
                <w:tcPr>
                  <w:tcW w:w="411" w:type="pct"/>
                  <w:tcBorders>
                    <w:tl2br w:val="nil"/>
                    <w:tr2bl w:val="nil"/>
                  </w:tcBorders>
                  <w:noWrap w:val="0"/>
                  <w:vAlign w:val="center"/>
                </w:tcPr>
                <w:p w14:paraId="4E3B0832">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w:t>
                  </w:r>
                </w:p>
              </w:tc>
              <w:tc>
                <w:tcPr>
                  <w:tcW w:w="405" w:type="pct"/>
                  <w:tcBorders>
                    <w:tl2br w:val="nil"/>
                    <w:tr2bl w:val="nil"/>
                  </w:tcBorders>
                  <w:noWrap w:val="0"/>
                  <w:vAlign w:val="center"/>
                </w:tcPr>
                <w:p w14:paraId="05E8D867">
                  <w:pPr>
                    <w:keepNext w:val="0"/>
                    <w:keepLines w:val="0"/>
                    <w:suppressLineNumbers w:val="0"/>
                    <w:tabs>
                      <w:tab w:val="left" w:pos="3600"/>
                      <w:tab w:val="left" w:pos="43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56.16</w:t>
                  </w:r>
                </w:p>
              </w:tc>
              <w:tc>
                <w:tcPr>
                  <w:tcW w:w="409" w:type="pct"/>
                  <w:tcBorders>
                    <w:tl2br w:val="nil"/>
                    <w:tr2bl w:val="nil"/>
                  </w:tcBorders>
                  <w:noWrap w:val="0"/>
                  <w:vAlign w:val="center"/>
                </w:tcPr>
                <w:p w14:paraId="3224EBD7">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w:t>
                  </w:r>
                </w:p>
              </w:tc>
              <w:tc>
                <w:tcPr>
                  <w:tcW w:w="413" w:type="pct"/>
                  <w:tcBorders>
                    <w:tl2br w:val="nil"/>
                    <w:tr2bl w:val="nil"/>
                  </w:tcBorders>
                  <w:noWrap w:val="0"/>
                  <w:vAlign w:val="center"/>
                </w:tcPr>
                <w:p w14:paraId="634BC18B">
                  <w:pPr>
                    <w:keepNext w:val="0"/>
                    <w:keepLines w:val="0"/>
                    <w:suppressLineNumbers w:val="0"/>
                    <w:adjustRightInd w:val="0"/>
                    <w:snapToGrid w:val="0"/>
                    <w:spacing w:before="60" w:beforeAutospacing="0" w:after="60" w:afterAutospacing="0" w:line="400" w:lineRule="exact"/>
                    <w:ind w:left="0" w:right="0"/>
                    <w:jc w:val="center"/>
                    <w:textAlignment w:val="bottom"/>
                    <w:rPr>
                      <w:rFonts w:hint="eastAsia"/>
                      <w:kern w:val="0"/>
                      <w:sz w:val="21"/>
                      <w:szCs w:val="21"/>
                    </w:rPr>
                  </w:pPr>
                  <w:r>
                    <w:rPr>
                      <w:rFonts w:hint="eastAsia"/>
                      <w:kern w:val="0"/>
                      <w:sz w:val="21"/>
                      <w:szCs w:val="21"/>
                    </w:rPr>
                    <w:t>65</w:t>
                  </w:r>
                </w:p>
              </w:tc>
              <w:tc>
                <w:tcPr>
                  <w:tcW w:w="400" w:type="pct"/>
                  <w:tcBorders>
                    <w:tl2br w:val="nil"/>
                    <w:tr2bl w:val="nil"/>
                  </w:tcBorders>
                  <w:noWrap w:val="0"/>
                  <w:vAlign w:val="center"/>
                </w:tcPr>
                <w:p w14:paraId="72AFE7D6">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kern w:val="0"/>
                      <w:sz w:val="21"/>
                      <w:szCs w:val="21"/>
                    </w:rPr>
                  </w:pPr>
                  <w:r>
                    <w:rPr>
                      <w:rFonts w:hint="eastAsia"/>
                      <w:sz w:val="21"/>
                      <w:szCs w:val="21"/>
                    </w:rPr>
                    <w:t>/</w:t>
                  </w:r>
                </w:p>
              </w:tc>
              <w:tc>
                <w:tcPr>
                  <w:tcW w:w="434" w:type="pct"/>
                  <w:tcBorders>
                    <w:tl2br w:val="nil"/>
                    <w:tr2bl w:val="nil"/>
                  </w:tcBorders>
                  <w:noWrap w:val="0"/>
                  <w:vAlign w:val="center"/>
                </w:tcPr>
                <w:p w14:paraId="6922BE56">
                  <w:pPr>
                    <w:keepNext w:val="0"/>
                    <w:keepLines w:val="0"/>
                    <w:suppressLineNumbers w:val="0"/>
                    <w:adjustRightInd w:val="0"/>
                    <w:snapToGrid w:val="0"/>
                    <w:spacing w:before="60" w:beforeAutospacing="0" w:after="60" w:afterAutospacing="0" w:line="400" w:lineRule="exact"/>
                    <w:ind w:left="0" w:right="0"/>
                    <w:jc w:val="center"/>
                    <w:textAlignment w:val="bottom"/>
                    <w:rPr>
                      <w:rFonts w:hint="eastAsia"/>
                      <w:kern w:val="0"/>
                      <w:sz w:val="21"/>
                      <w:szCs w:val="21"/>
                    </w:rPr>
                  </w:pPr>
                  <w:r>
                    <w:rPr>
                      <w:rFonts w:hint="default"/>
                      <w:kern w:val="0"/>
                      <w:sz w:val="21"/>
                      <w:szCs w:val="21"/>
                    </w:rPr>
                    <w:t>达标</w:t>
                  </w:r>
                </w:p>
              </w:tc>
              <w:tc>
                <w:tcPr>
                  <w:tcW w:w="382" w:type="pct"/>
                  <w:tcBorders>
                    <w:tl2br w:val="nil"/>
                    <w:tr2bl w:val="nil"/>
                  </w:tcBorders>
                  <w:noWrap w:val="0"/>
                  <w:vAlign w:val="center"/>
                </w:tcPr>
                <w:p w14:paraId="7CE29BAD">
                  <w:pPr>
                    <w:keepNext w:val="0"/>
                    <w:keepLines w:val="0"/>
                    <w:suppressLineNumbers w:val="0"/>
                    <w:adjustRightInd w:val="0"/>
                    <w:snapToGrid w:val="0"/>
                    <w:spacing w:before="60" w:beforeAutospacing="0" w:after="60" w:afterAutospacing="0" w:line="400" w:lineRule="exact"/>
                    <w:ind w:left="0" w:right="0"/>
                    <w:jc w:val="center"/>
                    <w:textAlignment w:val="bottom"/>
                    <w:rPr>
                      <w:rFonts w:hint="default"/>
                      <w:kern w:val="0"/>
                      <w:sz w:val="21"/>
                      <w:szCs w:val="21"/>
                    </w:rPr>
                  </w:pPr>
                  <w:r>
                    <w:rPr>
                      <w:rFonts w:hint="eastAsia"/>
                      <w:sz w:val="21"/>
                      <w:szCs w:val="21"/>
                    </w:rPr>
                    <w:t>/</w:t>
                  </w:r>
                </w:p>
              </w:tc>
            </w:tr>
          </w:tbl>
          <w:p w14:paraId="37A0DD5D">
            <w:pPr>
              <w:keepNext w:val="0"/>
              <w:keepLines w:val="0"/>
              <w:suppressLineNumbers w:val="0"/>
              <w:spacing w:before="0" w:beforeAutospacing="0" w:after="0" w:afterAutospacing="0"/>
              <w:ind w:left="0" w:right="0"/>
              <w:jc w:val="center"/>
              <w:rPr>
                <w:rFonts w:hint="default" w:ascii="Times New Roman" w:hAnsi="Times New Roman" w:cs="Times New Roman"/>
                <w:b/>
                <w:sz w:val="24"/>
                <w:szCs w:val="24"/>
              </w:rPr>
            </w:pPr>
          </w:p>
          <w:p w14:paraId="2F02EC6E">
            <w:pPr>
              <w:pStyle w:val="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b/>
                <w:bCs/>
                <w:szCs w:val="24"/>
              </w:rPr>
            </w:pPr>
            <w:r>
              <w:rPr>
                <w:rFonts w:hint="default" w:ascii="Times New Roman" w:hAnsi="Times New Roman" w:cs="Times New Roman"/>
              </w:rPr>
              <w:t>根据上表预测结果，本项目四面厂界满足《工业企业厂界环境噪声排放标准》（GB12348-2008）3类标准。</w:t>
            </w:r>
          </w:p>
          <w:p w14:paraId="04FD6208">
            <w:pPr>
              <w:pStyle w:val="69"/>
              <w:keepNext w:val="0"/>
              <w:keepLines w:val="0"/>
              <w:suppressLineNumbers w:val="0"/>
              <w:spacing w:before="0" w:beforeAutospacing="0" w:after="0" w:afterAutospacing="0"/>
              <w:ind w:left="0" w:leftChars="0" w:right="0" w:firstLine="0" w:firstLineChars="0"/>
              <w:jc w:val="left"/>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3.4噪声</w:t>
            </w:r>
            <w:r>
              <w:rPr>
                <w:rFonts w:hint="eastAsia" w:ascii="Times New Roman" w:hAnsi="Times New Roman" w:cs="Times New Roman"/>
                <w:b/>
                <w:bCs/>
                <w:sz w:val="24"/>
                <w:szCs w:val="24"/>
                <w:lang w:val="en-US" w:eastAsia="zh-CN"/>
              </w:rPr>
              <w:t>监测计划</w:t>
            </w:r>
          </w:p>
          <w:p w14:paraId="199B532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bCs/>
                <w:sz w:val="24"/>
                <w:szCs w:val="24"/>
              </w:rPr>
            </w:pPr>
            <w:r>
              <w:rPr>
                <w:rFonts w:hint="default" w:ascii="Times New Roman" w:hAnsi="Times New Roman" w:cs="Times New Roman"/>
                <w:sz w:val="24"/>
              </w:rPr>
              <w:t>参照</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"http://www.mee.gov.cn/ywgz/fgbz/bz/bzwb/pwxk/202003/W020200304702000053087.pdf"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rPr>
              <w:t>排污单位自行监测技术指南 食品制造</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rPr>
              <w:t>HJ 1084-2020</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rPr>
              <w:fldChar w:fldCharType="end"/>
            </w:r>
            <w:r>
              <w:rPr>
                <w:rFonts w:hint="eastAsia" w:ascii="Times New Roman" w:hAnsi="Times New Roman" w:cs="Times New Roman"/>
                <w:sz w:val="24"/>
                <w:lang w:val="en-US" w:eastAsia="zh-CN"/>
              </w:rPr>
              <w:t>中表4厂界环境噪声监测点位、监测频次</w:t>
            </w:r>
            <w:r>
              <w:rPr>
                <w:rFonts w:hint="default" w:ascii="Times New Roman" w:hAnsi="Times New Roman" w:cs="Times New Roman"/>
                <w:sz w:val="24"/>
              </w:rPr>
              <w:t>，本项目运营期厂界噪声</w:t>
            </w:r>
            <w:r>
              <w:rPr>
                <w:rFonts w:hint="default" w:ascii="Times New Roman" w:hAnsi="Times New Roman" w:cs="Times New Roman"/>
                <w:color w:val="000000"/>
                <w:kern w:val="0"/>
                <w:sz w:val="24"/>
                <w:lang w:bidi="ar"/>
              </w:rPr>
              <w:t>监测情况如下表所示</w:t>
            </w:r>
            <w:r>
              <w:rPr>
                <w:rFonts w:hint="eastAsia" w:ascii="Times New Roman" w:hAnsi="Times New Roman" w:cs="Times New Roman"/>
                <w:color w:val="000000"/>
                <w:kern w:val="0"/>
                <w:sz w:val="24"/>
                <w:lang w:bidi="ar"/>
              </w:rPr>
              <w:t>。</w:t>
            </w:r>
          </w:p>
          <w:p w14:paraId="12A40A4A">
            <w:pPr>
              <w:keepNext w:val="0"/>
              <w:keepLines w:val="0"/>
              <w:suppressLineNumbers w:val="0"/>
              <w:spacing w:before="0" w:beforeAutospacing="0" w:after="0" w:afterAutospacing="0"/>
              <w:ind w:left="0" w:right="0"/>
              <w:jc w:val="center"/>
              <w:rPr>
                <w:rFonts w:hint="default" w:ascii="Times New Roman" w:hAnsi="Times New Roman" w:cs="Times New Roman"/>
                <w:b/>
                <w:bCs/>
                <w:szCs w:val="21"/>
              </w:rPr>
            </w:pPr>
            <w:r>
              <w:rPr>
                <w:rFonts w:hint="default" w:ascii="Times New Roman" w:hAnsi="Times New Roman" w:cs="Times New Roman"/>
                <w:b/>
                <w:bCs/>
                <w:sz w:val="24"/>
                <w:szCs w:val="24"/>
              </w:rPr>
              <w:t>表4-</w:t>
            </w:r>
            <w:r>
              <w:rPr>
                <w:rFonts w:hint="eastAsia" w:cs="Times New Roman"/>
                <w:b/>
                <w:bCs/>
                <w:sz w:val="24"/>
                <w:szCs w:val="24"/>
                <w:lang w:val="en-US" w:eastAsia="zh-CN"/>
              </w:rPr>
              <w:t>9</w:t>
            </w:r>
            <w:r>
              <w:rPr>
                <w:rFonts w:hint="eastAsia" w:ascii="Times New Roman" w:hAnsi="Times New Roman" w:cs="Times New Roman"/>
                <w:b/>
                <w:bCs/>
                <w:sz w:val="24"/>
                <w:szCs w:val="24"/>
              </w:rPr>
              <w:t xml:space="preserve">  </w:t>
            </w:r>
            <w:r>
              <w:rPr>
                <w:rFonts w:hint="default" w:ascii="Times New Roman" w:hAnsi="Times New Roman" w:cs="Times New Roman"/>
                <w:b/>
                <w:bCs/>
                <w:sz w:val="24"/>
                <w:szCs w:val="24"/>
              </w:rPr>
              <w:t>运营期厂界噪声监测计划</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568"/>
              <w:gridCol w:w="1568"/>
              <w:gridCol w:w="1410"/>
              <w:gridCol w:w="2934"/>
            </w:tblGrid>
            <w:tr w14:paraId="16669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78" w:type="pct"/>
                  <w:noWrap w:val="0"/>
                  <w:tcMar>
                    <w:left w:w="57" w:type="dxa"/>
                    <w:right w:w="57" w:type="dxa"/>
                  </w:tcMar>
                  <w:vAlign w:val="center"/>
                </w:tcPr>
                <w:p w14:paraId="3CD05342">
                  <w:pPr>
                    <w:keepNext w:val="0"/>
                    <w:keepLines w:val="0"/>
                    <w:suppressLineNumbers w:val="0"/>
                    <w:snapToGrid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监测类别</w:t>
                  </w:r>
                </w:p>
              </w:tc>
              <w:tc>
                <w:tcPr>
                  <w:tcW w:w="926" w:type="pct"/>
                  <w:noWrap w:val="0"/>
                  <w:vAlign w:val="center"/>
                </w:tcPr>
                <w:p w14:paraId="5CDF348D">
                  <w:pPr>
                    <w:keepNext w:val="0"/>
                    <w:keepLines w:val="0"/>
                    <w:suppressLineNumbers w:val="0"/>
                    <w:snapToGrid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监测</w:t>
                  </w:r>
                  <w:r>
                    <w:rPr>
                      <w:rFonts w:hint="eastAsia" w:ascii="Times New Roman" w:hAnsi="Times New Roman" w:cs="Times New Roman"/>
                      <w:b/>
                      <w:sz w:val="21"/>
                      <w:szCs w:val="21"/>
                      <w:lang w:val="en-US" w:eastAsia="zh-CN"/>
                    </w:rPr>
                    <w:t>指标</w:t>
                  </w:r>
                </w:p>
              </w:tc>
              <w:tc>
                <w:tcPr>
                  <w:tcW w:w="926" w:type="pct"/>
                  <w:noWrap w:val="0"/>
                  <w:vAlign w:val="center"/>
                </w:tcPr>
                <w:p w14:paraId="3BDB0957">
                  <w:pPr>
                    <w:keepNext w:val="0"/>
                    <w:keepLines w:val="0"/>
                    <w:suppressLineNumbers w:val="0"/>
                    <w:snapToGrid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监测</w:t>
                  </w:r>
                  <w:r>
                    <w:rPr>
                      <w:rFonts w:hint="eastAsia" w:ascii="Times New Roman" w:hAnsi="Times New Roman" w:cs="Times New Roman"/>
                      <w:b/>
                      <w:sz w:val="21"/>
                      <w:szCs w:val="21"/>
                      <w:lang w:val="en-US" w:eastAsia="zh-CN"/>
                    </w:rPr>
                    <w:t>点位</w:t>
                  </w:r>
                </w:p>
              </w:tc>
              <w:tc>
                <w:tcPr>
                  <w:tcW w:w="833" w:type="pct"/>
                  <w:noWrap w:val="0"/>
                  <w:vAlign w:val="center"/>
                </w:tcPr>
                <w:p w14:paraId="213796B1">
                  <w:pPr>
                    <w:keepNext w:val="0"/>
                    <w:keepLines w:val="0"/>
                    <w:suppressLineNumbers w:val="0"/>
                    <w:snapToGrid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监测频次</w:t>
                  </w:r>
                </w:p>
              </w:tc>
              <w:tc>
                <w:tcPr>
                  <w:tcW w:w="1733" w:type="pct"/>
                  <w:noWrap w:val="0"/>
                  <w:vAlign w:val="center"/>
                </w:tcPr>
                <w:p w14:paraId="56CC6D7D">
                  <w:pPr>
                    <w:keepNext w:val="0"/>
                    <w:keepLines w:val="0"/>
                    <w:suppressLineNumbers w:val="0"/>
                    <w:snapToGrid w:val="0"/>
                    <w:spacing w:before="0" w:beforeAutospacing="0" w:after="0" w:afterAutospacing="0"/>
                    <w:ind w:left="0" w:right="0"/>
                    <w:jc w:val="center"/>
                    <w:rPr>
                      <w:rFonts w:hint="default" w:ascii="Times New Roman" w:hAnsi="Times New Roman" w:cs="Times New Roman"/>
                      <w:b/>
                      <w:sz w:val="21"/>
                      <w:szCs w:val="21"/>
                    </w:rPr>
                  </w:pPr>
                  <w:r>
                    <w:rPr>
                      <w:rFonts w:hint="default" w:ascii="Times New Roman" w:hAnsi="Times New Roman" w:cs="Times New Roman"/>
                      <w:b/>
                      <w:sz w:val="21"/>
                      <w:szCs w:val="21"/>
                    </w:rPr>
                    <w:t>执行标准</w:t>
                  </w:r>
                </w:p>
              </w:tc>
            </w:tr>
            <w:tr w14:paraId="3BF89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78" w:type="pct"/>
                  <w:noWrap w:val="0"/>
                  <w:tcMar>
                    <w:left w:w="57" w:type="dxa"/>
                    <w:right w:w="57" w:type="dxa"/>
                  </w:tcMar>
                  <w:vAlign w:val="center"/>
                </w:tcPr>
                <w:p w14:paraId="170FA14A">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926" w:type="pct"/>
                  <w:noWrap w:val="0"/>
                  <w:vAlign w:val="center"/>
                </w:tcPr>
                <w:p w14:paraId="68F1A95C">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等效连续A声级</w:t>
                  </w:r>
                </w:p>
              </w:tc>
              <w:tc>
                <w:tcPr>
                  <w:tcW w:w="926" w:type="pct"/>
                  <w:noWrap w:val="0"/>
                  <w:vAlign w:val="center"/>
                </w:tcPr>
                <w:p w14:paraId="35BCF116">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color w:val="auto"/>
                      <w:szCs w:val="21"/>
                      <w:lang w:val="en-US" w:eastAsia="zh-CN"/>
                    </w:rPr>
                    <w:t>企业</w:t>
                  </w:r>
                  <w:r>
                    <w:rPr>
                      <w:rFonts w:hint="default" w:ascii="Times New Roman" w:hAnsi="Times New Roman" w:cs="Times New Roman"/>
                      <w:color w:val="auto"/>
                      <w:szCs w:val="21"/>
                    </w:rPr>
                    <w:t>厂界四周</w:t>
                  </w:r>
                </w:p>
              </w:tc>
              <w:tc>
                <w:tcPr>
                  <w:tcW w:w="833" w:type="pct"/>
                  <w:noWrap w:val="0"/>
                  <w:vAlign w:val="center"/>
                </w:tcPr>
                <w:p w14:paraId="67CDD179">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1次/季度</w:t>
                  </w:r>
                </w:p>
              </w:tc>
              <w:tc>
                <w:tcPr>
                  <w:tcW w:w="1733" w:type="pct"/>
                  <w:noWrap w:val="0"/>
                  <w:vAlign w:val="center"/>
                </w:tcPr>
                <w:p w14:paraId="6DE245B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《工业企业厂界环境噪声排放标准》(GB12348-2008)</w:t>
                  </w:r>
                  <w:r>
                    <w:rPr>
                      <w:rFonts w:hint="eastAsia" w:ascii="Times New Roman" w:hAnsi="Times New Roman" w:cs="Times New Roman"/>
                      <w:sz w:val="21"/>
                      <w:szCs w:val="21"/>
                      <w:lang w:val="en-US" w:eastAsia="zh-CN"/>
                    </w:rPr>
                    <w:t>3类标准要求</w:t>
                  </w:r>
                </w:p>
              </w:tc>
            </w:tr>
          </w:tbl>
          <w:p w14:paraId="26F95A46">
            <w:pPr>
              <w:keepNext w:val="0"/>
              <w:keepLines w:val="0"/>
              <w:suppressLineNumbers w:val="0"/>
              <w:spacing w:before="0" w:beforeAutospacing="0" w:after="0" w:afterAutospacing="0"/>
              <w:ind w:left="0" w:right="0"/>
              <w:rPr>
                <w:rFonts w:hint="eastAsia" w:ascii="Times New Roman" w:hAnsi="Times New Roman" w:cs="Times New Roman"/>
                <w:b/>
                <w:bCs/>
                <w:color w:val="auto"/>
                <w:sz w:val="24"/>
                <w:szCs w:val="32"/>
                <w:lang w:val="en-US" w:eastAsia="zh-CN"/>
              </w:rPr>
            </w:pPr>
          </w:p>
          <w:p w14:paraId="08BB1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、固体废弃物影响分析</w:t>
            </w:r>
          </w:p>
          <w:p w14:paraId="0939B963">
            <w:pPr>
              <w:keepNext w:val="0"/>
              <w:keepLines w:val="0"/>
              <w:pageBreakBefore w:val="0"/>
              <w:widowControl/>
              <w:suppressLineNumbers w:val="0"/>
              <w:kinsoku/>
              <w:wordWrap/>
              <w:topLinePunct w:val="0"/>
              <w:bidi w:val="0"/>
              <w:spacing w:before="0" w:beforeAutospacing="0" w:after="0" w:afterAutospacing="0" w:line="360" w:lineRule="auto"/>
              <w:ind w:left="0" w:leftChars="0" w:right="0" w:firstLine="480" w:firstLineChars="200"/>
              <w:jc w:val="both"/>
              <w:textAlignment w:val="auto"/>
              <w:rPr>
                <w:rFonts w:hint="default"/>
              </w:rPr>
            </w:pPr>
            <w:r>
              <w:rPr>
                <w:rFonts w:hint="default" w:ascii="Times New Roman" w:hAnsi="Times New Roman" w:cs="Times New Roman"/>
                <w:color w:val="auto"/>
                <w:kern w:val="0"/>
                <w:sz w:val="24"/>
                <w:szCs w:val="24"/>
                <w:lang w:bidi="ar"/>
              </w:rPr>
              <w:t>项目固体废弃物主要有废包装材料、</w:t>
            </w:r>
            <w:r>
              <w:rPr>
                <w:rFonts w:hint="default" w:ascii="Times New Roman" w:hAnsi="Times New Roman" w:cs="Times New Roman"/>
                <w:color w:val="auto"/>
                <w:kern w:val="0"/>
                <w:sz w:val="24"/>
                <w:szCs w:val="24"/>
                <w:lang w:val="en-US" w:eastAsia="zh-CN" w:bidi="ar"/>
              </w:rPr>
              <w:t>杂质、</w:t>
            </w:r>
            <w:r>
              <w:rPr>
                <w:rFonts w:hint="eastAsia" w:cs="Times New Roman"/>
                <w:color w:val="auto"/>
                <w:kern w:val="0"/>
                <w:sz w:val="24"/>
                <w:szCs w:val="24"/>
                <w:lang w:val="en-US" w:eastAsia="zh-CN" w:bidi="ar"/>
              </w:rPr>
              <w:t>过筛物料、</w:t>
            </w:r>
            <w:r>
              <w:rPr>
                <w:rFonts w:hint="eastAsia" w:ascii="Times New Roman" w:hAnsi="Times New Roman" w:cs="Times New Roman"/>
                <w:color w:val="auto"/>
                <w:kern w:val="0"/>
                <w:sz w:val="24"/>
                <w:szCs w:val="24"/>
                <w:lang w:val="en-US" w:eastAsia="zh-CN" w:bidi="ar"/>
              </w:rPr>
              <w:t>废油</w:t>
            </w:r>
            <w:r>
              <w:rPr>
                <w:rFonts w:hint="eastAsia" w:cs="Times New Roman"/>
                <w:color w:val="auto"/>
                <w:kern w:val="0"/>
                <w:sz w:val="24"/>
                <w:szCs w:val="24"/>
                <w:lang w:val="en-US" w:eastAsia="zh-CN" w:bidi="ar"/>
              </w:rPr>
              <w:t>物</w:t>
            </w:r>
            <w:r>
              <w:rPr>
                <w:rFonts w:hint="eastAsia" w:ascii="Times New Roman" w:hAnsi="Times New Roman"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不合格品、</w:t>
            </w:r>
            <w:r>
              <w:rPr>
                <w:rFonts w:hint="default" w:ascii="Times New Roman" w:hAnsi="Times New Roman" w:cs="Times New Roman"/>
                <w:color w:val="auto"/>
                <w:kern w:val="0"/>
                <w:sz w:val="24"/>
                <w:szCs w:val="24"/>
                <w:lang w:bidi="ar"/>
              </w:rPr>
              <w:t>除尘器收集粉尘、</w:t>
            </w:r>
            <w:r>
              <w:rPr>
                <w:rFonts w:hint="eastAsia" w:cs="Times New Roman"/>
                <w:color w:val="auto"/>
                <w:kern w:val="0"/>
                <w:sz w:val="24"/>
                <w:szCs w:val="24"/>
                <w:lang w:val="en-US" w:eastAsia="zh-CN" w:bidi="ar"/>
              </w:rPr>
              <w:t>废布袋、地面清扫粉尘、污泥、废毛巾、</w:t>
            </w:r>
            <w:r>
              <w:rPr>
                <w:rFonts w:hint="default" w:ascii="Times New Roman" w:hAnsi="Times New Roman" w:cs="Times New Roman"/>
                <w:color w:val="auto"/>
                <w:kern w:val="0"/>
                <w:sz w:val="24"/>
                <w:szCs w:val="24"/>
                <w:lang w:bidi="ar"/>
              </w:rPr>
              <w:t>职工生活垃圾</w:t>
            </w:r>
            <w:r>
              <w:rPr>
                <w:rFonts w:hint="eastAsia" w:cs="Times New Roman"/>
                <w:color w:val="auto"/>
                <w:kern w:val="0"/>
                <w:sz w:val="24"/>
                <w:szCs w:val="24"/>
                <w:lang w:eastAsia="zh-CN" w:bidi="ar"/>
              </w:rPr>
              <w:t>、</w:t>
            </w:r>
            <w:r>
              <w:rPr>
                <w:rFonts w:hint="eastAsia" w:cs="Times New Roman"/>
                <w:color w:val="auto"/>
                <w:kern w:val="0"/>
                <w:sz w:val="24"/>
                <w:szCs w:val="24"/>
                <w:lang w:val="en-US" w:eastAsia="zh-CN" w:bidi="ar"/>
              </w:rPr>
              <w:t>废机油、废机油桶、废紫外灯管</w:t>
            </w:r>
            <w:r>
              <w:rPr>
                <w:rFonts w:hint="eastAsia" w:cs="Times New Roman"/>
                <w:color w:val="auto"/>
                <w:kern w:val="0"/>
                <w:sz w:val="24"/>
                <w:szCs w:val="24"/>
                <w:lang w:eastAsia="zh-CN" w:bidi="ar"/>
              </w:rPr>
              <w:t>。</w:t>
            </w:r>
            <w:r>
              <w:rPr>
                <w:rFonts w:hint="default" w:ascii="Times New Roman" w:hAnsi="Times New Roman" w:cs="Times New Roman"/>
                <w:color w:val="auto"/>
                <w:kern w:val="0"/>
                <w:sz w:val="24"/>
                <w:szCs w:val="24"/>
                <w:lang w:bidi="ar"/>
              </w:rPr>
              <w:t>固体废物分析如下：</w:t>
            </w:r>
          </w:p>
          <w:p w14:paraId="2788107E">
            <w:pPr>
              <w:keepNext w:val="0"/>
              <w:keepLines w:val="0"/>
              <w:pageBreakBefore w:val="0"/>
              <w:numPr>
                <w:ilvl w:val="0"/>
                <w:numId w:val="0"/>
              </w:numPr>
              <w:suppressLineNumbers w:val="0"/>
              <w:kinsoku/>
              <w:wordWrap/>
              <w:topLinePunct w:val="0"/>
              <w:bidi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w:t>
            </w:r>
            <w:r>
              <w:rPr>
                <w:rFonts w:hint="default" w:ascii="Times New Roman" w:hAnsi="Times New Roman" w:cs="Times New Roman"/>
                <w:color w:val="auto"/>
                <w:sz w:val="24"/>
                <w:szCs w:val="24"/>
              </w:rPr>
              <w:t>废包装材料</w:t>
            </w:r>
            <w:r>
              <w:rPr>
                <w:rFonts w:hint="eastAsia" w:cs="Times New Roman"/>
                <w:color w:val="auto"/>
                <w:sz w:val="24"/>
                <w:szCs w:val="24"/>
                <w:lang w:eastAsia="zh-CN"/>
              </w:rPr>
              <w:t>：</w:t>
            </w: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废包装材料主要为废袋及废纸箱</w:t>
            </w:r>
            <w:r>
              <w:rPr>
                <w:rFonts w:hint="default" w:ascii="Times New Roman" w:hAnsi="Times New Roman" w:cs="Times New Roman"/>
                <w:color w:val="auto"/>
                <w:sz w:val="24"/>
                <w:szCs w:val="24"/>
              </w:rPr>
              <w:t>，产生量</w:t>
            </w:r>
            <w:r>
              <w:rPr>
                <w:rFonts w:hint="default" w:ascii="Times New Roman" w:hAnsi="Times New Roman" w:cs="Times New Roman"/>
                <w:color w:val="auto"/>
                <w:sz w:val="24"/>
                <w:szCs w:val="24"/>
                <w:lang w:val="en-US" w:eastAsia="zh-CN"/>
              </w:rPr>
              <w:t>约</w:t>
            </w:r>
            <w:r>
              <w:rPr>
                <w:rFonts w:hint="default" w:ascii="Times New Roman" w:hAnsi="Times New Roman" w:cs="Times New Roman"/>
                <w:color w:val="auto"/>
                <w:sz w:val="24"/>
                <w:szCs w:val="24"/>
              </w:rPr>
              <w:t>为</w:t>
            </w:r>
            <w:r>
              <w:rPr>
                <w:rFonts w:hint="eastAsia" w:cs="Times New Roman"/>
                <w:color w:val="auto"/>
                <w:sz w:val="24"/>
                <w:szCs w:val="24"/>
                <w:lang w:val="en-US" w:eastAsia="zh-CN"/>
              </w:rPr>
              <w:t>120</w:t>
            </w:r>
            <w:r>
              <w:rPr>
                <w:rFonts w:hint="default" w:ascii="Times New Roman" w:hAnsi="Times New Roman" w:cs="Times New Roman"/>
                <w:color w:val="auto"/>
                <w:sz w:val="24"/>
                <w:szCs w:val="24"/>
              </w:rPr>
              <w:t>t/a。根据《固体废物分类与代码》（2024年第4号公告）中规定</w:t>
            </w:r>
            <w:r>
              <w:rPr>
                <w:rFonts w:hint="default" w:ascii="Times New Roman" w:hAnsi="Times New Roman" w:cs="Times New Roman"/>
                <w:sz w:val="24"/>
                <w:szCs w:val="24"/>
                <w:lang w:eastAsia="zh-CN"/>
              </w:rPr>
              <w:t>，</w:t>
            </w:r>
            <w:r>
              <w:rPr>
                <w:rFonts w:hint="default" w:ascii="Times New Roman" w:hAnsi="Times New Roman" w:cs="Times New Roman"/>
                <w:color w:val="auto"/>
                <w:sz w:val="24"/>
                <w:szCs w:val="24"/>
              </w:rPr>
              <w:t>废包装材料属于</w:t>
            </w:r>
            <w:r>
              <w:rPr>
                <w:rFonts w:hint="eastAsia" w:ascii="Times New Roman" w:hAnsi="Times New Roman" w:cs="Times New Roman"/>
                <w:color w:val="auto"/>
                <w:sz w:val="24"/>
                <w:szCs w:val="24"/>
                <w:lang w:eastAsia="zh-CN"/>
              </w:rPr>
              <w:t>“</w:t>
            </w:r>
            <w:r>
              <w:rPr>
                <w:rFonts w:hint="default" w:ascii="Times New Roman" w:hAnsi="Times New Roman" w:cs="Times New Roman"/>
                <w:sz w:val="24"/>
                <w:szCs w:val="24"/>
                <w:lang w:eastAsia="zh-CN"/>
              </w:rPr>
              <w:t>SW17可再生类废物</w:t>
            </w:r>
            <w:r>
              <w:rPr>
                <w:rFonts w:hint="eastAsia" w:ascii="Times New Roman" w:hAnsi="Times New Roman" w:cs="Times New Roman"/>
                <w:sz w:val="24"/>
                <w:szCs w:val="24"/>
                <w:lang w:eastAsia="zh-CN"/>
              </w:rPr>
              <w:t>”</w:t>
            </w:r>
            <w:r>
              <w:rPr>
                <w:rFonts w:hint="default" w:ascii="Times New Roman" w:hAnsi="Times New Roman" w:cs="Times New Roman"/>
                <w:color w:val="auto"/>
                <w:sz w:val="24"/>
                <w:szCs w:val="24"/>
                <w:lang w:val="en-US" w:eastAsia="zh-CN"/>
              </w:rPr>
              <w:t>中的</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900-099-S17</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，废包装材料暂存于一般</w:t>
            </w:r>
            <w:r>
              <w:rPr>
                <w:rFonts w:hint="eastAsia" w:cs="Times New Roman"/>
                <w:color w:val="auto"/>
                <w:sz w:val="24"/>
                <w:szCs w:val="24"/>
                <w:lang w:val="en-US" w:eastAsia="zh-CN"/>
              </w:rPr>
              <w:t>固废库</w:t>
            </w:r>
            <w:r>
              <w:rPr>
                <w:rFonts w:hint="default" w:ascii="Times New Roman" w:hAnsi="Times New Roman" w:cs="Times New Roman"/>
                <w:color w:val="auto"/>
                <w:sz w:val="24"/>
                <w:szCs w:val="24"/>
              </w:rPr>
              <w:t>，定期外售</w:t>
            </w:r>
            <w:r>
              <w:rPr>
                <w:rFonts w:hint="default" w:ascii="Times New Roman" w:hAnsi="Times New Roman" w:cs="Times New Roman"/>
                <w:sz w:val="24"/>
                <w:szCs w:val="24"/>
              </w:rPr>
              <w:t>给物资回收公司</w:t>
            </w:r>
            <w:r>
              <w:rPr>
                <w:rFonts w:hint="default" w:ascii="Times New Roman" w:hAnsi="Times New Roman" w:cs="Times New Roman"/>
                <w:color w:val="auto"/>
                <w:sz w:val="24"/>
                <w:szCs w:val="24"/>
              </w:rPr>
              <w:t>。</w:t>
            </w:r>
          </w:p>
          <w:p w14:paraId="17E2BF59">
            <w:pPr>
              <w:keepNext w:val="0"/>
              <w:keepLines w:val="0"/>
              <w:pageBreakBefore w:val="0"/>
              <w:numPr>
                <w:ilvl w:val="0"/>
                <w:numId w:val="0"/>
              </w:numPr>
              <w:suppressLineNumbers w:val="0"/>
              <w:kinsoku/>
              <w:wordWrap/>
              <w:topLinePunct w:val="0"/>
              <w:bidi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（2）杂质：</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糖在人工</w:t>
            </w:r>
            <w:r>
              <w:rPr>
                <w:rFonts w:hint="default" w:ascii="Times New Roman" w:hAnsi="Times New Roman" w:cs="Times New Roman"/>
                <w:color w:val="auto"/>
                <w:sz w:val="24"/>
                <w:szCs w:val="24"/>
                <w:lang w:val="en-US" w:eastAsia="zh-CN"/>
              </w:rPr>
              <w:t>过筛</w:t>
            </w:r>
            <w:r>
              <w:rPr>
                <w:rFonts w:hint="default" w:ascii="Times New Roman" w:hAnsi="Times New Roman" w:cs="Times New Roman"/>
                <w:color w:val="auto"/>
                <w:sz w:val="24"/>
                <w:szCs w:val="24"/>
              </w:rPr>
              <w:t>过程中</w:t>
            </w:r>
            <w:r>
              <w:rPr>
                <w:rFonts w:hint="eastAsia" w:ascii="Times New Roman" w:hAnsi="Times New Roman" w:cs="Times New Roman"/>
                <w:color w:val="auto"/>
                <w:sz w:val="24"/>
                <w:szCs w:val="24"/>
                <w:lang w:val="en-US" w:eastAsia="zh-CN"/>
              </w:rPr>
              <w:t>会</w:t>
            </w:r>
            <w:r>
              <w:rPr>
                <w:rFonts w:hint="default" w:ascii="Times New Roman" w:hAnsi="Times New Roman" w:cs="Times New Roman"/>
                <w:color w:val="auto"/>
                <w:sz w:val="24"/>
                <w:szCs w:val="24"/>
              </w:rPr>
              <w:t>产生</w:t>
            </w:r>
            <w:r>
              <w:rPr>
                <w:rFonts w:hint="eastAsia" w:ascii="Times New Roman" w:hAnsi="Times New Roman" w:cs="Times New Roman"/>
                <w:color w:val="auto"/>
                <w:sz w:val="24"/>
                <w:szCs w:val="24"/>
                <w:lang w:val="en-US" w:eastAsia="zh-CN"/>
              </w:rPr>
              <w:t>少量</w:t>
            </w:r>
            <w:r>
              <w:rPr>
                <w:rFonts w:hint="default" w:ascii="Times New Roman" w:hAnsi="Times New Roman" w:cs="Times New Roman"/>
                <w:color w:val="auto"/>
                <w:sz w:val="24"/>
                <w:szCs w:val="24"/>
              </w:rPr>
              <w:t>杂质，根据</w:t>
            </w:r>
            <w:r>
              <w:rPr>
                <w:rFonts w:hint="eastAsia" w:ascii="Times New Roman" w:hAnsi="Times New Roman" w:cs="Times New Roman"/>
                <w:color w:val="auto"/>
                <w:sz w:val="24"/>
                <w:szCs w:val="24"/>
                <w:lang w:val="en-US" w:eastAsia="zh-CN"/>
              </w:rPr>
              <w:t>企业提供的资料</w:t>
            </w:r>
            <w:r>
              <w:rPr>
                <w:rFonts w:hint="default" w:ascii="Times New Roman" w:hAnsi="Times New Roman" w:cs="Times New Roman"/>
                <w:color w:val="auto"/>
                <w:sz w:val="24"/>
                <w:szCs w:val="24"/>
              </w:rPr>
              <w:t>，杂质产生量为</w:t>
            </w:r>
            <w:r>
              <w:rPr>
                <w:rFonts w:hint="eastAsia" w:ascii="Times New Roman" w:hAnsi="Times New Roman" w:cs="Times New Roman"/>
                <w:color w:val="auto"/>
                <w:sz w:val="24"/>
                <w:szCs w:val="24"/>
                <w:lang w:val="en-US" w:eastAsia="zh-CN"/>
              </w:rPr>
              <w:t>0.3</w:t>
            </w:r>
            <w:r>
              <w:rPr>
                <w:rFonts w:hint="default" w:ascii="Times New Roman" w:hAnsi="Times New Roman" w:cs="Times New Roman"/>
                <w:color w:val="auto"/>
                <w:sz w:val="24"/>
                <w:szCs w:val="24"/>
              </w:rPr>
              <w:t>t/a。根据《固体废物分类与代码》（2024年第4号公告）中规定杂质属于</w:t>
            </w:r>
            <w:r>
              <w:rPr>
                <w:rFonts w:hint="eastAsia" w:ascii="Times New Roman" w:hAnsi="Times New Roman" w:cs="Times New Roman"/>
                <w:color w:val="auto"/>
                <w:sz w:val="24"/>
                <w:szCs w:val="24"/>
                <w:lang w:eastAsia="zh-CN"/>
              </w:rPr>
              <w:t>“</w:t>
            </w:r>
            <w:r>
              <w:rPr>
                <w:rFonts w:hint="default" w:ascii="Times New Roman" w:hAnsi="Times New Roman" w:cs="Times New Roman"/>
                <w:sz w:val="24"/>
                <w:szCs w:val="24"/>
              </w:rPr>
              <w:t>SW59其他工业固体废物</w:t>
            </w:r>
            <w:r>
              <w:rPr>
                <w:rFonts w:hint="eastAsia" w:ascii="Times New Roman" w:hAnsi="Times New Roman" w:cs="Times New Roman"/>
                <w:sz w:val="24"/>
                <w:szCs w:val="24"/>
                <w:lang w:eastAsia="zh-CN"/>
              </w:rPr>
              <w:t>”</w:t>
            </w:r>
            <w:r>
              <w:rPr>
                <w:rFonts w:hint="default" w:ascii="Times New Roman" w:hAnsi="Times New Roman" w:cs="Times New Roman"/>
                <w:color w:val="auto"/>
                <w:sz w:val="24"/>
                <w:szCs w:val="24"/>
                <w:lang w:val="en-US" w:eastAsia="zh-CN"/>
              </w:rPr>
              <w:t>中的</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900-099-S59</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暂存于一般</w:t>
            </w:r>
            <w:r>
              <w:rPr>
                <w:rFonts w:hint="eastAsia" w:cs="Times New Roman"/>
                <w:color w:val="auto"/>
                <w:sz w:val="24"/>
                <w:szCs w:val="24"/>
                <w:lang w:val="en-US" w:eastAsia="zh-CN"/>
              </w:rPr>
              <w:t>固废库</w:t>
            </w:r>
            <w:r>
              <w:rPr>
                <w:rFonts w:hint="default" w:ascii="Times New Roman" w:hAnsi="Times New Roman" w:cs="Times New Roman"/>
                <w:color w:val="auto"/>
                <w:sz w:val="24"/>
                <w:szCs w:val="24"/>
              </w:rPr>
              <w:t>，定期外售给饲料生产公司。</w:t>
            </w:r>
          </w:p>
          <w:p w14:paraId="580EBF2C">
            <w:pPr>
              <w:keepNext w:val="0"/>
              <w:keepLines w:val="0"/>
              <w:pageBreakBefore w:val="0"/>
              <w:numPr>
                <w:ilvl w:val="-1"/>
                <w:numId w:val="0"/>
              </w:numPr>
              <w:suppressLineNumbers w:val="0"/>
              <w:kinsoku/>
              <w:wordWrap/>
              <w:topLinePunct w:val="0"/>
              <w:bidi w:val="0"/>
              <w:snapToGrid w:val="0"/>
              <w:spacing w:before="0" w:beforeAutospacing="0" w:after="0" w:afterAutospacing="0" w:line="360" w:lineRule="auto"/>
              <w:ind w:left="0" w:leftChars="0" w:right="0" w:firstLine="480" w:firstLineChars="0"/>
              <w:jc w:val="left"/>
              <w:textAlignment w:val="auto"/>
              <w:rPr>
                <w:rFonts w:hint="default" w:ascii="Times New Roman" w:hAnsi="Times New Roman" w:eastAsia="宋体" w:cs="Times New Roman"/>
                <w:sz w:val="24"/>
                <w:szCs w:val="24"/>
                <w:lang w:val="en-US" w:eastAsia="zh-CN"/>
              </w:rPr>
            </w:pPr>
            <w:r>
              <w:rPr>
                <w:rFonts w:hint="eastAsia" w:cs="Times New Roman"/>
                <w:sz w:val="24"/>
                <w:szCs w:val="24"/>
                <w:lang w:eastAsia="zh-CN"/>
              </w:rPr>
              <w:t>（</w:t>
            </w:r>
            <w:r>
              <w:rPr>
                <w:rFonts w:hint="eastAsia" w:cs="Times New Roman"/>
                <w:sz w:val="24"/>
                <w:szCs w:val="24"/>
                <w:lang w:val="en-US" w:eastAsia="zh-CN"/>
              </w:rPr>
              <w:t>3</w:t>
            </w:r>
            <w:r>
              <w:rPr>
                <w:rFonts w:hint="eastAsia" w:cs="Times New Roman"/>
                <w:sz w:val="24"/>
                <w:szCs w:val="24"/>
                <w:lang w:eastAsia="zh-CN"/>
              </w:rPr>
              <w:t>）</w:t>
            </w:r>
            <w:r>
              <w:rPr>
                <w:rFonts w:hint="eastAsia" w:cs="Times New Roman"/>
                <w:sz w:val="24"/>
                <w:szCs w:val="24"/>
                <w:lang w:val="en-US" w:eastAsia="zh-CN"/>
              </w:rPr>
              <w:t>过筛物料：本项目</w:t>
            </w:r>
            <w:r>
              <w:rPr>
                <w:rFonts w:hint="eastAsia" w:ascii="Times New Roman" w:hAnsi="Times New Roman" w:cs="Times New Roman"/>
                <w:sz w:val="24"/>
                <w:szCs w:val="24"/>
                <w:lang w:val="en-US" w:eastAsia="zh-CN"/>
              </w:rPr>
              <w:t>搅拌</w:t>
            </w:r>
            <w:r>
              <w:rPr>
                <w:rFonts w:hint="default" w:ascii="Times New Roman" w:hAnsi="Times New Roman" w:cs="Times New Roman"/>
                <w:sz w:val="24"/>
                <w:szCs w:val="24"/>
                <w:lang w:val="en-US" w:eastAsia="zh-CN"/>
              </w:rPr>
              <w:t>好的物料（湿料）经过筛机处理</w:t>
            </w:r>
            <w:r>
              <w:rPr>
                <w:rFonts w:hint="eastAsia" w:ascii="Times New Roman" w:hAnsi="Times New Roman" w:cs="Times New Roman"/>
                <w:sz w:val="24"/>
                <w:szCs w:val="24"/>
                <w:lang w:val="en-US" w:eastAsia="zh-CN"/>
              </w:rPr>
              <w:t>后会产生废弃物料，</w:t>
            </w:r>
            <w:r>
              <w:rPr>
                <w:rFonts w:hint="default" w:ascii="Times New Roman" w:hAnsi="Times New Roman" w:cs="Times New Roman"/>
                <w:sz w:val="24"/>
                <w:szCs w:val="24"/>
              </w:rPr>
              <w:t>根据</w:t>
            </w:r>
            <w:r>
              <w:rPr>
                <w:rFonts w:hint="eastAsia" w:cs="Times New Roman"/>
                <w:sz w:val="24"/>
                <w:szCs w:val="24"/>
                <w:lang w:val="en-US" w:eastAsia="zh-CN"/>
              </w:rPr>
              <w:t>建设单位</w:t>
            </w:r>
            <w:r>
              <w:rPr>
                <w:rFonts w:hint="default" w:ascii="Times New Roman" w:hAnsi="Times New Roman" w:cs="Times New Roman"/>
                <w:sz w:val="24"/>
                <w:szCs w:val="24"/>
              </w:rPr>
              <w:t>提供</w:t>
            </w:r>
            <w:r>
              <w:rPr>
                <w:rFonts w:hint="eastAsia" w:ascii="Times New Roman" w:hAnsi="Times New Roman" w:cs="Times New Roman"/>
                <w:sz w:val="24"/>
                <w:szCs w:val="24"/>
                <w:lang w:eastAsia="zh-CN"/>
              </w:rPr>
              <w:t>的</w:t>
            </w:r>
            <w:r>
              <w:rPr>
                <w:rFonts w:hint="default" w:ascii="Times New Roman" w:hAnsi="Times New Roman" w:cs="Times New Roman"/>
                <w:sz w:val="24"/>
                <w:szCs w:val="24"/>
              </w:rPr>
              <w:t>资料</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产生量为1.45t/a，统一收集后回用于生产线。</w:t>
            </w:r>
          </w:p>
          <w:p w14:paraId="17670190">
            <w:pPr>
              <w:keepNext w:val="0"/>
              <w:keepLines w:val="0"/>
              <w:pageBreakBefore w:val="0"/>
              <w:widowControl/>
              <w:numPr>
                <w:ilvl w:val="-1"/>
                <w:numId w:val="0"/>
              </w:numPr>
              <w:suppressLineNumbers w:val="0"/>
              <w:kinsoku/>
              <w:wordWrap/>
              <w:topLinePunct w:val="0"/>
              <w:bidi w:val="0"/>
              <w:snapToGrid/>
              <w:spacing w:before="0" w:beforeAutospacing="0" w:after="0" w:afterAutospacing="0" w:line="360" w:lineRule="auto"/>
              <w:ind w:left="0" w:leftChars="0" w:right="0" w:firstLine="480" w:firstLineChars="200"/>
              <w:jc w:val="both"/>
              <w:textAlignment w:val="auto"/>
              <w:rPr>
                <w:rFonts w:hint="eastAsia" w:cs="Times New Roman"/>
                <w:sz w:val="24"/>
                <w:szCs w:val="24"/>
                <w:lang w:eastAsia="zh-CN"/>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4</w:t>
            </w:r>
            <w:r>
              <w:rPr>
                <w:rFonts w:hint="default" w:ascii="Times New Roman" w:hAnsi="Times New Roman" w:cs="Times New Roman"/>
                <w:color w:val="auto"/>
                <w:sz w:val="24"/>
                <w:szCs w:val="24"/>
              </w:rPr>
              <w:t>）</w:t>
            </w:r>
            <w:r>
              <w:rPr>
                <w:rFonts w:hint="eastAsia" w:cs="Times New Roman"/>
                <w:color w:val="auto"/>
                <w:sz w:val="24"/>
                <w:szCs w:val="24"/>
                <w:lang w:val="en-US" w:eastAsia="zh-CN"/>
              </w:rPr>
              <w:t>废油物：本项目在调味过程中产生废油物，</w:t>
            </w:r>
            <w:r>
              <w:rPr>
                <w:rFonts w:hint="default" w:ascii="Times New Roman" w:hAnsi="Times New Roman" w:cs="Times New Roman"/>
                <w:color w:val="auto"/>
                <w:sz w:val="24"/>
                <w:szCs w:val="24"/>
              </w:rPr>
              <w:t>根据</w:t>
            </w:r>
            <w:r>
              <w:rPr>
                <w:rFonts w:hint="eastAsia" w:ascii="Times New Roman" w:hAnsi="Times New Roman" w:cs="Times New Roman"/>
                <w:color w:val="auto"/>
                <w:sz w:val="24"/>
                <w:szCs w:val="24"/>
                <w:lang w:val="en-US" w:eastAsia="zh-CN"/>
              </w:rPr>
              <w:t>企业提供的资料</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废油物</w:t>
            </w:r>
            <w:r>
              <w:rPr>
                <w:rFonts w:hint="default" w:ascii="Times New Roman" w:hAnsi="Times New Roman" w:cs="Times New Roman"/>
                <w:color w:val="auto"/>
                <w:sz w:val="24"/>
                <w:szCs w:val="24"/>
              </w:rPr>
              <w:t>产生量为</w:t>
            </w:r>
            <w:r>
              <w:rPr>
                <w:rFonts w:hint="eastAsia" w:ascii="Times New Roman" w:hAnsi="Times New Roman" w:cs="Times New Roman"/>
                <w:color w:val="auto"/>
                <w:sz w:val="24"/>
                <w:szCs w:val="24"/>
                <w:lang w:val="en-US" w:eastAsia="zh-CN"/>
              </w:rPr>
              <w:t>0.3</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根据《固体废物分类与代码》（2024年第4号公告）中规定</w:t>
            </w:r>
            <w:r>
              <w:rPr>
                <w:rFonts w:hint="eastAsia" w:ascii="Times New Roman" w:hAnsi="Times New Roman" w:cs="Times New Roman"/>
                <w:color w:val="auto"/>
                <w:sz w:val="24"/>
                <w:szCs w:val="24"/>
                <w:lang w:val="en-US" w:eastAsia="zh-CN"/>
              </w:rPr>
              <w:t>废油脂</w:t>
            </w:r>
            <w:r>
              <w:rPr>
                <w:rFonts w:hint="default" w:ascii="Times New Roman" w:hAnsi="Times New Roman" w:cs="Times New Roman"/>
                <w:color w:val="auto"/>
                <w:sz w:val="24"/>
                <w:szCs w:val="24"/>
              </w:rPr>
              <w:t>属于</w:t>
            </w:r>
            <w:r>
              <w:rPr>
                <w:rFonts w:hint="eastAsia" w:ascii="Times New Roman" w:hAnsi="Times New Roman" w:cs="Times New Roman"/>
                <w:color w:val="auto"/>
                <w:sz w:val="24"/>
                <w:szCs w:val="24"/>
                <w:lang w:eastAsia="zh-CN"/>
              </w:rPr>
              <w:t>“</w:t>
            </w:r>
            <w:r>
              <w:rPr>
                <w:rFonts w:hint="default" w:ascii="Times New Roman" w:hAnsi="Times New Roman" w:cs="Times New Roman"/>
                <w:sz w:val="24"/>
                <w:szCs w:val="24"/>
              </w:rPr>
              <w:t>SW</w:t>
            </w:r>
            <w:r>
              <w:rPr>
                <w:rFonts w:hint="eastAsia" w:ascii="Times New Roman" w:hAnsi="Times New Roman" w:cs="Times New Roman"/>
                <w:sz w:val="24"/>
                <w:szCs w:val="24"/>
                <w:lang w:val="en-US" w:eastAsia="zh-CN"/>
              </w:rPr>
              <w:t>61餐厨垃圾</w:t>
            </w:r>
            <w:r>
              <w:rPr>
                <w:rFonts w:hint="eastAsia" w:ascii="Times New Roman" w:hAnsi="Times New Roman" w:cs="Times New Roman"/>
                <w:sz w:val="24"/>
                <w:szCs w:val="24"/>
                <w:lang w:eastAsia="zh-CN"/>
              </w:rPr>
              <w:t>”</w:t>
            </w:r>
            <w:r>
              <w:rPr>
                <w:rFonts w:hint="default" w:ascii="Times New Roman" w:hAnsi="Times New Roman" w:cs="Times New Roman"/>
                <w:color w:val="auto"/>
                <w:sz w:val="24"/>
                <w:szCs w:val="24"/>
                <w:lang w:val="en-US" w:eastAsia="zh-CN"/>
              </w:rPr>
              <w:t>中的</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900-</w:t>
            </w:r>
            <w:r>
              <w:rPr>
                <w:rFonts w:hint="eastAsia" w:ascii="Times New Roman" w:hAnsi="Times New Roman" w:cs="Times New Roman"/>
                <w:color w:val="auto"/>
                <w:sz w:val="24"/>
                <w:szCs w:val="24"/>
                <w:lang w:val="en-US" w:eastAsia="zh-CN"/>
              </w:rPr>
              <w:t>002</w:t>
            </w:r>
            <w:r>
              <w:rPr>
                <w:rFonts w:hint="default" w:ascii="Times New Roman" w:hAnsi="Times New Roman" w:cs="Times New Roman"/>
                <w:color w:val="auto"/>
                <w:sz w:val="24"/>
                <w:szCs w:val="24"/>
                <w:lang w:val="en-US" w:eastAsia="zh-CN"/>
              </w:rPr>
              <w:t>-S</w:t>
            </w:r>
            <w:r>
              <w:rPr>
                <w:rFonts w:hint="eastAsia" w:ascii="Times New Roman" w:hAnsi="Times New Roman" w:cs="Times New Roman"/>
                <w:color w:val="auto"/>
                <w:sz w:val="24"/>
                <w:szCs w:val="24"/>
                <w:lang w:val="en-US" w:eastAsia="zh-CN"/>
              </w:rPr>
              <w:t>61”，</w:t>
            </w:r>
            <w:r>
              <w:rPr>
                <w:rFonts w:hint="eastAsia"/>
                <w:sz w:val="24"/>
                <w:lang w:val="en-US" w:eastAsia="zh-CN"/>
              </w:rPr>
              <w:t>暂存于一般固废库，</w:t>
            </w:r>
            <w:r>
              <w:rPr>
                <w:rFonts w:hint="default"/>
                <w:sz w:val="24"/>
              </w:rPr>
              <w:t>委托</w:t>
            </w:r>
            <w:r>
              <w:rPr>
                <w:rFonts w:hint="eastAsia"/>
                <w:sz w:val="24"/>
                <w:lang w:val="en-US" w:eastAsia="zh-CN"/>
              </w:rPr>
              <w:t>环卫部门定期清运</w:t>
            </w:r>
            <w:r>
              <w:rPr>
                <w:rFonts w:hint="eastAsia"/>
                <w:sz w:val="24"/>
                <w:lang w:eastAsia="zh-CN"/>
              </w:rPr>
              <w:t>。</w:t>
            </w:r>
          </w:p>
          <w:p w14:paraId="2456AB13">
            <w:pPr>
              <w:keepNext w:val="0"/>
              <w:keepLines w:val="0"/>
              <w:pageBreakBefore w:val="0"/>
              <w:numPr>
                <w:ilvl w:val="-1"/>
                <w:numId w:val="0"/>
              </w:numPr>
              <w:suppressLineNumbers w:val="0"/>
              <w:kinsoku/>
              <w:wordWrap/>
              <w:topLinePunct w:val="0"/>
              <w:bidi w:val="0"/>
              <w:snapToGrid w:val="0"/>
              <w:spacing w:before="0" w:beforeAutospacing="0" w:after="0" w:afterAutospacing="0" w:line="360" w:lineRule="auto"/>
              <w:ind w:left="0" w:leftChars="0" w:right="0" w:firstLine="480" w:firstLineChars="0"/>
              <w:jc w:val="left"/>
              <w:textAlignment w:val="auto"/>
              <w:rPr>
                <w:rFonts w:hint="default" w:ascii="Times New Roman" w:hAnsi="Times New Roman" w:cs="Times New Roman"/>
                <w:color w:val="auto"/>
                <w:sz w:val="24"/>
                <w:szCs w:val="24"/>
              </w:rPr>
            </w:pPr>
            <w:r>
              <w:rPr>
                <w:rFonts w:hint="eastAsia" w:cs="Times New Roman"/>
                <w:sz w:val="24"/>
                <w:szCs w:val="24"/>
                <w:lang w:eastAsia="zh-CN"/>
              </w:rPr>
              <w:t>（</w:t>
            </w:r>
            <w:r>
              <w:rPr>
                <w:rFonts w:hint="eastAsia" w:cs="Times New Roman"/>
                <w:sz w:val="24"/>
                <w:szCs w:val="24"/>
                <w:lang w:val="en-US" w:eastAsia="zh-CN"/>
              </w:rPr>
              <w:t>5</w:t>
            </w:r>
            <w:r>
              <w:rPr>
                <w:rFonts w:hint="eastAsia" w:cs="Times New Roman"/>
                <w:sz w:val="24"/>
                <w:szCs w:val="24"/>
                <w:lang w:eastAsia="zh-CN"/>
              </w:rPr>
              <w:t>）</w:t>
            </w:r>
            <w:r>
              <w:rPr>
                <w:rFonts w:hint="default" w:ascii="Times New Roman" w:hAnsi="Times New Roman" w:cs="Times New Roman"/>
                <w:sz w:val="24"/>
                <w:szCs w:val="24"/>
              </w:rPr>
              <w:t>不合格品：不合格品主要</w:t>
            </w:r>
            <w:r>
              <w:rPr>
                <w:rFonts w:hint="eastAsia" w:cs="Times New Roman"/>
                <w:sz w:val="24"/>
                <w:szCs w:val="24"/>
                <w:lang w:val="en-US" w:eastAsia="zh-CN"/>
              </w:rPr>
              <w:t>在</w:t>
            </w:r>
            <w:r>
              <w:rPr>
                <w:rFonts w:hint="eastAsia" w:ascii="Times New Roman" w:hAnsi="Times New Roman" w:cs="Times New Roman"/>
                <w:sz w:val="24"/>
                <w:szCs w:val="24"/>
                <w:lang w:val="en-US" w:eastAsia="zh-CN"/>
              </w:rPr>
              <w:t>金属检测、</w:t>
            </w:r>
            <w:r>
              <w:rPr>
                <w:rFonts w:hint="default" w:ascii="Times New Roman" w:hAnsi="Times New Roman" w:cs="Times New Roman"/>
                <w:sz w:val="24"/>
                <w:szCs w:val="24"/>
              </w:rPr>
              <w:t>成品</w:t>
            </w:r>
            <w:r>
              <w:rPr>
                <w:rFonts w:hint="default" w:ascii="Times New Roman" w:hAnsi="Times New Roman" w:cs="Times New Roman"/>
                <w:sz w:val="24"/>
                <w:szCs w:val="24"/>
                <w:lang w:val="en-US" w:eastAsia="zh-CN"/>
              </w:rPr>
              <w:t>质检</w:t>
            </w:r>
            <w:r>
              <w:rPr>
                <w:rFonts w:hint="default" w:ascii="Times New Roman" w:hAnsi="Times New Roman" w:cs="Times New Roman"/>
                <w:sz w:val="24"/>
                <w:szCs w:val="24"/>
              </w:rPr>
              <w:t>工序产生，根据</w:t>
            </w:r>
            <w:r>
              <w:rPr>
                <w:rFonts w:hint="eastAsia" w:cs="Times New Roman"/>
                <w:sz w:val="24"/>
                <w:szCs w:val="24"/>
                <w:lang w:val="en-US" w:eastAsia="zh-CN"/>
              </w:rPr>
              <w:t>建设单位</w:t>
            </w:r>
            <w:r>
              <w:rPr>
                <w:rFonts w:hint="default" w:ascii="Times New Roman" w:hAnsi="Times New Roman" w:cs="Times New Roman"/>
                <w:sz w:val="24"/>
                <w:szCs w:val="24"/>
              </w:rPr>
              <w:t>提供资料，</w:t>
            </w:r>
            <w:r>
              <w:rPr>
                <w:rFonts w:hint="default" w:ascii="Times New Roman" w:hAnsi="Times New Roman" w:cs="Times New Roman"/>
                <w:color w:val="000000"/>
                <w:sz w:val="24"/>
                <w:szCs w:val="24"/>
              </w:rPr>
              <w:t>产生量为</w:t>
            </w:r>
            <w:r>
              <w:rPr>
                <w:rFonts w:hint="default" w:ascii="Times New Roman" w:hAnsi="Times New Roman" w:cs="Times New Roman"/>
                <w:color w:val="000000"/>
                <w:sz w:val="24"/>
                <w:szCs w:val="24"/>
                <w:lang w:val="en-US" w:eastAsia="zh-CN"/>
              </w:rPr>
              <w:t>81</w:t>
            </w:r>
            <w:r>
              <w:rPr>
                <w:rFonts w:hint="default" w:ascii="Times New Roman" w:hAnsi="Times New Roman" w:cs="Times New Roman"/>
                <w:color w:val="000000"/>
                <w:sz w:val="24"/>
                <w:szCs w:val="24"/>
              </w:rPr>
              <w:t>t/a，</w:t>
            </w:r>
            <w:r>
              <w:rPr>
                <w:rFonts w:hint="eastAsia" w:ascii="Times New Roman" w:hAnsi="Times New Roman" w:cs="Times New Roman"/>
                <w:color w:val="000000"/>
                <w:sz w:val="24"/>
                <w:szCs w:val="24"/>
                <w:lang w:val="en-US" w:eastAsia="zh-CN"/>
              </w:rPr>
              <w:t>暂存于一般固废库，</w:t>
            </w:r>
            <w:r>
              <w:rPr>
                <w:rFonts w:hint="default" w:ascii="Times New Roman" w:hAnsi="Times New Roman" w:cs="Times New Roman"/>
                <w:sz w:val="24"/>
                <w:szCs w:val="24"/>
              </w:rPr>
              <w:t>外售给饲料生产公司。</w:t>
            </w:r>
          </w:p>
          <w:p w14:paraId="013BB43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6）</w:t>
            </w:r>
            <w:r>
              <w:rPr>
                <w:rFonts w:hint="default" w:ascii="Times New Roman" w:hAnsi="Times New Roman" w:cs="Times New Roman"/>
                <w:color w:val="auto"/>
                <w:sz w:val="24"/>
                <w:szCs w:val="24"/>
              </w:rPr>
              <w:t>除尘器收集粉尘</w:t>
            </w:r>
            <w:r>
              <w:rPr>
                <w:rFonts w:hint="eastAsia" w:cs="Times New Roman"/>
                <w:color w:val="auto"/>
                <w:sz w:val="24"/>
                <w:szCs w:val="24"/>
                <w:lang w:eastAsia="zh-CN"/>
              </w:rPr>
              <w:t>：</w:t>
            </w: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val="en-US" w:eastAsia="zh-CN"/>
              </w:rPr>
              <w:t>食品</w:t>
            </w:r>
            <w:r>
              <w:rPr>
                <w:rFonts w:hint="default" w:ascii="Times New Roman" w:hAnsi="Times New Roman" w:cs="Times New Roman"/>
                <w:color w:val="auto"/>
                <w:sz w:val="24"/>
                <w:szCs w:val="24"/>
              </w:rPr>
              <w:t>加工企业生产工业的特点，除尘设备视为生产工艺设备，</w:t>
            </w:r>
            <w:r>
              <w:rPr>
                <w:rFonts w:hint="eastAsia" w:ascii="Times New Roman" w:hAnsi="Times New Roman" w:cs="Times New Roman"/>
                <w:color w:val="auto"/>
                <w:sz w:val="24"/>
                <w:szCs w:val="24"/>
                <w:lang w:val="en-US" w:eastAsia="zh-CN"/>
              </w:rPr>
              <w:t>本项目</w:t>
            </w:r>
            <w:r>
              <w:rPr>
                <w:rFonts w:hint="eastAsia" w:cs="Times New Roman"/>
                <w:color w:val="auto"/>
                <w:sz w:val="24"/>
                <w:szCs w:val="24"/>
                <w:lang w:val="en-US" w:eastAsia="zh-CN"/>
              </w:rPr>
              <w:t>粉碎</w:t>
            </w:r>
            <w:r>
              <w:rPr>
                <w:rFonts w:hint="eastAsia" w:ascii="Times New Roman" w:hAnsi="Times New Roman" w:cs="Times New Roman"/>
                <w:color w:val="auto"/>
                <w:sz w:val="24"/>
                <w:szCs w:val="24"/>
                <w:lang w:val="en-US" w:eastAsia="zh-CN"/>
              </w:rPr>
              <w:t>粉尘</w:t>
            </w:r>
            <w:r>
              <w:rPr>
                <w:rFonts w:hint="eastAsia" w:cs="Times New Roman"/>
                <w:color w:val="auto"/>
                <w:sz w:val="24"/>
                <w:szCs w:val="24"/>
                <w:lang w:val="en-US" w:eastAsia="zh-CN"/>
              </w:rPr>
              <w:t>经粉碎机自带布袋除尘器处理（处理效率95%）</w:t>
            </w:r>
            <w:r>
              <w:rPr>
                <w:rFonts w:hint="default" w:ascii="Times New Roman" w:hAnsi="Times New Roman" w:cs="Times New Roman"/>
                <w:color w:val="auto"/>
                <w:sz w:val="24"/>
                <w:szCs w:val="24"/>
              </w:rPr>
              <w:t>，</w:t>
            </w:r>
            <w:r>
              <w:rPr>
                <w:rFonts w:hint="eastAsia" w:cs="Times New Roman"/>
                <w:color w:val="auto"/>
                <w:sz w:val="24"/>
                <w:szCs w:val="24"/>
                <w:lang w:val="en-US" w:eastAsia="zh-CN"/>
              </w:rPr>
              <w:t>粉碎</w:t>
            </w:r>
            <w:r>
              <w:rPr>
                <w:rFonts w:hint="default" w:ascii="Times New Roman" w:hAnsi="Times New Roman" w:cs="Times New Roman"/>
                <w:color w:val="auto"/>
                <w:sz w:val="24"/>
                <w:szCs w:val="24"/>
              </w:rPr>
              <w:t>粉尘</w:t>
            </w:r>
            <w:r>
              <w:rPr>
                <w:rFonts w:hint="eastAsia" w:ascii="Times New Roman" w:hAnsi="Times New Roman" w:cs="Times New Roman"/>
                <w:color w:val="auto"/>
                <w:sz w:val="24"/>
                <w:szCs w:val="24"/>
                <w:lang w:val="en-US" w:eastAsia="zh-CN"/>
              </w:rPr>
              <w:t>生产量</w:t>
            </w:r>
            <w:r>
              <w:rPr>
                <w:rFonts w:hint="default" w:ascii="Times New Roman" w:hAnsi="Times New Roman" w:cs="Times New Roman"/>
                <w:color w:val="auto"/>
                <w:sz w:val="24"/>
                <w:szCs w:val="24"/>
              </w:rPr>
              <w:t>为</w:t>
            </w:r>
            <w:r>
              <w:rPr>
                <w:rFonts w:hint="eastAsia" w:cs="Times New Roman"/>
                <w:color w:val="000000"/>
                <w:sz w:val="24"/>
                <w:szCs w:val="24"/>
                <w:lang w:val="en-US" w:eastAsia="zh-CN"/>
              </w:rPr>
              <w:t>0.054</w:t>
            </w:r>
            <w:r>
              <w:rPr>
                <w:rFonts w:hint="default" w:ascii="Times New Roman" w:hAnsi="Times New Roman" w:cs="Times New Roman"/>
                <w:color w:val="000000"/>
                <w:sz w:val="24"/>
                <w:szCs w:val="24"/>
                <w:lang w:val="en-US" w:eastAsia="zh-CN"/>
              </w:rPr>
              <w:t>t/a</w:t>
            </w:r>
            <w:r>
              <w:rPr>
                <w:rFonts w:hint="default" w:ascii="Times New Roman" w:hAnsi="Times New Roman" w:cs="Times New Roman"/>
                <w:color w:val="auto"/>
                <w:sz w:val="24"/>
                <w:szCs w:val="24"/>
              </w:rPr>
              <w:t>，因此除尘器收集粉尘</w:t>
            </w:r>
            <w:r>
              <w:rPr>
                <w:rFonts w:hint="eastAsia" w:cs="Times New Roman"/>
                <w:color w:val="auto"/>
                <w:sz w:val="24"/>
                <w:szCs w:val="24"/>
                <w:lang w:val="en-US" w:eastAsia="zh-CN"/>
              </w:rPr>
              <w:t>约</w:t>
            </w:r>
            <w:r>
              <w:rPr>
                <w:rFonts w:hint="default" w:ascii="Times New Roman" w:hAnsi="Times New Roman" w:cs="Times New Roman"/>
                <w:color w:val="auto"/>
                <w:sz w:val="24"/>
                <w:szCs w:val="24"/>
              </w:rPr>
              <w:t>为</w:t>
            </w:r>
            <w:r>
              <w:rPr>
                <w:rFonts w:hint="eastAsia" w:cs="Times New Roman"/>
                <w:color w:val="auto"/>
                <w:sz w:val="24"/>
                <w:szCs w:val="24"/>
                <w:lang w:val="en-US" w:eastAsia="zh-CN"/>
              </w:rPr>
              <w:t>0.0513</w:t>
            </w:r>
            <w:r>
              <w:rPr>
                <w:rFonts w:hint="default" w:ascii="Times New Roman" w:hAnsi="Times New Roman" w:cs="Times New Roman"/>
                <w:color w:val="auto"/>
                <w:sz w:val="24"/>
                <w:szCs w:val="24"/>
              </w:rPr>
              <w:t>t/a。根据《固体废物分类与代码》（2024年第4号公告）中规定</w:t>
            </w:r>
            <w:r>
              <w:rPr>
                <w:rFonts w:hint="default" w:ascii="Times New Roman" w:hAnsi="Times New Roman" w:cs="Times New Roman"/>
                <w:sz w:val="24"/>
                <w:szCs w:val="24"/>
                <w:lang w:eastAsia="zh-CN"/>
              </w:rPr>
              <w:t>，</w:t>
            </w:r>
            <w:r>
              <w:rPr>
                <w:rFonts w:hint="default" w:ascii="Times New Roman" w:hAnsi="Times New Roman" w:cs="Times New Roman"/>
                <w:color w:val="auto"/>
                <w:sz w:val="24"/>
                <w:szCs w:val="24"/>
              </w:rPr>
              <w:t>除尘器收集粉尘属于</w:t>
            </w:r>
            <w:r>
              <w:rPr>
                <w:rFonts w:hint="eastAsia" w:ascii="Times New Roman" w:hAnsi="Times New Roman" w:cs="Times New Roman"/>
                <w:color w:val="auto"/>
                <w:sz w:val="24"/>
                <w:szCs w:val="24"/>
                <w:lang w:eastAsia="zh-CN"/>
              </w:rPr>
              <w:t>“</w:t>
            </w:r>
            <w:r>
              <w:rPr>
                <w:rFonts w:hint="default" w:ascii="Times New Roman" w:hAnsi="Times New Roman" w:cs="Times New Roman"/>
                <w:sz w:val="24"/>
                <w:szCs w:val="24"/>
                <w:lang w:eastAsia="zh-CN"/>
              </w:rPr>
              <w:t>SW17可再生类废物</w:t>
            </w:r>
            <w:r>
              <w:rPr>
                <w:rFonts w:hint="eastAsia" w:ascii="Times New Roman" w:hAnsi="Times New Roman" w:cs="Times New Roman"/>
                <w:sz w:val="24"/>
                <w:szCs w:val="24"/>
                <w:lang w:eastAsia="zh-CN"/>
              </w:rPr>
              <w:t>”</w:t>
            </w:r>
            <w:r>
              <w:rPr>
                <w:rFonts w:hint="default" w:ascii="Times New Roman" w:hAnsi="Times New Roman" w:cs="Times New Roman"/>
                <w:color w:val="auto"/>
                <w:sz w:val="24"/>
                <w:szCs w:val="24"/>
                <w:lang w:val="en-US" w:eastAsia="zh-CN"/>
              </w:rPr>
              <w:t>中的</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900-099-S17</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，定期收集，</w:t>
            </w:r>
            <w:r>
              <w:rPr>
                <w:rFonts w:hint="default" w:ascii="Times New Roman" w:hAnsi="Times New Roman" w:cs="Times New Roman"/>
                <w:color w:val="auto"/>
                <w:sz w:val="24"/>
                <w:szCs w:val="24"/>
              </w:rPr>
              <w:t>暂存于一般</w:t>
            </w:r>
            <w:r>
              <w:rPr>
                <w:rFonts w:hint="eastAsia" w:cs="Times New Roman"/>
                <w:color w:val="auto"/>
                <w:sz w:val="24"/>
                <w:szCs w:val="24"/>
                <w:lang w:val="en-US" w:eastAsia="zh-CN"/>
              </w:rPr>
              <w:t>固废库</w:t>
            </w:r>
            <w:r>
              <w:rPr>
                <w:rFonts w:hint="default" w:ascii="Times New Roman" w:hAnsi="Times New Roman" w:cs="Times New Roman"/>
                <w:color w:val="auto"/>
                <w:sz w:val="24"/>
                <w:szCs w:val="24"/>
              </w:rPr>
              <w:t>，外售</w:t>
            </w:r>
            <w:r>
              <w:rPr>
                <w:rFonts w:hint="default" w:ascii="Times New Roman" w:hAnsi="Times New Roman" w:cs="Times New Roman"/>
                <w:sz w:val="24"/>
                <w:szCs w:val="24"/>
              </w:rPr>
              <w:t>给饲料生产公司</w:t>
            </w:r>
            <w:r>
              <w:rPr>
                <w:rFonts w:hint="default" w:ascii="Times New Roman" w:hAnsi="Times New Roman" w:cs="Times New Roman"/>
                <w:color w:val="auto"/>
                <w:sz w:val="24"/>
                <w:szCs w:val="24"/>
              </w:rPr>
              <w:t>。</w:t>
            </w:r>
          </w:p>
          <w:p w14:paraId="69C3BB6D">
            <w:pPr>
              <w:keepNext w:val="0"/>
              <w:keepLines w:val="0"/>
              <w:pageBreakBefore w:val="0"/>
              <w:widowControl w:val="0"/>
              <w:numPr>
                <w:ilvl w:val="0"/>
                <w:numId w:val="0"/>
              </w:numPr>
              <w:suppressLineNumbers w:val="0"/>
              <w:kinsoku/>
              <w:wordWrap/>
              <w:topLinePunct w:val="0"/>
              <w:bidi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7</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废布袋：本项目布袋除尘器约两年更换一次布袋，废布袋产生量约0.05t/a，收集后</w:t>
            </w:r>
            <w:r>
              <w:rPr>
                <w:rFonts w:hint="eastAsia" w:cs="Times New Roman"/>
                <w:color w:val="000000" w:themeColor="text1"/>
                <w:sz w:val="24"/>
                <w:szCs w:val="24"/>
                <w:lang w:val="en-US" w:eastAsia="zh-CN"/>
                <w14:textFill>
                  <w14:solidFill>
                    <w14:schemeClr w14:val="tx1"/>
                  </w14:solidFill>
                </w14:textFill>
              </w:rPr>
              <w:t>由原厂家回收再利用。</w:t>
            </w:r>
          </w:p>
          <w:p w14:paraId="1517187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000000" w:themeColor="text1"/>
                <w:sz w:val="24"/>
                <w:szCs w:val="24"/>
                <w:lang w:val="en-US" w:eastAsia="zh-CN"/>
                <w14:textFill>
                  <w14:solidFill>
                    <w14:schemeClr w14:val="tx1"/>
                  </w14:solidFill>
                </w14:textFill>
              </w:rPr>
              <w:t>（8）地面清扫粉尘：根据前章计算结果，</w:t>
            </w:r>
            <w:r>
              <w:rPr>
                <w:rFonts w:hint="eastAsia" w:cs="Times New Roman"/>
                <w:color w:val="000000" w:themeColor="text1"/>
                <w:sz w:val="24"/>
                <w:szCs w:val="24"/>
                <w:lang w:val="en-US" w:eastAsia="zh-CN"/>
                <w14:textFill>
                  <w14:solidFill>
                    <w14:schemeClr w14:val="tx1"/>
                  </w14:solidFill>
                </w14:textFill>
              </w:rPr>
              <w:t>配料</w:t>
            </w:r>
            <w:r>
              <w:rPr>
                <w:rFonts w:hint="eastAsia" w:ascii="Times New Roman" w:hAnsi="Times New Roman" w:cs="Times New Roman"/>
                <w:color w:val="000000" w:themeColor="text1"/>
                <w:sz w:val="24"/>
                <w:szCs w:val="24"/>
                <w:lang w:val="en-US" w:eastAsia="zh-CN"/>
                <w14:textFill>
                  <w14:solidFill>
                    <w14:schemeClr w14:val="tx1"/>
                  </w14:solidFill>
                </w14:textFill>
              </w:rPr>
              <w:t>工序地面清扫粉尘量为0.</w:t>
            </w:r>
            <w:r>
              <w:rPr>
                <w:rFonts w:hint="eastAsia" w:cs="Times New Roman"/>
                <w:color w:val="000000" w:themeColor="text1"/>
                <w:sz w:val="24"/>
                <w:szCs w:val="24"/>
                <w:lang w:val="en-US" w:eastAsia="zh-CN"/>
                <w14:textFill>
                  <w14:solidFill>
                    <w14:schemeClr w14:val="tx1"/>
                  </w14:solidFill>
                </w14:textFill>
              </w:rPr>
              <w:t>028</w:t>
            </w:r>
            <w:r>
              <w:rPr>
                <w:rFonts w:hint="eastAsia" w:ascii="Times New Roman" w:hAnsi="Times New Roman" w:cs="Times New Roman"/>
                <w:color w:val="000000" w:themeColor="text1"/>
                <w:sz w:val="24"/>
                <w:szCs w:val="24"/>
                <w:lang w:val="en-US" w:eastAsia="zh-CN"/>
                <w14:textFill>
                  <w14:solidFill>
                    <w14:schemeClr w14:val="tx1"/>
                  </w14:solidFill>
                </w14:textFill>
              </w:rPr>
              <w:t>t/a，</w:t>
            </w:r>
            <w:r>
              <w:rPr>
                <w:rFonts w:hint="default" w:ascii="Times New Roman" w:hAnsi="Times New Roman" w:cs="Times New Roman"/>
                <w:color w:val="auto"/>
                <w:sz w:val="24"/>
                <w:szCs w:val="24"/>
              </w:rPr>
              <w:t>根据《固体废物分类与代码》（2024年第4号公告）中规定</w:t>
            </w:r>
            <w:r>
              <w:rPr>
                <w:rFonts w:hint="default" w:ascii="Times New Roman" w:hAnsi="Times New Roman" w:cs="Times New Roman"/>
                <w:sz w:val="24"/>
                <w:szCs w:val="24"/>
                <w:lang w:eastAsia="zh-CN"/>
              </w:rPr>
              <w:t>，</w:t>
            </w:r>
            <w:r>
              <w:rPr>
                <w:rFonts w:hint="eastAsia" w:ascii="Times New Roman" w:hAnsi="Times New Roman" w:cs="Times New Roman"/>
                <w:color w:val="000000" w:themeColor="text1"/>
                <w:sz w:val="24"/>
                <w:szCs w:val="24"/>
                <w:lang w:val="en-US" w:eastAsia="zh-CN"/>
                <w14:textFill>
                  <w14:solidFill>
                    <w14:schemeClr w14:val="tx1"/>
                  </w14:solidFill>
                </w14:textFill>
              </w:rPr>
              <w:t>地面清扫粉尘</w:t>
            </w:r>
            <w:r>
              <w:rPr>
                <w:rFonts w:hint="default" w:ascii="Times New Roman" w:hAnsi="Times New Roman" w:cs="Times New Roman"/>
                <w:color w:val="auto"/>
                <w:sz w:val="24"/>
                <w:szCs w:val="24"/>
              </w:rPr>
              <w:t>属于</w:t>
            </w:r>
            <w:r>
              <w:rPr>
                <w:rFonts w:hint="eastAsia" w:ascii="Times New Roman" w:hAnsi="Times New Roman" w:cs="Times New Roman"/>
                <w:color w:val="auto"/>
                <w:sz w:val="24"/>
                <w:szCs w:val="24"/>
                <w:lang w:eastAsia="zh-CN"/>
              </w:rPr>
              <w:t>“</w:t>
            </w:r>
            <w:r>
              <w:rPr>
                <w:rFonts w:hint="default" w:ascii="Times New Roman" w:hAnsi="Times New Roman" w:cs="Times New Roman"/>
                <w:sz w:val="24"/>
                <w:szCs w:val="24"/>
                <w:lang w:eastAsia="zh-CN"/>
              </w:rPr>
              <w:t>SW17可再生类废物</w:t>
            </w:r>
            <w:r>
              <w:rPr>
                <w:rFonts w:hint="eastAsia" w:ascii="Times New Roman" w:hAnsi="Times New Roman" w:cs="Times New Roman"/>
                <w:sz w:val="24"/>
                <w:szCs w:val="24"/>
                <w:lang w:eastAsia="zh-CN"/>
              </w:rPr>
              <w:t>”</w:t>
            </w:r>
            <w:r>
              <w:rPr>
                <w:rFonts w:hint="default" w:ascii="Times New Roman" w:hAnsi="Times New Roman" w:cs="Times New Roman"/>
                <w:color w:val="auto"/>
                <w:sz w:val="24"/>
                <w:szCs w:val="24"/>
                <w:lang w:val="en-US" w:eastAsia="zh-CN"/>
              </w:rPr>
              <w:t>中的</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900-099-S17</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，定期收集，</w:t>
            </w:r>
            <w:r>
              <w:rPr>
                <w:rFonts w:hint="default" w:ascii="Times New Roman" w:hAnsi="Times New Roman" w:cs="Times New Roman"/>
                <w:color w:val="auto"/>
                <w:sz w:val="24"/>
                <w:szCs w:val="24"/>
              </w:rPr>
              <w:t>暂存于一般</w:t>
            </w:r>
            <w:r>
              <w:rPr>
                <w:rFonts w:hint="eastAsia" w:cs="Times New Roman"/>
                <w:color w:val="auto"/>
                <w:sz w:val="24"/>
                <w:szCs w:val="24"/>
                <w:lang w:val="en-US" w:eastAsia="zh-CN"/>
              </w:rPr>
              <w:t>固废库</w:t>
            </w:r>
            <w:r>
              <w:rPr>
                <w:rFonts w:hint="default" w:ascii="Times New Roman" w:hAnsi="Times New Roman" w:cs="Times New Roman"/>
                <w:color w:val="auto"/>
                <w:sz w:val="24"/>
                <w:szCs w:val="24"/>
              </w:rPr>
              <w:t>，外售</w:t>
            </w:r>
            <w:r>
              <w:rPr>
                <w:rFonts w:hint="default" w:ascii="Times New Roman" w:hAnsi="Times New Roman" w:cs="Times New Roman"/>
                <w:sz w:val="24"/>
                <w:szCs w:val="24"/>
              </w:rPr>
              <w:t>给饲料生产公司</w:t>
            </w:r>
            <w:r>
              <w:rPr>
                <w:rFonts w:hint="default" w:ascii="Times New Roman" w:hAnsi="Times New Roman" w:cs="Times New Roman"/>
                <w:color w:val="auto"/>
                <w:sz w:val="24"/>
                <w:szCs w:val="24"/>
              </w:rPr>
              <w:t>。</w:t>
            </w:r>
          </w:p>
          <w:p w14:paraId="11EC840F">
            <w:pPr>
              <w:pStyle w:val="37"/>
              <w:keepNext w:val="0"/>
              <w:keepLines w:val="0"/>
              <w:pageBreakBefore w:val="0"/>
              <w:widowControl w:val="0"/>
              <w:suppressLineNumbers w:val="0"/>
              <w:kinsoku/>
              <w:wordWrap/>
              <w:topLinePunct w:val="0"/>
              <w:bidi w:val="0"/>
              <w:spacing w:before="0" w:beforeAutospacing="0" w:after="0" w:afterAutospacing="0" w:line="360" w:lineRule="auto"/>
              <w:ind w:left="0" w:leftChars="0" w:right="0" w:firstLine="480" w:firstLineChars="200"/>
              <w:jc w:val="both"/>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沉淀池污泥</w:t>
            </w:r>
          </w:p>
          <w:p w14:paraId="713A260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污泥量按下式估算：</w:t>
            </w:r>
          </w:p>
          <w:p w14:paraId="149F8A9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W=Q×（C1-C2）/1000000</w:t>
            </w:r>
          </w:p>
          <w:p w14:paraId="3D7DE6E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式中：W—污泥产生量，t/a；</w:t>
            </w:r>
          </w:p>
          <w:p w14:paraId="5105CC8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Q—设计废水处理量，1625t/a；</w:t>
            </w:r>
          </w:p>
          <w:p w14:paraId="67A5B38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C1—沉淀池进口设计悬浮物的浓度，mg/L，即500mg/L。</w:t>
            </w:r>
          </w:p>
          <w:p w14:paraId="76918DE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C2—沉淀池出口设计悬浮物的浓度，mg/L，即150mg/L。</w:t>
            </w:r>
          </w:p>
          <w:p w14:paraId="6015DCDA">
            <w:pPr>
              <w:keepNext w:val="0"/>
              <w:keepLines w:val="0"/>
              <w:pageBreakBefore w:val="0"/>
              <w:widowControl/>
              <w:suppressLineNumbers w:val="0"/>
              <w:kinsoku/>
              <w:wordWrap/>
              <w:topLinePunct w:val="0"/>
              <w:bidi w:val="0"/>
              <w:spacing w:before="0" w:beforeAutospacing="0" w:after="0" w:afterAutospacing="0" w:line="360" w:lineRule="auto"/>
              <w:ind w:left="0" w:right="0" w:firstLine="480" w:firstLineChars="200"/>
              <w:jc w:val="left"/>
              <w:textAlignment w:val="auto"/>
              <w:rPr>
                <w:rFonts w:hint="default" w:cs="Times New Roman"/>
                <w:color w:val="auto"/>
                <w:sz w:val="24"/>
                <w:szCs w:val="24"/>
                <w:lang w:val="en-US" w:eastAsia="zh-CN"/>
              </w:rPr>
            </w:pPr>
            <w:r>
              <w:rPr>
                <w:rFonts w:hint="eastAsia" w:ascii="Times New Roman" w:hAnsi="Times New Roman" w:eastAsia="宋体" w:cs="Times New Roman"/>
                <w:color w:val="000000" w:themeColor="text1"/>
                <w:sz w:val="24"/>
                <w:szCs w:val="20"/>
                <w:lang w:val="en-US" w:eastAsia="zh-CN"/>
                <w14:textFill>
                  <w14:solidFill>
                    <w14:schemeClr w14:val="tx1"/>
                  </w14:solidFill>
                </w14:textFill>
              </w:rPr>
              <w:t>根据上述公式计算可知，项目产生的污泥产生量约为0.6t/a，本项目选用污泥脱水机进行脱泥，污泥含水率取80%，则污泥量约为</w:t>
            </w:r>
            <w:r>
              <w:rPr>
                <w:rFonts w:hint="eastAsia" w:cs="Times New Roman"/>
                <w:color w:val="000000" w:themeColor="text1"/>
                <w:sz w:val="24"/>
                <w:szCs w:val="20"/>
                <w:lang w:val="en-US" w:eastAsia="zh-CN"/>
                <w14:textFill>
                  <w14:solidFill>
                    <w14:schemeClr w14:val="tx1"/>
                  </w14:solidFill>
                </w14:textFill>
              </w:rPr>
              <w:t>0.12</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t/a</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根</w:t>
            </w:r>
            <w:r>
              <w:rPr>
                <w:rFonts w:hint="default" w:ascii="Times New Roman" w:hAnsi="Times New Roman" w:cs="Times New Roman"/>
                <w:color w:val="auto"/>
                <w:sz w:val="24"/>
                <w:szCs w:val="24"/>
              </w:rPr>
              <w:t>据《固体废物分类与代码》（2024年第4号公告）中规定</w:t>
            </w:r>
            <w:r>
              <w:rPr>
                <w:rFonts w:hint="eastAsia" w:ascii="Times New Roman" w:hAnsi="Times New Roman" w:cs="Times New Roman"/>
                <w:color w:val="auto"/>
                <w:sz w:val="24"/>
                <w:szCs w:val="24"/>
                <w:lang w:val="en-US" w:eastAsia="zh-CN"/>
              </w:rPr>
              <w:t>食品制造业污泥属于“SW07 污泥”中的“140-001-S07”，委托委托环卫部门定期清运。</w:t>
            </w:r>
          </w:p>
          <w:p w14:paraId="7790A032">
            <w:pPr>
              <w:keepNext w:val="0"/>
              <w:keepLines w:val="0"/>
              <w:pageBreakBefore w:val="0"/>
              <w:widowControl w:val="0"/>
              <w:suppressLineNumbers w:val="0"/>
              <w:kinsoku/>
              <w:wordWrap/>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10</w:t>
            </w:r>
            <w:r>
              <w:rPr>
                <w:rFonts w:hint="eastAsia" w:ascii="Times New Roman" w:hAnsi="Times New Roman" w:cs="Times New Roman"/>
                <w:color w:val="auto"/>
                <w:sz w:val="24"/>
                <w:szCs w:val="24"/>
                <w:lang w:val="en-US" w:eastAsia="zh-CN"/>
              </w:rPr>
              <w:t>）废机油、</w:t>
            </w:r>
            <w:r>
              <w:rPr>
                <w:rFonts w:hint="eastAsia" w:cs="Times New Roman"/>
                <w:color w:val="auto"/>
                <w:sz w:val="24"/>
                <w:szCs w:val="24"/>
                <w:lang w:val="en-US" w:eastAsia="zh-CN"/>
              </w:rPr>
              <w:t>废油桶</w:t>
            </w:r>
          </w:p>
          <w:p w14:paraId="71AC1BCC">
            <w:pPr>
              <w:keepNext w:val="0"/>
              <w:keepLines w:val="0"/>
              <w:pageBreakBefore w:val="0"/>
              <w:widowControl w:val="0"/>
              <w:suppressLineNumbers w:val="0"/>
              <w:kinsoku/>
              <w:wordWrap/>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本项目设备</w:t>
            </w:r>
            <w:r>
              <w:rPr>
                <w:rFonts w:hint="eastAsia" w:cs="Times New Roman"/>
                <w:color w:val="auto"/>
                <w:sz w:val="24"/>
                <w:szCs w:val="24"/>
                <w:lang w:val="en-US" w:eastAsia="zh-CN"/>
              </w:rPr>
              <w:t>维护由维修公司上门维修，维修过程产生的废机油、废机油桶由维修公司带走</w:t>
            </w:r>
            <w:r>
              <w:rPr>
                <w:rFonts w:hint="default" w:ascii="Times New Roman" w:hAnsi="Times New Roman" w:cs="Times New Roman"/>
                <w:color w:val="auto"/>
                <w:sz w:val="24"/>
                <w:szCs w:val="24"/>
                <w:lang w:val="en-US" w:eastAsia="zh-CN"/>
              </w:rPr>
              <w:t>。</w:t>
            </w:r>
          </w:p>
          <w:p w14:paraId="766E2F0A">
            <w:pPr>
              <w:keepNext w:val="0"/>
              <w:keepLines w:val="0"/>
              <w:pageBreakBefore w:val="0"/>
              <w:widowControl w:val="0"/>
              <w:suppressLineNumbers w:val="0"/>
              <w:kinsoku/>
              <w:wordWrap/>
              <w:topLinePunct w:val="0"/>
              <w:bidi w:val="0"/>
              <w:spacing w:before="0" w:beforeAutospacing="0" w:after="0" w:afterAutospacing="0" w:line="360" w:lineRule="auto"/>
              <w:ind w:left="0" w:right="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（11）废紫外灯管</w:t>
            </w:r>
          </w:p>
          <w:p w14:paraId="76B236C9">
            <w:pPr>
              <w:keepNext w:val="0"/>
              <w:keepLines w:val="0"/>
              <w:pageBreakBefore w:val="0"/>
              <w:widowControl w:val="0"/>
              <w:suppressLineNumbers w:val="0"/>
              <w:kinsoku/>
              <w:wordWrap/>
              <w:topLinePunct w:val="0"/>
              <w:bidi w:val="0"/>
              <w:spacing w:before="0" w:beforeAutospacing="0" w:after="0" w:afterAutospacing="0" w:line="360" w:lineRule="auto"/>
              <w:ind w:left="0" w:right="0"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本项目使用紫外线杀菌，会产生废紫外灯管，</w:t>
            </w:r>
            <w:r>
              <w:rPr>
                <w:rFonts w:hint="default" w:ascii="Times New Roman" w:hAnsi="Times New Roman" w:cs="Times New Roman"/>
                <w:color w:val="auto"/>
                <w:sz w:val="24"/>
                <w:szCs w:val="24"/>
                <w:lang w:val="en-US" w:eastAsia="zh-CN"/>
              </w:rPr>
              <w:t>根据</w:t>
            </w:r>
            <w:r>
              <w:rPr>
                <w:rFonts w:hint="eastAsia" w:cs="Times New Roman"/>
                <w:color w:val="auto"/>
                <w:sz w:val="24"/>
                <w:szCs w:val="24"/>
                <w:lang w:val="en-US" w:eastAsia="zh-CN"/>
              </w:rPr>
              <w:t>建设单位</w:t>
            </w:r>
            <w:r>
              <w:rPr>
                <w:rFonts w:hint="default" w:ascii="Times New Roman" w:hAnsi="Times New Roman" w:cs="Times New Roman"/>
                <w:color w:val="auto"/>
                <w:sz w:val="24"/>
                <w:szCs w:val="24"/>
                <w:lang w:val="en-US" w:eastAsia="zh-CN"/>
              </w:rPr>
              <w:t>提供资料，废</w:t>
            </w:r>
            <w:r>
              <w:rPr>
                <w:rFonts w:hint="eastAsia" w:ascii="Times New Roman" w:hAnsi="Times New Roman" w:cs="Times New Roman"/>
                <w:color w:val="auto"/>
                <w:sz w:val="24"/>
                <w:szCs w:val="24"/>
                <w:lang w:val="en-US" w:eastAsia="zh-CN"/>
              </w:rPr>
              <w:t>紫外灯管</w:t>
            </w:r>
            <w:r>
              <w:rPr>
                <w:rFonts w:hint="default" w:ascii="Times New Roman" w:hAnsi="Times New Roman" w:cs="Times New Roman"/>
                <w:color w:val="auto"/>
                <w:sz w:val="24"/>
                <w:szCs w:val="24"/>
                <w:lang w:val="en-US" w:eastAsia="zh-CN"/>
              </w:rPr>
              <w:t>产生量</w:t>
            </w:r>
            <w:r>
              <w:rPr>
                <w:rFonts w:hint="eastAsia" w:ascii="Times New Roman" w:hAnsi="Times New Roman" w:cs="Times New Roman"/>
                <w:color w:val="auto"/>
                <w:sz w:val="24"/>
                <w:szCs w:val="24"/>
                <w:lang w:val="en-US" w:eastAsia="zh-CN"/>
              </w:rPr>
              <w:t>约</w:t>
            </w:r>
            <w:r>
              <w:rPr>
                <w:rFonts w:hint="default" w:ascii="Times New Roman" w:hAnsi="Times New Roman" w:cs="Times New Roman"/>
                <w:color w:val="auto"/>
                <w:sz w:val="24"/>
                <w:szCs w:val="24"/>
                <w:lang w:val="en-US" w:eastAsia="zh-CN"/>
              </w:rPr>
              <w:t>为0.</w:t>
            </w:r>
            <w:r>
              <w:rPr>
                <w:rFonts w:hint="eastAsia" w:ascii="Times New Roman" w:hAnsi="Times New Roman" w:cs="Times New Roman"/>
                <w:color w:val="auto"/>
                <w:sz w:val="24"/>
                <w:szCs w:val="24"/>
                <w:lang w:val="en-US" w:eastAsia="zh-CN"/>
              </w:rPr>
              <w:t>032</w:t>
            </w:r>
            <w:r>
              <w:rPr>
                <w:rFonts w:hint="default" w:ascii="Times New Roman" w:hAnsi="Times New Roman" w:cs="Times New Roman"/>
                <w:color w:val="auto"/>
                <w:sz w:val="24"/>
                <w:szCs w:val="24"/>
                <w:lang w:val="en-US" w:eastAsia="zh-CN"/>
              </w:rPr>
              <w:t>t/a，属于《国家危险废物名录》</w:t>
            </w:r>
            <w:r>
              <w:rPr>
                <w:rFonts w:hint="default"/>
                <w:color w:val="auto"/>
                <w:sz w:val="24"/>
              </w:rPr>
              <w:t>（2025年版）</w:t>
            </w:r>
            <w:r>
              <w:rPr>
                <w:rFonts w:hint="default" w:ascii="Times New Roman" w:hAnsi="Times New Roman" w:cs="Times New Roman"/>
                <w:color w:val="auto"/>
                <w:sz w:val="24"/>
                <w:szCs w:val="24"/>
                <w:lang w:val="en-US" w:eastAsia="zh-CN"/>
              </w:rPr>
              <w:t>中HW</w:t>
            </w:r>
            <w:r>
              <w:rPr>
                <w:rFonts w:hint="eastAsia" w:ascii="Times New Roman" w:hAnsi="Times New Roman" w:cs="Times New Roman"/>
                <w:color w:val="auto"/>
                <w:sz w:val="24"/>
                <w:szCs w:val="24"/>
                <w:lang w:val="en-US" w:eastAsia="zh-CN"/>
              </w:rPr>
              <w:t>29</w:t>
            </w:r>
            <w:r>
              <w:rPr>
                <w:rFonts w:hint="default" w:ascii="Times New Roman" w:hAnsi="Times New Roman" w:cs="Times New Roman"/>
                <w:color w:val="auto"/>
                <w:sz w:val="24"/>
              </w:rPr>
              <w:t>含汞废物</w:t>
            </w:r>
            <w:r>
              <w:rPr>
                <w:rFonts w:hint="default" w:ascii="Times New Roman" w:hAnsi="Times New Roman" w:cs="Times New Roman"/>
                <w:color w:val="auto"/>
                <w:sz w:val="24"/>
                <w:szCs w:val="24"/>
                <w:lang w:val="en-US" w:eastAsia="zh-CN"/>
              </w:rPr>
              <w:t>，危废代码900-</w:t>
            </w:r>
            <w:r>
              <w:rPr>
                <w:rFonts w:hint="eastAsia" w:ascii="Times New Roman" w:hAnsi="Times New Roman" w:cs="Times New Roman"/>
                <w:color w:val="auto"/>
                <w:sz w:val="24"/>
                <w:szCs w:val="24"/>
                <w:lang w:val="en-US" w:eastAsia="zh-CN"/>
              </w:rPr>
              <w:t>023</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29</w:t>
            </w:r>
            <w:r>
              <w:rPr>
                <w:rFonts w:hint="default" w:ascii="Times New Roman" w:hAnsi="Times New Roman" w:cs="Times New Roman"/>
                <w:color w:val="auto"/>
                <w:sz w:val="24"/>
                <w:szCs w:val="24"/>
                <w:lang w:val="en-US" w:eastAsia="zh-CN"/>
              </w:rPr>
              <w:t>。废</w:t>
            </w:r>
            <w:r>
              <w:rPr>
                <w:rFonts w:hint="eastAsia" w:ascii="Times New Roman" w:hAnsi="Times New Roman" w:cs="Times New Roman"/>
                <w:color w:val="auto"/>
                <w:sz w:val="24"/>
                <w:szCs w:val="24"/>
                <w:lang w:val="en-US" w:eastAsia="zh-CN"/>
              </w:rPr>
              <w:t>紫外灯管</w:t>
            </w:r>
            <w:r>
              <w:rPr>
                <w:rFonts w:hint="default" w:ascii="Times New Roman" w:hAnsi="Times New Roman" w:cs="Times New Roman"/>
                <w:color w:val="auto"/>
                <w:sz w:val="24"/>
                <w:szCs w:val="24"/>
                <w:lang w:val="en-US" w:eastAsia="zh-CN"/>
              </w:rPr>
              <w:t>暂存于危险废物贮存库，定期交由有资质单位处置。</w:t>
            </w:r>
          </w:p>
          <w:p w14:paraId="0CBD8A38">
            <w:pPr>
              <w:keepNext w:val="0"/>
              <w:keepLines w:val="0"/>
              <w:pageBreakBefore w:val="0"/>
              <w:widowControl w:val="0"/>
              <w:suppressLineNumbers w:val="0"/>
              <w:kinsoku/>
              <w:wordWrap/>
              <w:topLinePunct w:val="0"/>
              <w:bidi w:val="0"/>
              <w:spacing w:before="0" w:beforeAutospacing="0" w:after="0" w:afterAutospacing="0" w:line="360" w:lineRule="auto"/>
              <w:ind w:left="0" w:right="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（12）废毛巾</w:t>
            </w:r>
          </w:p>
          <w:p w14:paraId="34C2656A">
            <w:pPr>
              <w:keepNext w:val="0"/>
              <w:keepLines w:val="0"/>
              <w:pageBreakBefore w:val="0"/>
              <w:widowControl w:val="0"/>
              <w:suppressLineNumbers w:val="0"/>
              <w:kinsoku/>
              <w:wordWrap/>
              <w:topLinePunct w:val="0"/>
              <w:bidi w:val="0"/>
              <w:spacing w:before="0" w:beforeAutospacing="0" w:after="0" w:afterAutospacing="0" w:line="360" w:lineRule="auto"/>
              <w:ind w:left="0" w:right="0" w:firstLine="480" w:firstLineChars="200"/>
              <w:jc w:val="both"/>
              <w:textAlignment w:val="auto"/>
              <w:rPr>
                <w:rFonts w:hint="eastAsia" w:eastAsia="宋体" w:cs="Times New Roman"/>
                <w:color w:val="auto"/>
                <w:sz w:val="24"/>
                <w:szCs w:val="24"/>
                <w:lang w:val="en-US" w:eastAsia="zh-CN"/>
              </w:rPr>
            </w:pPr>
            <w:r>
              <w:rPr>
                <w:rFonts w:hint="eastAsia" w:cs="Times New Roman"/>
                <w:color w:val="auto"/>
                <w:sz w:val="24"/>
                <w:szCs w:val="24"/>
                <w:lang w:val="en-US" w:eastAsia="zh-CN"/>
              </w:rPr>
              <w:t>本项目使用食品级毛巾对设备进行清洗，根据建设单位提供的资料，废毛巾产生量为0.15t/a，</w:t>
            </w:r>
            <w:r>
              <w:rPr>
                <w:rFonts w:hint="default" w:ascii="Times New Roman" w:hAnsi="Times New Roman" w:cs="Times New Roman"/>
                <w:color w:val="auto"/>
                <w:sz w:val="24"/>
                <w:szCs w:val="24"/>
                <w:lang w:val="en-US" w:eastAsia="zh-CN"/>
              </w:rPr>
              <w:t>属于</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SW64生活垃圾</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中的</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900-099-S64</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统一收集由环卫部门定期清运处理</w:t>
            </w:r>
            <w:r>
              <w:rPr>
                <w:rFonts w:hint="eastAsia" w:cs="Times New Roman"/>
                <w:color w:val="auto"/>
                <w:sz w:val="24"/>
                <w:szCs w:val="24"/>
                <w:lang w:eastAsia="zh-CN"/>
              </w:rPr>
              <w:t>。</w:t>
            </w:r>
          </w:p>
          <w:p w14:paraId="4F846C48">
            <w:pPr>
              <w:pStyle w:val="70"/>
              <w:keepNext w:val="0"/>
              <w:keepLines w:val="0"/>
              <w:pageBreakBefore w:val="0"/>
              <w:widowControl w:val="0"/>
              <w:suppressLineNumbers w:val="0"/>
              <w:kinsoku/>
              <w:wordWrap/>
              <w:topLinePunct w:val="0"/>
              <w:bidi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）生活垃圾</w:t>
            </w:r>
          </w:p>
          <w:p w14:paraId="675EDBE0">
            <w:pPr>
              <w:pStyle w:val="70"/>
              <w:keepNext w:val="0"/>
              <w:keepLines w:val="0"/>
              <w:pageBreakBefore w:val="0"/>
              <w:widowControl w:val="0"/>
              <w:suppressLineNumbers w:val="0"/>
              <w:kinsoku/>
              <w:wordWrap/>
              <w:topLinePunct w:val="0"/>
              <w:bidi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t>本项目员工生活垃圾产生量按0.5kg/人·d计，</w:t>
            </w:r>
            <w:r>
              <w:rPr>
                <w:rFonts w:hint="default" w:ascii="Times New Roman" w:hAnsi="Times New Roman" w:cs="Times New Roman"/>
                <w:color w:val="auto"/>
                <w:sz w:val="24"/>
                <w:szCs w:val="24"/>
                <w:lang w:val="en-US" w:eastAsia="zh-CN"/>
              </w:rPr>
              <w:t>本项目新增25人</w:t>
            </w:r>
            <w:r>
              <w:rPr>
                <w:rFonts w:hint="default" w:ascii="Times New Roman" w:hAnsi="Times New Roman" w:cs="Times New Roman"/>
                <w:color w:val="auto"/>
                <w:sz w:val="24"/>
                <w:szCs w:val="24"/>
              </w:rPr>
              <w:t>，年运行</w:t>
            </w:r>
            <w:r>
              <w:rPr>
                <w:rFonts w:hint="default" w:ascii="Times New Roman" w:hAnsi="Times New Roman" w:cs="Times New Roman"/>
                <w:color w:val="auto"/>
                <w:sz w:val="24"/>
                <w:szCs w:val="24"/>
                <w:lang w:val="en-US" w:eastAsia="zh-CN"/>
              </w:rPr>
              <w:t>250</w:t>
            </w:r>
            <w:r>
              <w:rPr>
                <w:rFonts w:hint="default" w:ascii="Times New Roman" w:hAnsi="Times New Roman" w:cs="Times New Roman"/>
                <w:color w:val="auto"/>
                <w:sz w:val="24"/>
                <w:szCs w:val="24"/>
              </w:rPr>
              <w:t>天，项目运营期职工生活垃圾产生量为</w:t>
            </w:r>
            <w:r>
              <w:rPr>
                <w:rFonts w:hint="default" w:ascii="Times New Roman" w:hAnsi="Times New Roman" w:cs="Times New Roman"/>
                <w:color w:val="auto"/>
                <w:sz w:val="24"/>
                <w:szCs w:val="24"/>
                <w:lang w:val="en-US" w:eastAsia="zh-CN"/>
              </w:rPr>
              <w:t>3.125</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生活垃圾</w:t>
            </w:r>
            <w:r>
              <w:rPr>
                <w:rFonts w:hint="default" w:ascii="Times New Roman" w:hAnsi="Times New Roman" w:cs="Times New Roman"/>
                <w:color w:val="auto"/>
                <w:sz w:val="24"/>
                <w:szCs w:val="24"/>
              </w:rPr>
              <w:t>根据《固体废物分类与代码》（2024年第4号公告）中规定</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属于</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SW64生活垃圾</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中的</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900-099-S64</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统一收集由环卫部门定期清运处理。</w:t>
            </w:r>
          </w:p>
          <w:p w14:paraId="2F0A0D6D">
            <w:pPr>
              <w:pStyle w:val="37"/>
              <w:keepNext w:val="0"/>
              <w:keepLines w:val="0"/>
              <w:suppressLineNumbers w:val="0"/>
              <w:spacing w:before="0" w:beforeAutospacing="0" w:after="0" w:afterAutospacing="0" w:line="360" w:lineRule="auto"/>
              <w:ind w:right="0" w:firstLine="452" w:firstLineChars="200"/>
              <w:rPr>
                <w:rFonts w:hint="default"/>
              </w:rPr>
            </w:pPr>
            <w:r>
              <w:rPr>
                <w:rFonts w:hint="default" w:ascii="Times New Roman" w:hAnsi="Times New Roman" w:cs="Times New Roman"/>
                <w:color w:val="auto"/>
                <w:spacing w:val="-7"/>
                <w:sz w:val="24"/>
                <w:szCs w:val="24"/>
              </w:rPr>
              <w:t>根据《国家危险废物名录》</w:t>
            </w:r>
            <w:r>
              <w:rPr>
                <w:rFonts w:hint="default" w:ascii="Times New Roman" w:hAnsi="Times New Roman" w:cs="Times New Roman"/>
                <w:color w:val="auto"/>
                <w:sz w:val="24"/>
                <w:szCs w:val="24"/>
              </w:rPr>
              <w:t>（202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年版</w:t>
            </w:r>
            <w:r>
              <w:rPr>
                <w:rFonts w:hint="default" w:ascii="Times New Roman" w:hAnsi="Times New Roman" w:cs="Times New Roman"/>
                <w:color w:val="auto"/>
                <w:spacing w:val="-18"/>
                <w:sz w:val="24"/>
                <w:szCs w:val="24"/>
              </w:rPr>
              <w:t>）</w:t>
            </w:r>
            <w:r>
              <w:rPr>
                <w:rFonts w:hint="default" w:ascii="Times New Roman" w:hAnsi="Times New Roman" w:cs="Times New Roman"/>
                <w:color w:val="auto"/>
                <w:spacing w:val="-4"/>
                <w:sz w:val="24"/>
                <w:szCs w:val="24"/>
              </w:rPr>
              <w:t>，判定建设项目的固体废物是否属于危险废物，具</w:t>
            </w:r>
            <w:r>
              <w:rPr>
                <w:rFonts w:hint="default" w:ascii="Times New Roman" w:hAnsi="Times New Roman" w:cs="Times New Roman"/>
                <w:color w:val="auto"/>
                <w:spacing w:val="-7"/>
                <w:sz w:val="24"/>
                <w:szCs w:val="24"/>
              </w:rPr>
              <w:t>体如下表所示。</w:t>
            </w:r>
          </w:p>
          <w:p w14:paraId="589B6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表4-</w:t>
            </w:r>
            <w:r>
              <w:rPr>
                <w:rFonts w:hint="eastAsia" w:ascii="Times New Roman" w:hAnsi="Times New Roman" w:cs="Times New Roman"/>
                <w:b/>
                <w:bCs/>
                <w:color w:val="auto"/>
                <w:sz w:val="24"/>
                <w:szCs w:val="24"/>
                <w:lang w:val="en-US" w:eastAsia="zh-CN"/>
              </w:rPr>
              <w:t xml:space="preserve">11  </w:t>
            </w:r>
            <w:r>
              <w:rPr>
                <w:rFonts w:hint="default" w:ascii="Times New Roman" w:hAnsi="Times New Roman" w:cs="Times New Roman"/>
                <w:b/>
                <w:bCs/>
                <w:color w:val="auto"/>
                <w:sz w:val="24"/>
                <w:szCs w:val="24"/>
              </w:rPr>
              <w:t>危险废物属性判定表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89"/>
              <w:gridCol w:w="2154"/>
              <w:gridCol w:w="1819"/>
              <w:gridCol w:w="1171"/>
              <w:gridCol w:w="1443"/>
              <w:gridCol w:w="1182"/>
            </w:tblGrid>
            <w:tr w14:paraId="414E47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7C764A0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序号</w:t>
                  </w:r>
                </w:p>
              </w:tc>
              <w:tc>
                <w:tcPr>
                  <w:tcW w:w="1273" w:type="pct"/>
                  <w:tcBorders>
                    <w:tl2br w:val="nil"/>
                    <w:tr2bl w:val="nil"/>
                  </w:tcBorders>
                  <w:noWrap w:val="0"/>
                  <w:vAlign w:val="center"/>
                </w:tcPr>
                <w:p w14:paraId="47F6FA6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固体废物名称</w:t>
                  </w:r>
                </w:p>
              </w:tc>
              <w:tc>
                <w:tcPr>
                  <w:tcW w:w="1075" w:type="pct"/>
                  <w:tcBorders>
                    <w:tl2br w:val="nil"/>
                    <w:tr2bl w:val="nil"/>
                  </w:tcBorders>
                  <w:noWrap w:val="0"/>
                  <w:vAlign w:val="center"/>
                </w:tcPr>
                <w:p w14:paraId="38A011C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产生工序</w:t>
                  </w:r>
                </w:p>
              </w:tc>
              <w:tc>
                <w:tcPr>
                  <w:tcW w:w="692" w:type="pct"/>
                  <w:tcBorders>
                    <w:tl2br w:val="nil"/>
                    <w:tr2bl w:val="nil"/>
                  </w:tcBorders>
                  <w:noWrap w:val="0"/>
                  <w:vAlign w:val="center"/>
                </w:tcPr>
                <w:p w14:paraId="4B4D6C2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是否属危险废物</w:t>
                  </w:r>
                </w:p>
              </w:tc>
              <w:tc>
                <w:tcPr>
                  <w:tcW w:w="853" w:type="pct"/>
                  <w:tcBorders>
                    <w:tl2br w:val="nil"/>
                    <w:tr2bl w:val="nil"/>
                  </w:tcBorders>
                  <w:noWrap w:val="0"/>
                  <w:vAlign w:val="center"/>
                </w:tcPr>
                <w:p w14:paraId="6878AEF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废物类别</w:t>
                  </w:r>
                </w:p>
              </w:tc>
              <w:tc>
                <w:tcPr>
                  <w:tcW w:w="698" w:type="pct"/>
                  <w:tcBorders>
                    <w:tl2br w:val="nil"/>
                    <w:tr2bl w:val="nil"/>
                  </w:tcBorders>
                  <w:noWrap w:val="0"/>
                  <w:vAlign w:val="center"/>
                </w:tcPr>
                <w:p w14:paraId="6ABE036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产生量（t/a）</w:t>
                  </w:r>
                </w:p>
              </w:tc>
            </w:tr>
            <w:tr w14:paraId="7207B7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2DAACB5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1</w:t>
                  </w:r>
                </w:p>
              </w:tc>
              <w:tc>
                <w:tcPr>
                  <w:tcW w:w="1273" w:type="pct"/>
                  <w:tcBorders>
                    <w:tl2br w:val="nil"/>
                    <w:tr2bl w:val="nil"/>
                  </w:tcBorders>
                  <w:noWrap w:val="0"/>
                  <w:vAlign w:val="center"/>
                </w:tcPr>
                <w:p w14:paraId="577103A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sz w:val="21"/>
                      <w:szCs w:val="21"/>
                    </w:rPr>
                    <w:t>废包装材料</w:t>
                  </w:r>
                </w:p>
              </w:tc>
              <w:tc>
                <w:tcPr>
                  <w:tcW w:w="1075" w:type="pct"/>
                  <w:tcBorders>
                    <w:tl2br w:val="nil"/>
                    <w:tr2bl w:val="nil"/>
                  </w:tcBorders>
                  <w:noWrap w:val="0"/>
                  <w:vAlign w:val="center"/>
                </w:tcPr>
                <w:p w14:paraId="6ECB503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sz w:val="21"/>
                      <w:szCs w:val="21"/>
                      <w:lang w:val="en-US"/>
                    </w:rPr>
                  </w:pPr>
                  <w:r>
                    <w:rPr>
                      <w:rFonts w:hint="eastAsia" w:cs="Times New Roman"/>
                      <w:sz w:val="21"/>
                      <w:szCs w:val="21"/>
                      <w:lang w:val="en-US" w:eastAsia="zh-CN"/>
                    </w:rPr>
                    <w:t>脱包、内包、外包</w:t>
                  </w:r>
                </w:p>
              </w:tc>
              <w:tc>
                <w:tcPr>
                  <w:tcW w:w="692" w:type="pct"/>
                  <w:tcBorders>
                    <w:tl2br w:val="nil"/>
                    <w:tr2bl w:val="nil"/>
                  </w:tcBorders>
                  <w:noWrap w:val="0"/>
                  <w:vAlign w:val="center"/>
                </w:tcPr>
                <w:p w14:paraId="16E20D6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sz w:val="21"/>
                      <w:szCs w:val="21"/>
                    </w:rPr>
                    <w:t>否</w:t>
                  </w:r>
                </w:p>
              </w:tc>
              <w:tc>
                <w:tcPr>
                  <w:tcW w:w="853" w:type="pct"/>
                  <w:tcBorders>
                    <w:tl2br w:val="nil"/>
                    <w:tr2bl w:val="nil"/>
                  </w:tcBorders>
                  <w:noWrap w:val="0"/>
                  <w:vAlign w:val="center"/>
                </w:tcPr>
                <w:p w14:paraId="3191098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color w:val="auto"/>
                      <w:sz w:val="21"/>
                      <w:szCs w:val="21"/>
                      <w:lang w:val="en-US" w:eastAsia="zh-CN"/>
                    </w:rPr>
                    <w:t>900-099-S17</w:t>
                  </w:r>
                </w:p>
              </w:tc>
              <w:tc>
                <w:tcPr>
                  <w:tcW w:w="698" w:type="pct"/>
                  <w:tcBorders>
                    <w:tl2br w:val="nil"/>
                    <w:tr2bl w:val="nil"/>
                  </w:tcBorders>
                  <w:noWrap w:val="0"/>
                  <w:vAlign w:val="center"/>
                </w:tcPr>
                <w:p w14:paraId="74C9ED2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sz w:val="21"/>
                      <w:szCs w:val="21"/>
                    </w:rPr>
                  </w:pPr>
                  <w:r>
                    <w:rPr>
                      <w:rFonts w:hint="eastAsia" w:cs="Times New Roman"/>
                      <w:sz w:val="21"/>
                      <w:szCs w:val="21"/>
                      <w:lang w:val="en-US" w:eastAsia="zh-CN"/>
                    </w:rPr>
                    <w:t>120</w:t>
                  </w:r>
                </w:p>
              </w:tc>
            </w:tr>
            <w:tr w14:paraId="5D1D3E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6BB96A5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2</w:t>
                  </w:r>
                </w:p>
              </w:tc>
              <w:tc>
                <w:tcPr>
                  <w:tcW w:w="1273" w:type="pct"/>
                  <w:tcBorders>
                    <w:tl2br w:val="nil"/>
                    <w:tr2bl w:val="nil"/>
                  </w:tcBorders>
                  <w:shd w:val="clear" w:color="auto" w:fill="auto"/>
                  <w:noWrap w:val="0"/>
                  <w:vAlign w:val="center"/>
                </w:tcPr>
                <w:p w14:paraId="6B8B8EC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杂质</w:t>
                  </w:r>
                </w:p>
              </w:tc>
              <w:tc>
                <w:tcPr>
                  <w:tcW w:w="1075" w:type="pct"/>
                  <w:tcBorders>
                    <w:tl2br w:val="nil"/>
                    <w:tr2bl w:val="nil"/>
                  </w:tcBorders>
                  <w:shd w:val="clear" w:color="auto" w:fill="auto"/>
                  <w:noWrap w:val="0"/>
                  <w:vAlign w:val="center"/>
                </w:tcPr>
                <w:p w14:paraId="7DF7AA4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人工过筛</w:t>
                  </w:r>
                </w:p>
              </w:tc>
              <w:tc>
                <w:tcPr>
                  <w:tcW w:w="692" w:type="pct"/>
                  <w:tcBorders>
                    <w:tl2br w:val="nil"/>
                    <w:tr2bl w:val="nil"/>
                  </w:tcBorders>
                  <w:shd w:val="clear" w:color="auto" w:fill="auto"/>
                  <w:noWrap w:val="0"/>
                  <w:vAlign w:val="center"/>
                </w:tcPr>
                <w:p w14:paraId="55CD24A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否</w:t>
                  </w:r>
                </w:p>
              </w:tc>
              <w:tc>
                <w:tcPr>
                  <w:tcW w:w="853" w:type="pct"/>
                  <w:tcBorders>
                    <w:tl2br w:val="nil"/>
                    <w:tr2bl w:val="nil"/>
                  </w:tcBorders>
                  <w:shd w:val="clear" w:color="auto" w:fill="auto"/>
                  <w:noWrap w:val="0"/>
                  <w:vAlign w:val="center"/>
                </w:tcPr>
                <w:p w14:paraId="52695A8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900-099-S59</w:t>
                  </w:r>
                </w:p>
              </w:tc>
              <w:tc>
                <w:tcPr>
                  <w:tcW w:w="698" w:type="pct"/>
                  <w:tcBorders>
                    <w:tl2br w:val="nil"/>
                    <w:tr2bl w:val="nil"/>
                  </w:tcBorders>
                  <w:shd w:val="clear" w:color="auto" w:fill="auto"/>
                  <w:noWrap w:val="0"/>
                  <w:vAlign w:val="center"/>
                </w:tcPr>
                <w:p w14:paraId="78963AA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0.3</w:t>
                  </w:r>
                </w:p>
              </w:tc>
            </w:tr>
            <w:tr w14:paraId="7BD5AD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4F94032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3</w:t>
                  </w:r>
                </w:p>
              </w:tc>
              <w:tc>
                <w:tcPr>
                  <w:tcW w:w="1273" w:type="pct"/>
                  <w:tcBorders>
                    <w:tl2br w:val="nil"/>
                    <w:tr2bl w:val="nil"/>
                  </w:tcBorders>
                  <w:shd w:val="clear" w:color="auto" w:fill="auto"/>
                  <w:noWrap w:val="0"/>
                  <w:vAlign w:val="center"/>
                </w:tcPr>
                <w:p w14:paraId="77AA0D0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sz w:val="21"/>
                      <w:szCs w:val="21"/>
                      <w:lang w:val="en-US" w:eastAsia="zh-CN"/>
                    </w:rPr>
                  </w:pPr>
                  <w:r>
                    <w:rPr>
                      <w:rFonts w:hint="eastAsia" w:cs="Times New Roman"/>
                      <w:sz w:val="21"/>
                      <w:szCs w:val="21"/>
                      <w:lang w:val="en-US" w:eastAsia="zh-CN"/>
                    </w:rPr>
                    <w:t>过筛物料</w:t>
                  </w:r>
                </w:p>
              </w:tc>
              <w:tc>
                <w:tcPr>
                  <w:tcW w:w="1075" w:type="pct"/>
                  <w:tcBorders>
                    <w:tl2br w:val="nil"/>
                    <w:tr2bl w:val="nil"/>
                  </w:tcBorders>
                  <w:shd w:val="clear" w:color="auto" w:fill="auto"/>
                  <w:noWrap w:val="0"/>
                  <w:vAlign w:val="center"/>
                </w:tcPr>
                <w:p w14:paraId="307E1AA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sz w:val="21"/>
                      <w:szCs w:val="21"/>
                      <w:lang w:val="en-US" w:eastAsia="zh-CN"/>
                    </w:rPr>
                  </w:pPr>
                  <w:r>
                    <w:rPr>
                      <w:rFonts w:hint="eastAsia" w:cs="Times New Roman"/>
                      <w:sz w:val="21"/>
                      <w:szCs w:val="21"/>
                      <w:lang w:val="en-US" w:eastAsia="zh-CN"/>
                    </w:rPr>
                    <w:t>过筛</w:t>
                  </w:r>
                </w:p>
              </w:tc>
              <w:tc>
                <w:tcPr>
                  <w:tcW w:w="692" w:type="pct"/>
                  <w:tcBorders>
                    <w:tl2br w:val="nil"/>
                    <w:tr2bl w:val="nil"/>
                  </w:tcBorders>
                  <w:shd w:val="clear" w:color="auto" w:fill="auto"/>
                  <w:noWrap w:val="0"/>
                  <w:vAlign w:val="center"/>
                </w:tcPr>
                <w:p w14:paraId="262B600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sz w:val="21"/>
                      <w:szCs w:val="21"/>
                      <w:lang w:val="en-US" w:eastAsia="zh-CN"/>
                    </w:rPr>
                  </w:pPr>
                  <w:r>
                    <w:rPr>
                      <w:rFonts w:hint="eastAsia" w:cs="Times New Roman"/>
                      <w:sz w:val="21"/>
                      <w:szCs w:val="21"/>
                      <w:lang w:val="en-US" w:eastAsia="zh-CN"/>
                    </w:rPr>
                    <w:t>否</w:t>
                  </w:r>
                </w:p>
              </w:tc>
              <w:tc>
                <w:tcPr>
                  <w:tcW w:w="853" w:type="pct"/>
                  <w:tcBorders>
                    <w:tl2br w:val="nil"/>
                    <w:tr2bl w:val="nil"/>
                  </w:tcBorders>
                  <w:shd w:val="clear" w:color="auto" w:fill="auto"/>
                  <w:noWrap w:val="0"/>
                  <w:vAlign w:val="center"/>
                </w:tcPr>
                <w:p w14:paraId="1D785F1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98" w:type="pct"/>
                  <w:tcBorders>
                    <w:tl2br w:val="nil"/>
                    <w:tr2bl w:val="nil"/>
                  </w:tcBorders>
                  <w:shd w:val="clear" w:color="auto" w:fill="auto"/>
                  <w:noWrap w:val="0"/>
                  <w:vAlign w:val="center"/>
                </w:tcPr>
                <w:p w14:paraId="388C7DD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sz w:val="21"/>
                      <w:szCs w:val="21"/>
                      <w:lang w:val="en-US" w:eastAsia="zh-CN"/>
                    </w:rPr>
                  </w:pPr>
                  <w:r>
                    <w:rPr>
                      <w:rFonts w:hint="eastAsia" w:cs="Times New Roman"/>
                      <w:sz w:val="21"/>
                      <w:szCs w:val="21"/>
                      <w:lang w:val="en-US" w:eastAsia="zh-CN"/>
                    </w:rPr>
                    <w:t>1.45</w:t>
                  </w:r>
                </w:p>
              </w:tc>
            </w:tr>
            <w:tr w14:paraId="2DB26A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6EB19D7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4</w:t>
                  </w:r>
                </w:p>
              </w:tc>
              <w:tc>
                <w:tcPr>
                  <w:tcW w:w="1273" w:type="pct"/>
                  <w:tcBorders>
                    <w:tl2br w:val="nil"/>
                    <w:tr2bl w:val="nil"/>
                  </w:tcBorders>
                  <w:shd w:val="clear" w:color="auto" w:fill="auto"/>
                  <w:noWrap w:val="0"/>
                  <w:vAlign w:val="center"/>
                </w:tcPr>
                <w:p w14:paraId="4108D6B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sz w:val="21"/>
                      <w:szCs w:val="21"/>
                      <w:lang w:val="en-US" w:eastAsia="zh-CN"/>
                    </w:rPr>
                  </w:pPr>
                  <w:r>
                    <w:rPr>
                      <w:rFonts w:hint="eastAsia" w:cs="Times New Roman"/>
                      <w:sz w:val="21"/>
                      <w:szCs w:val="21"/>
                      <w:lang w:val="en-US" w:eastAsia="zh-CN"/>
                    </w:rPr>
                    <w:t>废油物</w:t>
                  </w:r>
                </w:p>
              </w:tc>
              <w:tc>
                <w:tcPr>
                  <w:tcW w:w="1075" w:type="pct"/>
                  <w:tcBorders>
                    <w:tl2br w:val="nil"/>
                    <w:tr2bl w:val="nil"/>
                  </w:tcBorders>
                  <w:shd w:val="clear" w:color="auto" w:fill="auto"/>
                  <w:noWrap w:val="0"/>
                  <w:vAlign w:val="center"/>
                </w:tcPr>
                <w:p w14:paraId="694C9B8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sz w:val="21"/>
                      <w:szCs w:val="21"/>
                      <w:lang w:val="en-US" w:eastAsia="zh-CN"/>
                    </w:rPr>
                  </w:pPr>
                  <w:r>
                    <w:rPr>
                      <w:rFonts w:hint="eastAsia" w:cs="Times New Roman"/>
                      <w:sz w:val="21"/>
                      <w:szCs w:val="21"/>
                      <w:lang w:val="en-US" w:eastAsia="zh-CN"/>
                    </w:rPr>
                    <w:t>调味</w:t>
                  </w:r>
                </w:p>
              </w:tc>
              <w:tc>
                <w:tcPr>
                  <w:tcW w:w="692" w:type="pct"/>
                  <w:tcBorders>
                    <w:tl2br w:val="nil"/>
                    <w:tr2bl w:val="nil"/>
                  </w:tcBorders>
                  <w:shd w:val="clear" w:color="auto" w:fill="auto"/>
                  <w:noWrap w:val="0"/>
                  <w:vAlign w:val="center"/>
                </w:tcPr>
                <w:p w14:paraId="44ECBD6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sz w:val="21"/>
                      <w:szCs w:val="21"/>
                      <w:lang w:val="en-US" w:eastAsia="zh-CN"/>
                    </w:rPr>
                  </w:pPr>
                  <w:r>
                    <w:rPr>
                      <w:rFonts w:hint="eastAsia" w:cs="Times New Roman"/>
                      <w:sz w:val="21"/>
                      <w:szCs w:val="21"/>
                      <w:lang w:val="en-US" w:eastAsia="zh-CN"/>
                    </w:rPr>
                    <w:t>否</w:t>
                  </w:r>
                </w:p>
              </w:tc>
              <w:tc>
                <w:tcPr>
                  <w:tcW w:w="853" w:type="pct"/>
                  <w:tcBorders>
                    <w:tl2br w:val="nil"/>
                    <w:tr2bl w:val="nil"/>
                  </w:tcBorders>
                  <w:shd w:val="clear" w:color="auto" w:fill="auto"/>
                  <w:noWrap w:val="0"/>
                  <w:vAlign w:val="center"/>
                </w:tcPr>
                <w:p w14:paraId="3C8602E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900-002-S61</w:t>
                  </w:r>
                </w:p>
              </w:tc>
              <w:tc>
                <w:tcPr>
                  <w:tcW w:w="698" w:type="pct"/>
                  <w:tcBorders>
                    <w:tl2br w:val="nil"/>
                    <w:tr2bl w:val="nil"/>
                  </w:tcBorders>
                  <w:shd w:val="clear" w:color="auto" w:fill="auto"/>
                  <w:noWrap w:val="0"/>
                  <w:vAlign w:val="center"/>
                </w:tcPr>
                <w:p w14:paraId="3FE7EED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sz w:val="21"/>
                      <w:szCs w:val="21"/>
                      <w:lang w:val="en-US" w:eastAsia="zh-CN"/>
                    </w:rPr>
                  </w:pPr>
                  <w:r>
                    <w:rPr>
                      <w:rFonts w:hint="eastAsia" w:cs="Times New Roman"/>
                      <w:sz w:val="21"/>
                      <w:szCs w:val="21"/>
                      <w:lang w:val="en-US" w:eastAsia="zh-CN"/>
                    </w:rPr>
                    <w:t>0.3</w:t>
                  </w:r>
                </w:p>
              </w:tc>
            </w:tr>
            <w:tr w14:paraId="5E077E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6A37437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5</w:t>
                  </w:r>
                </w:p>
              </w:tc>
              <w:tc>
                <w:tcPr>
                  <w:tcW w:w="1273" w:type="pct"/>
                  <w:tcBorders>
                    <w:tl2br w:val="nil"/>
                    <w:tr2bl w:val="nil"/>
                  </w:tcBorders>
                  <w:noWrap w:val="0"/>
                  <w:vAlign w:val="center"/>
                </w:tcPr>
                <w:p w14:paraId="7A79A00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不合格品</w:t>
                  </w:r>
                </w:p>
              </w:tc>
              <w:tc>
                <w:tcPr>
                  <w:tcW w:w="1075" w:type="pct"/>
                  <w:tcBorders>
                    <w:tl2br w:val="nil"/>
                    <w:tr2bl w:val="nil"/>
                  </w:tcBorders>
                  <w:noWrap w:val="0"/>
                  <w:vAlign w:val="center"/>
                </w:tcPr>
                <w:p w14:paraId="7D26362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金属检测、质检</w:t>
                  </w:r>
                </w:p>
              </w:tc>
              <w:tc>
                <w:tcPr>
                  <w:tcW w:w="692" w:type="pct"/>
                  <w:tcBorders>
                    <w:tl2br w:val="nil"/>
                    <w:tr2bl w:val="nil"/>
                  </w:tcBorders>
                  <w:noWrap w:val="0"/>
                  <w:vAlign w:val="center"/>
                </w:tcPr>
                <w:p w14:paraId="5B5875B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c>
                <w:tcPr>
                  <w:tcW w:w="853" w:type="pct"/>
                  <w:tcBorders>
                    <w:tl2br w:val="nil"/>
                    <w:tr2bl w:val="nil"/>
                  </w:tcBorders>
                  <w:noWrap w:val="0"/>
                  <w:vAlign w:val="center"/>
                </w:tcPr>
                <w:p w14:paraId="518EA94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98" w:type="pct"/>
                  <w:tcBorders>
                    <w:tl2br w:val="nil"/>
                    <w:tr2bl w:val="nil"/>
                  </w:tcBorders>
                  <w:noWrap w:val="0"/>
                  <w:vAlign w:val="center"/>
                </w:tcPr>
                <w:p w14:paraId="0B8C08C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81</w:t>
                  </w:r>
                </w:p>
              </w:tc>
            </w:tr>
            <w:tr w14:paraId="7B8219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5C92398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6</w:t>
                  </w:r>
                </w:p>
              </w:tc>
              <w:tc>
                <w:tcPr>
                  <w:tcW w:w="1273" w:type="pct"/>
                  <w:tcBorders>
                    <w:tl2br w:val="nil"/>
                    <w:tr2bl w:val="nil"/>
                  </w:tcBorders>
                  <w:noWrap w:val="0"/>
                  <w:vAlign w:val="center"/>
                </w:tcPr>
                <w:p w14:paraId="1883F9E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除尘器收集粉尘</w:t>
                  </w:r>
                </w:p>
              </w:tc>
              <w:tc>
                <w:tcPr>
                  <w:tcW w:w="1075" w:type="pct"/>
                  <w:tcBorders>
                    <w:tl2br w:val="nil"/>
                    <w:tr2bl w:val="nil"/>
                  </w:tcBorders>
                  <w:noWrap w:val="0"/>
                  <w:vAlign w:val="center"/>
                </w:tcPr>
                <w:p w14:paraId="7F72809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废气处理</w:t>
                  </w:r>
                </w:p>
              </w:tc>
              <w:tc>
                <w:tcPr>
                  <w:tcW w:w="692" w:type="pct"/>
                  <w:tcBorders>
                    <w:tl2br w:val="nil"/>
                    <w:tr2bl w:val="nil"/>
                  </w:tcBorders>
                  <w:noWrap w:val="0"/>
                  <w:vAlign w:val="center"/>
                </w:tcPr>
                <w:p w14:paraId="665AB86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否</w:t>
                  </w:r>
                </w:p>
              </w:tc>
              <w:tc>
                <w:tcPr>
                  <w:tcW w:w="853" w:type="pct"/>
                  <w:tcBorders>
                    <w:tl2br w:val="nil"/>
                    <w:tr2bl w:val="nil"/>
                  </w:tcBorders>
                  <w:noWrap w:val="0"/>
                  <w:vAlign w:val="center"/>
                </w:tcPr>
                <w:p w14:paraId="5B55C4D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900-099-S17</w:t>
                  </w:r>
                </w:p>
              </w:tc>
              <w:tc>
                <w:tcPr>
                  <w:tcW w:w="698" w:type="pct"/>
                  <w:tcBorders>
                    <w:tl2br w:val="nil"/>
                    <w:tr2bl w:val="nil"/>
                  </w:tcBorders>
                  <w:noWrap w:val="0"/>
                  <w:vAlign w:val="center"/>
                </w:tcPr>
                <w:p w14:paraId="759AF3D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0.0513</w:t>
                  </w:r>
                </w:p>
              </w:tc>
            </w:tr>
            <w:tr w14:paraId="01FCC6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3544856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7</w:t>
                  </w:r>
                </w:p>
              </w:tc>
              <w:tc>
                <w:tcPr>
                  <w:tcW w:w="1273" w:type="pct"/>
                  <w:tcBorders>
                    <w:tl2br w:val="nil"/>
                    <w:tr2bl w:val="nil"/>
                  </w:tcBorders>
                  <w:noWrap w:val="0"/>
                  <w:vAlign w:val="center"/>
                </w:tcPr>
                <w:p w14:paraId="54A83FA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废布袋</w:t>
                  </w:r>
                </w:p>
              </w:tc>
              <w:tc>
                <w:tcPr>
                  <w:tcW w:w="1075" w:type="pct"/>
                  <w:tcBorders>
                    <w:tl2br w:val="nil"/>
                    <w:tr2bl w:val="nil"/>
                  </w:tcBorders>
                  <w:noWrap w:val="0"/>
                  <w:vAlign w:val="center"/>
                </w:tcPr>
                <w:p w14:paraId="506F572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692" w:type="pct"/>
                  <w:tcBorders>
                    <w:tl2br w:val="nil"/>
                    <w:tr2bl w:val="nil"/>
                  </w:tcBorders>
                  <w:noWrap w:val="0"/>
                  <w:vAlign w:val="center"/>
                </w:tcPr>
                <w:p w14:paraId="715A6F6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否</w:t>
                  </w:r>
                </w:p>
              </w:tc>
              <w:tc>
                <w:tcPr>
                  <w:tcW w:w="853" w:type="pct"/>
                  <w:tcBorders>
                    <w:tl2br w:val="nil"/>
                    <w:tr2bl w:val="nil"/>
                  </w:tcBorders>
                  <w:noWrap w:val="0"/>
                  <w:vAlign w:val="center"/>
                </w:tcPr>
                <w:p w14:paraId="2D48FD8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kern w:val="2"/>
                      <w:sz w:val="21"/>
                      <w:szCs w:val="21"/>
                      <w:lang w:val="en-US" w:eastAsia="zh-CN" w:bidi="ar-SA"/>
                    </w:rPr>
                    <w:t>900-999-99</w:t>
                  </w:r>
                </w:p>
              </w:tc>
              <w:tc>
                <w:tcPr>
                  <w:tcW w:w="698" w:type="pct"/>
                  <w:tcBorders>
                    <w:tl2br w:val="nil"/>
                    <w:tr2bl w:val="nil"/>
                  </w:tcBorders>
                  <w:noWrap w:val="0"/>
                  <w:vAlign w:val="center"/>
                </w:tcPr>
                <w:p w14:paraId="427CE74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0.05</w:t>
                  </w:r>
                </w:p>
              </w:tc>
            </w:tr>
            <w:tr w14:paraId="10FC85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5E0A73D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1273" w:type="pct"/>
                  <w:tcBorders>
                    <w:tl2br w:val="nil"/>
                    <w:tr2bl w:val="nil"/>
                  </w:tcBorders>
                  <w:noWrap w:val="0"/>
                  <w:vAlign w:val="center"/>
                </w:tcPr>
                <w:p w14:paraId="1A8737F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地面清扫粉尘</w:t>
                  </w:r>
                </w:p>
              </w:tc>
              <w:tc>
                <w:tcPr>
                  <w:tcW w:w="1075" w:type="pct"/>
                  <w:tcBorders>
                    <w:tl2br w:val="nil"/>
                    <w:tr2bl w:val="nil"/>
                  </w:tcBorders>
                  <w:noWrap w:val="0"/>
                  <w:vAlign w:val="center"/>
                </w:tcPr>
                <w:p w14:paraId="0FE17B6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废气处理</w:t>
                  </w:r>
                </w:p>
              </w:tc>
              <w:tc>
                <w:tcPr>
                  <w:tcW w:w="692" w:type="pct"/>
                  <w:tcBorders>
                    <w:tl2br w:val="nil"/>
                    <w:tr2bl w:val="nil"/>
                  </w:tcBorders>
                  <w:noWrap w:val="0"/>
                  <w:vAlign w:val="center"/>
                </w:tcPr>
                <w:p w14:paraId="5509EE9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否</w:t>
                  </w:r>
                </w:p>
              </w:tc>
              <w:tc>
                <w:tcPr>
                  <w:tcW w:w="853" w:type="pct"/>
                  <w:tcBorders>
                    <w:tl2br w:val="nil"/>
                    <w:tr2bl w:val="nil"/>
                  </w:tcBorders>
                  <w:noWrap w:val="0"/>
                  <w:vAlign w:val="center"/>
                </w:tcPr>
                <w:p w14:paraId="3AA3DDA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900-099-S17</w:t>
                  </w:r>
                </w:p>
              </w:tc>
              <w:tc>
                <w:tcPr>
                  <w:tcW w:w="698" w:type="pct"/>
                  <w:tcBorders>
                    <w:tl2br w:val="nil"/>
                    <w:tr2bl w:val="nil"/>
                  </w:tcBorders>
                  <w:noWrap w:val="0"/>
                  <w:vAlign w:val="center"/>
                </w:tcPr>
                <w:p w14:paraId="5488667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0.028</w:t>
                  </w:r>
                </w:p>
              </w:tc>
            </w:tr>
            <w:tr w14:paraId="02C0C3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14A8539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9</w:t>
                  </w:r>
                </w:p>
              </w:tc>
              <w:tc>
                <w:tcPr>
                  <w:tcW w:w="1273" w:type="pct"/>
                  <w:tcBorders>
                    <w:tl2br w:val="nil"/>
                    <w:tr2bl w:val="nil"/>
                  </w:tcBorders>
                  <w:noWrap w:val="0"/>
                  <w:vAlign w:val="center"/>
                </w:tcPr>
                <w:p w14:paraId="5427271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沉淀池</w:t>
                  </w:r>
                  <w:r>
                    <w:rPr>
                      <w:rFonts w:hint="eastAsia" w:ascii="Times New Roman" w:hAnsi="Times New Roman" w:eastAsia="宋体" w:cs="Times New Roman"/>
                      <w:sz w:val="21"/>
                      <w:szCs w:val="21"/>
                      <w:lang w:val="en-US" w:eastAsia="zh-CN"/>
                    </w:rPr>
                    <w:t>污泥</w:t>
                  </w:r>
                </w:p>
              </w:tc>
              <w:tc>
                <w:tcPr>
                  <w:tcW w:w="1075" w:type="pct"/>
                  <w:tcBorders>
                    <w:tl2br w:val="nil"/>
                    <w:tr2bl w:val="nil"/>
                  </w:tcBorders>
                  <w:noWrap w:val="0"/>
                  <w:vAlign w:val="center"/>
                </w:tcPr>
                <w:p w14:paraId="2A25572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废水预处理</w:t>
                  </w:r>
                </w:p>
              </w:tc>
              <w:tc>
                <w:tcPr>
                  <w:tcW w:w="692" w:type="pct"/>
                  <w:tcBorders>
                    <w:tl2br w:val="nil"/>
                    <w:tr2bl w:val="nil"/>
                  </w:tcBorders>
                  <w:noWrap w:val="0"/>
                  <w:vAlign w:val="center"/>
                </w:tcPr>
                <w:p w14:paraId="303B2BB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否</w:t>
                  </w:r>
                </w:p>
              </w:tc>
              <w:tc>
                <w:tcPr>
                  <w:tcW w:w="853" w:type="pct"/>
                  <w:tcBorders>
                    <w:tl2br w:val="nil"/>
                    <w:tr2bl w:val="nil"/>
                  </w:tcBorders>
                  <w:noWrap w:val="0"/>
                  <w:vAlign w:val="center"/>
                </w:tcPr>
                <w:p w14:paraId="0B8C4D2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140-001-S07</w:t>
                  </w:r>
                </w:p>
              </w:tc>
              <w:tc>
                <w:tcPr>
                  <w:tcW w:w="698" w:type="pct"/>
                  <w:tcBorders>
                    <w:tl2br w:val="nil"/>
                    <w:tr2bl w:val="nil"/>
                  </w:tcBorders>
                  <w:noWrap w:val="0"/>
                  <w:vAlign w:val="center"/>
                </w:tcPr>
                <w:p w14:paraId="7CA0139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eastAsia" w:cs="Times New Roman"/>
                      <w:sz w:val="21"/>
                      <w:szCs w:val="21"/>
                      <w:lang w:val="en-US" w:eastAsia="zh-CN"/>
                    </w:rPr>
                    <w:t>12</w:t>
                  </w:r>
                </w:p>
              </w:tc>
            </w:tr>
            <w:tr w14:paraId="6EFB4B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46A9CB8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cs="Times New Roman"/>
                      <w:sz w:val="21"/>
                      <w:szCs w:val="21"/>
                      <w:lang w:val="en-US" w:eastAsia="zh-CN"/>
                    </w:rPr>
                  </w:pPr>
                  <w:r>
                    <w:rPr>
                      <w:rFonts w:hint="eastAsia" w:cs="Times New Roman"/>
                      <w:sz w:val="21"/>
                      <w:szCs w:val="21"/>
                      <w:lang w:val="en-US" w:eastAsia="zh-CN"/>
                    </w:rPr>
                    <w:t>10</w:t>
                  </w:r>
                </w:p>
              </w:tc>
              <w:tc>
                <w:tcPr>
                  <w:tcW w:w="1273" w:type="pct"/>
                  <w:tcBorders>
                    <w:tl2br w:val="nil"/>
                    <w:tr2bl w:val="nil"/>
                  </w:tcBorders>
                  <w:noWrap w:val="0"/>
                  <w:vAlign w:val="center"/>
                </w:tcPr>
                <w:p w14:paraId="38BE0B6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sz w:val="21"/>
                      <w:szCs w:val="21"/>
                      <w:lang w:val="en-US" w:eastAsia="zh-CN"/>
                    </w:rPr>
                  </w:pPr>
                  <w:r>
                    <w:rPr>
                      <w:rFonts w:hint="eastAsia" w:cs="Times New Roman"/>
                      <w:szCs w:val="21"/>
                      <w:lang w:val="en-US" w:eastAsia="zh-CN"/>
                    </w:rPr>
                    <w:t>废紫外灯管</w:t>
                  </w:r>
                </w:p>
              </w:tc>
              <w:tc>
                <w:tcPr>
                  <w:tcW w:w="1075" w:type="pct"/>
                  <w:tcBorders>
                    <w:tl2br w:val="nil"/>
                    <w:tr2bl w:val="nil"/>
                  </w:tcBorders>
                  <w:noWrap w:val="0"/>
                  <w:vAlign w:val="center"/>
                </w:tcPr>
                <w:p w14:paraId="07ADBE3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杀菌</w:t>
                  </w:r>
                </w:p>
              </w:tc>
              <w:tc>
                <w:tcPr>
                  <w:tcW w:w="692" w:type="pct"/>
                  <w:tcBorders>
                    <w:tl2br w:val="nil"/>
                    <w:tr2bl w:val="nil"/>
                  </w:tcBorders>
                  <w:noWrap w:val="0"/>
                  <w:vAlign w:val="center"/>
                </w:tcPr>
                <w:p w14:paraId="0C261B4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是</w:t>
                  </w:r>
                </w:p>
              </w:tc>
              <w:tc>
                <w:tcPr>
                  <w:tcW w:w="853" w:type="pct"/>
                  <w:tcBorders>
                    <w:tl2br w:val="nil"/>
                    <w:tr2bl w:val="nil"/>
                  </w:tcBorders>
                  <w:noWrap w:val="0"/>
                  <w:vAlign w:val="center"/>
                </w:tcPr>
                <w:p w14:paraId="01121BB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color w:val="auto"/>
                      <w:szCs w:val="21"/>
                    </w:rPr>
                    <w:t>900-023-29</w:t>
                  </w:r>
                </w:p>
              </w:tc>
              <w:tc>
                <w:tcPr>
                  <w:tcW w:w="698" w:type="pct"/>
                  <w:tcBorders>
                    <w:tl2br w:val="nil"/>
                    <w:tr2bl w:val="nil"/>
                  </w:tcBorders>
                  <w:noWrap w:val="0"/>
                  <w:vAlign w:val="center"/>
                </w:tcPr>
                <w:p w14:paraId="3670D53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0.032</w:t>
                  </w:r>
                </w:p>
              </w:tc>
            </w:tr>
            <w:tr w14:paraId="00C045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3688B4B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w:t>
                  </w:r>
                </w:p>
              </w:tc>
              <w:tc>
                <w:tcPr>
                  <w:tcW w:w="1273" w:type="pct"/>
                  <w:tcBorders>
                    <w:tl2br w:val="nil"/>
                    <w:tr2bl w:val="nil"/>
                  </w:tcBorders>
                  <w:noWrap w:val="0"/>
                  <w:vAlign w:val="center"/>
                </w:tcPr>
                <w:p w14:paraId="5FA7DCC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废毛巾</w:t>
                  </w:r>
                </w:p>
              </w:tc>
              <w:tc>
                <w:tcPr>
                  <w:tcW w:w="1075" w:type="pct"/>
                  <w:tcBorders>
                    <w:tl2br w:val="nil"/>
                    <w:tr2bl w:val="nil"/>
                  </w:tcBorders>
                  <w:noWrap w:val="0"/>
                  <w:vAlign w:val="center"/>
                </w:tcPr>
                <w:p w14:paraId="5840B83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设备清洗</w:t>
                  </w:r>
                </w:p>
              </w:tc>
              <w:tc>
                <w:tcPr>
                  <w:tcW w:w="692" w:type="pct"/>
                  <w:tcBorders>
                    <w:tl2br w:val="nil"/>
                    <w:tr2bl w:val="nil"/>
                  </w:tcBorders>
                  <w:noWrap w:val="0"/>
                  <w:vAlign w:val="center"/>
                </w:tcPr>
                <w:p w14:paraId="6578EAF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否</w:t>
                  </w:r>
                </w:p>
              </w:tc>
              <w:tc>
                <w:tcPr>
                  <w:tcW w:w="853" w:type="pct"/>
                  <w:tcBorders>
                    <w:tl2br w:val="nil"/>
                    <w:tr2bl w:val="nil"/>
                  </w:tcBorders>
                  <w:noWrap w:val="0"/>
                  <w:vAlign w:val="center"/>
                </w:tcPr>
                <w:p w14:paraId="1BAFCA2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900-099-S64</w:t>
                  </w:r>
                </w:p>
              </w:tc>
              <w:tc>
                <w:tcPr>
                  <w:tcW w:w="698" w:type="pct"/>
                  <w:tcBorders>
                    <w:tl2br w:val="nil"/>
                    <w:tr2bl w:val="nil"/>
                  </w:tcBorders>
                  <w:noWrap w:val="0"/>
                  <w:vAlign w:val="center"/>
                </w:tcPr>
                <w:p w14:paraId="0551677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0.15</w:t>
                  </w:r>
                </w:p>
              </w:tc>
            </w:tr>
            <w:tr w14:paraId="3A15F1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7" w:type="pct"/>
                  <w:tcBorders>
                    <w:tl2br w:val="nil"/>
                    <w:tr2bl w:val="nil"/>
                  </w:tcBorders>
                  <w:noWrap w:val="0"/>
                  <w:vAlign w:val="center"/>
                </w:tcPr>
                <w:p w14:paraId="620C328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12</w:t>
                  </w:r>
                </w:p>
              </w:tc>
              <w:tc>
                <w:tcPr>
                  <w:tcW w:w="1273" w:type="pct"/>
                  <w:tcBorders>
                    <w:tl2br w:val="nil"/>
                    <w:tr2bl w:val="nil"/>
                  </w:tcBorders>
                  <w:noWrap w:val="0"/>
                  <w:vAlign w:val="center"/>
                </w:tcPr>
                <w:p w14:paraId="484FD3C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生活垃圾</w:t>
                  </w:r>
                </w:p>
              </w:tc>
              <w:tc>
                <w:tcPr>
                  <w:tcW w:w="1075" w:type="pct"/>
                  <w:tcBorders>
                    <w:tl2br w:val="nil"/>
                    <w:tr2bl w:val="nil"/>
                  </w:tcBorders>
                  <w:noWrap w:val="0"/>
                  <w:vAlign w:val="center"/>
                </w:tcPr>
                <w:p w14:paraId="37579BB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职工办公</w:t>
                  </w:r>
                </w:p>
              </w:tc>
              <w:tc>
                <w:tcPr>
                  <w:tcW w:w="692" w:type="pct"/>
                  <w:tcBorders>
                    <w:tl2br w:val="nil"/>
                    <w:tr2bl w:val="nil"/>
                  </w:tcBorders>
                  <w:noWrap w:val="0"/>
                  <w:vAlign w:val="center"/>
                </w:tcPr>
                <w:p w14:paraId="50B6616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否</w:t>
                  </w:r>
                </w:p>
              </w:tc>
              <w:tc>
                <w:tcPr>
                  <w:tcW w:w="853" w:type="pct"/>
                  <w:tcBorders>
                    <w:tl2br w:val="nil"/>
                    <w:tr2bl w:val="nil"/>
                  </w:tcBorders>
                  <w:noWrap w:val="0"/>
                  <w:vAlign w:val="center"/>
                </w:tcPr>
                <w:p w14:paraId="260D9F3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900-099-S64</w:t>
                  </w:r>
                </w:p>
              </w:tc>
              <w:tc>
                <w:tcPr>
                  <w:tcW w:w="698" w:type="pct"/>
                  <w:tcBorders>
                    <w:tl2br w:val="nil"/>
                    <w:tr2bl w:val="nil"/>
                  </w:tcBorders>
                  <w:noWrap w:val="0"/>
                  <w:vAlign w:val="center"/>
                </w:tcPr>
                <w:p w14:paraId="3D1BDA9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3.125</w:t>
                  </w:r>
                </w:p>
              </w:tc>
            </w:tr>
          </w:tbl>
          <w:p w14:paraId="12F98B7F">
            <w:pPr>
              <w:keepNext w:val="0"/>
              <w:keepLines w:val="0"/>
              <w:suppressLineNumbers w:val="0"/>
              <w:spacing w:before="0" w:beforeAutospacing="0" w:after="0" w:afterAutospacing="0"/>
              <w:ind w:left="0" w:right="0"/>
              <w:rPr>
                <w:rFonts w:hint="eastAsia" w:ascii="Times New Roman" w:hAnsi="Times New Roman" w:cs="Times New Roman"/>
                <w:b/>
                <w:bCs/>
                <w:color w:val="auto"/>
                <w:sz w:val="24"/>
                <w:szCs w:val="32"/>
                <w:lang w:val="en-US" w:eastAsia="zh-CN"/>
              </w:rPr>
            </w:pPr>
          </w:p>
          <w:p w14:paraId="7030E7E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表4-</w:t>
            </w:r>
            <w:r>
              <w:rPr>
                <w:rFonts w:hint="eastAsia" w:ascii="Times New Roman" w:hAnsi="Times New Roman" w:cs="Times New Roman"/>
                <w:b/>
                <w:bCs/>
                <w:color w:val="auto"/>
                <w:sz w:val="24"/>
                <w:szCs w:val="24"/>
              </w:rPr>
              <w:t>1</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 xml:space="preserve">  固废产生量及处理方式</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572"/>
              <w:gridCol w:w="473"/>
              <w:gridCol w:w="628"/>
              <w:gridCol w:w="998"/>
              <w:gridCol w:w="914"/>
              <w:gridCol w:w="2526"/>
              <w:gridCol w:w="2350"/>
            </w:tblGrid>
            <w:tr w14:paraId="3C6654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72" w:type="dxa"/>
                  <w:tcBorders>
                    <w:tl2br w:val="nil"/>
                    <w:tr2bl w:val="nil"/>
                  </w:tcBorders>
                  <w:noWrap w:val="0"/>
                  <w:vAlign w:val="center"/>
                </w:tcPr>
                <w:p w14:paraId="21B052D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 w:val="21"/>
                      <w:szCs w:val="21"/>
                    </w:rPr>
                  </w:pPr>
                  <w:bookmarkStart w:id="20" w:name="_Toc28277"/>
                  <w:r>
                    <w:rPr>
                      <w:rFonts w:hint="default" w:ascii="Times New Roman" w:hAnsi="Times New Roman" w:cs="Times New Roman"/>
                      <w:b/>
                      <w:bCs w:val="0"/>
                      <w:sz w:val="21"/>
                      <w:szCs w:val="21"/>
                    </w:rPr>
                    <w:t>序号</w:t>
                  </w:r>
                  <w:bookmarkEnd w:id="20"/>
                </w:p>
              </w:tc>
              <w:tc>
                <w:tcPr>
                  <w:tcW w:w="2099" w:type="dxa"/>
                  <w:gridSpan w:val="3"/>
                  <w:tcBorders>
                    <w:tl2br w:val="nil"/>
                    <w:tr2bl w:val="nil"/>
                  </w:tcBorders>
                  <w:noWrap w:val="0"/>
                  <w:vAlign w:val="center"/>
                </w:tcPr>
                <w:p w14:paraId="1F1F52E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 w:val="21"/>
                      <w:szCs w:val="21"/>
                    </w:rPr>
                  </w:pPr>
                  <w:bookmarkStart w:id="21" w:name="_Toc9289"/>
                  <w:r>
                    <w:rPr>
                      <w:rFonts w:hint="default" w:ascii="Times New Roman" w:hAnsi="Times New Roman" w:cs="Times New Roman"/>
                      <w:b/>
                      <w:bCs w:val="0"/>
                      <w:sz w:val="21"/>
                      <w:szCs w:val="21"/>
                    </w:rPr>
                    <w:t>固废种类</w:t>
                  </w:r>
                  <w:bookmarkEnd w:id="21"/>
                </w:p>
              </w:tc>
              <w:tc>
                <w:tcPr>
                  <w:tcW w:w="914" w:type="dxa"/>
                  <w:tcBorders>
                    <w:tl2br w:val="nil"/>
                    <w:tr2bl w:val="nil"/>
                  </w:tcBorders>
                  <w:noWrap w:val="0"/>
                  <w:vAlign w:val="center"/>
                </w:tcPr>
                <w:p w14:paraId="0454299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 w:val="21"/>
                      <w:szCs w:val="21"/>
                    </w:rPr>
                  </w:pPr>
                  <w:bookmarkStart w:id="22" w:name="_Toc18101"/>
                  <w:r>
                    <w:rPr>
                      <w:rFonts w:hint="default" w:ascii="Times New Roman" w:hAnsi="Times New Roman" w:cs="Times New Roman"/>
                      <w:b/>
                      <w:bCs w:val="0"/>
                      <w:sz w:val="21"/>
                      <w:szCs w:val="21"/>
                    </w:rPr>
                    <w:t>产生量（t/a）</w:t>
                  </w:r>
                  <w:bookmarkEnd w:id="22"/>
                </w:p>
              </w:tc>
              <w:tc>
                <w:tcPr>
                  <w:tcW w:w="2526" w:type="dxa"/>
                  <w:tcBorders>
                    <w:tl2br w:val="nil"/>
                    <w:tr2bl w:val="nil"/>
                  </w:tcBorders>
                  <w:noWrap w:val="0"/>
                  <w:vAlign w:val="center"/>
                </w:tcPr>
                <w:p w14:paraId="2404A3F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 w:val="21"/>
                      <w:szCs w:val="21"/>
                    </w:rPr>
                  </w:pPr>
                  <w:bookmarkStart w:id="23" w:name="_Toc28645"/>
                  <w:r>
                    <w:rPr>
                      <w:rFonts w:hint="default" w:ascii="Times New Roman" w:hAnsi="Times New Roman" w:cs="Times New Roman"/>
                      <w:b/>
                      <w:bCs w:val="0"/>
                      <w:sz w:val="21"/>
                      <w:szCs w:val="21"/>
                    </w:rPr>
                    <w:t>环评要求处理方式</w:t>
                  </w:r>
                  <w:bookmarkEnd w:id="23"/>
                </w:p>
              </w:tc>
              <w:tc>
                <w:tcPr>
                  <w:tcW w:w="2350" w:type="dxa"/>
                  <w:tcBorders>
                    <w:tl2br w:val="nil"/>
                    <w:tr2bl w:val="nil"/>
                  </w:tcBorders>
                  <w:noWrap w:val="0"/>
                  <w:vAlign w:val="center"/>
                </w:tcPr>
                <w:p w14:paraId="07337D7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b/>
                      <w:bCs w:val="0"/>
                      <w:sz w:val="21"/>
                      <w:szCs w:val="21"/>
                    </w:rPr>
                  </w:pPr>
                  <w:bookmarkStart w:id="24" w:name="_Toc28264"/>
                  <w:r>
                    <w:rPr>
                      <w:rFonts w:hint="default" w:ascii="Times New Roman" w:hAnsi="Times New Roman" w:cs="Times New Roman"/>
                      <w:b/>
                      <w:bCs w:val="0"/>
                      <w:sz w:val="21"/>
                      <w:szCs w:val="21"/>
                    </w:rPr>
                    <w:t>固废暂存</w:t>
                  </w:r>
                  <w:r>
                    <w:rPr>
                      <w:rFonts w:hint="eastAsia" w:ascii="Times New Roman" w:hAnsi="Times New Roman" w:cs="Times New Roman"/>
                      <w:b/>
                      <w:bCs w:val="0"/>
                      <w:sz w:val="21"/>
                      <w:szCs w:val="21"/>
                      <w:lang w:val="en-US" w:eastAsia="zh-CN"/>
                    </w:rPr>
                    <w:t>场所</w:t>
                  </w:r>
                  <w:r>
                    <w:rPr>
                      <w:rFonts w:hint="default" w:ascii="Times New Roman" w:hAnsi="Times New Roman" w:cs="Times New Roman"/>
                      <w:b/>
                      <w:bCs w:val="0"/>
                      <w:sz w:val="21"/>
                      <w:szCs w:val="21"/>
                    </w:rPr>
                    <w:t>建设、管理要求</w:t>
                  </w:r>
                  <w:bookmarkEnd w:id="24"/>
                </w:p>
              </w:tc>
            </w:tr>
            <w:tr w14:paraId="716FF1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72" w:type="dxa"/>
                  <w:tcBorders>
                    <w:tl2br w:val="nil"/>
                    <w:tr2bl w:val="nil"/>
                  </w:tcBorders>
                  <w:noWrap w:val="0"/>
                  <w:vAlign w:val="center"/>
                </w:tcPr>
                <w:p w14:paraId="6495888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bookmarkStart w:id="25" w:name="_Toc16980"/>
                  <w:r>
                    <w:rPr>
                      <w:rFonts w:hint="default" w:ascii="Times New Roman" w:hAnsi="Times New Roman" w:cs="Times New Roman"/>
                      <w:sz w:val="21"/>
                      <w:szCs w:val="21"/>
                    </w:rPr>
                    <w:t>1</w:t>
                  </w:r>
                  <w:bookmarkEnd w:id="25"/>
                </w:p>
              </w:tc>
              <w:tc>
                <w:tcPr>
                  <w:tcW w:w="2099" w:type="dxa"/>
                  <w:gridSpan w:val="3"/>
                  <w:tcBorders>
                    <w:tl2br w:val="nil"/>
                    <w:tr2bl w:val="nil"/>
                  </w:tcBorders>
                  <w:noWrap w:val="0"/>
                  <w:vAlign w:val="center"/>
                </w:tcPr>
                <w:p w14:paraId="676957E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bookmarkStart w:id="26" w:name="_Toc24353"/>
                  <w:r>
                    <w:rPr>
                      <w:rFonts w:hint="default" w:ascii="Times New Roman" w:hAnsi="Times New Roman" w:cs="Times New Roman"/>
                      <w:sz w:val="21"/>
                      <w:szCs w:val="21"/>
                    </w:rPr>
                    <w:t>生活垃圾</w:t>
                  </w:r>
                  <w:bookmarkEnd w:id="26"/>
                </w:p>
              </w:tc>
              <w:tc>
                <w:tcPr>
                  <w:tcW w:w="914" w:type="dxa"/>
                  <w:tcBorders>
                    <w:tl2br w:val="nil"/>
                    <w:tr2bl w:val="nil"/>
                  </w:tcBorders>
                  <w:noWrap w:val="0"/>
                  <w:vAlign w:val="center"/>
                </w:tcPr>
                <w:p w14:paraId="6C66F12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lang w:val="en-US"/>
                    </w:rPr>
                  </w:pPr>
                  <w:r>
                    <w:rPr>
                      <w:rFonts w:hint="eastAsia" w:ascii="Times New Roman" w:hAnsi="Times New Roman" w:cs="Times New Roman"/>
                      <w:color w:val="auto"/>
                      <w:sz w:val="21"/>
                      <w:szCs w:val="21"/>
                      <w:lang w:val="en-US" w:eastAsia="zh-CN"/>
                    </w:rPr>
                    <w:t>3.125</w:t>
                  </w:r>
                </w:p>
              </w:tc>
              <w:tc>
                <w:tcPr>
                  <w:tcW w:w="4876" w:type="dxa"/>
                  <w:gridSpan w:val="2"/>
                  <w:vMerge w:val="restart"/>
                  <w:tcBorders>
                    <w:tl2br w:val="nil"/>
                    <w:tr2bl w:val="nil"/>
                  </w:tcBorders>
                  <w:noWrap w:val="0"/>
                  <w:vAlign w:val="center"/>
                </w:tcPr>
                <w:p w14:paraId="69F6BED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bookmarkStart w:id="27" w:name="_Toc25328"/>
                  <w:r>
                    <w:rPr>
                      <w:rFonts w:hint="default" w:ascii="Times New Roman" w:hAnsi="Times New Roman" w:cs="Times New Roman"/>
                      <w:sz w:val="21"/>
                      <w:szCs w:val="21"/>
                    </w:rPr>
                    <w:t>a、分类存放、袋装化收集；</w:t>
                  </w:r>
                  <w:bookmarkEnd w:id="27"/>
                </w:p>
                <w:p w14:paraId="3A3577E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bookmarkStart w:id="28" w:name="_Toc12169"/>
                  <w:r>
                    <w:rPr>
                      <w:rFonts w:hint="default" w:ascii="Times New Roman" w:hAnsi="Times New Roman" w:cs="Times New Roman"/>
                      <w:sz w:val="21"/>
                      <w:szCs w:val="21"/>
                    </w:rPr>
                    <w:t>b、定点设加盖垃圾收集桶；</w:t>
                  </w:r>
                  <w:bookmarkEnd w:id="28"/>
                </w:p>
                <w:p w14:paraId="7FD4744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bookmarkStart w:id="29" w:name="_Toc22371"/>
                  <w:r>
                    <w:rPr>
                      <w:rFonts w:hint="default" w:ascii="Times New Roman" w:hAnsi="Times New Roman" w:cs="Times New Roman"/>
                      <w:sz w:val="21"/>
                      <w:szCs w:val="21"/>
                    </w:rPr>
                    <w:t>c、日产日清，环卫部门统一处理</w:t>
                  </w:r>
                  <w:bookmarkEnd w:id="29"/>
                </w:p>
              </w:tc>
            </w:tr>
            <w:tr w14:paraId="3F75B7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72" w:type="dxa"/>
                  <w:tcBorders>
                    <w:tl2br w:val="nil"/>
                    <w:tr2bl w:val="nil"/>
                  </w:tcBorders>
                  <w:noWrap w:val="0"/>
                  <w:vAlign w:val="center"/>
                </w:tcPr>
                <w:p w14:paraId="7FAC10F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bookmarkStart w:id="30" w:name="_Toc24853"/>
                  <w:r>
                    <w:rPr>
                      <w:rFonts w:hint="eastAsia" w:cs="Times New Roman"/>
                      <w:sz w:val="21"/>
                      <w:szCs w:val="21"/>
                      <w:lang w:val="en-US" w:eastAsia="zh-CN"/>
                    </w:rPr>
                    <w:t>2</w:t>
                  </w:r>
                </w:p>
              </w:tc>
              <w:tc>
                <w:tcPr>
                  <w:tcW w:w="1101" w:type="dxa"/>
                  <w:gridSpan w:val="2"/>
                  <w:tcBorders>
                    <w:tl2br w:val="nil"/>
                    <w:tr2bl w:val="nil"/>
                  </w:tcBorders>
                  <w:noWrap w:val="0"/>
                  <w:vAlign w:val="center"/>
                </w:tcPr>
                <w:p w14:paraId="34E5F77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生活垃圾</w:t>
                  </w:r>
                </w:p>
              </w:tc>
              <w:tc>
                <w:tcPr>
                  <w:tcW w:w="998" w:type="dxa"/>
                  <w:tcBorders>
                    <w:tl2br w:val="nil"/>
                    <w:tr2bl w:val="nil"/>
                  </w:tcBorders>
                  <w:noWrap w:val="0"/>
                  <w:vAlign w:val="center"/>
                </w:tcPr>
                <w:p w14:paraId="135F51E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废毛巾</w:t>
                  </w:r>
                </w:p>
              </w:tc>
              <w:tc>
                <w:tcPr>
                  <w:tcW w:w="914" w:type="dxa"/>
                  <w:tcBorders>
                    <w:tl2br w:val="nil"/>
                    <w:tr2bl w:val="nil"/>
                  </w:tcBorders>
                  <w:noWrap w:val="0"/>
                  <w:vAlign w:val="center"/>
                </w:tcPr>
                <w:p w14:paraId="181A86C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0.15</w:t>
                  </w:r>
                </w:p>
              </w:tc>
              <w:tc>
                <w:tcPr>
                  <w:tcW w:w="4876" w:type="dxa"/>
                  <w:gridSpan w:val="2"/>
                  <w:vMerge w:val="continue"/>
                  <w:tcBorders>
                    <w:tl2br w:val="nil"/>
                    <w:tr2bl w:val="nil"/>
                  </w:tcBorders>
                  <w:noWrap w:val="0"/>
                  <w:vAlign w:val="center"/>
                </w:tcPr>
                <w:p w14:paraId="6E80567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r>
            <w:tr w14:paraId="1D8053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16" w:hRule="atLeast"/>
                <w:jc w:val="center"/>
              </w:trPr>
              <w:tc>
                <w:tcPr>
                  <w:tcW w:w="572" w:type="dxa"/>
                  <w:tcBorders>
                    <w:tl2br w:val="nil"/>
                    <w:tr2bl w:val="nil"/>
                  </w:tcBorders>
                  <w:noWrap w:val="0"/>
                  <w:vAlign w:val="center"/>
                </w:tcPr>
                <w:p w14:paraId="6A878A7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r>
                    <w:rPr>
                      <w:rFonts w:hint="eastAsia" w:cs="Times New Roman"/>
                      <w:sz w:val="21"/>
                      <w:szCs w:val="21"/>
                      <w:lang w:val="en-US" w:eastAsia="zh-CN"/>
                    </w:rPr>
                    <w:t>3</w:t>
                  </w:r>
                  <w:bookmarkEnd w:id="30"/>
                </w:p>
              </w:tc>
              <w:tc>
                <w:tcPr>
                  <w:tcW w:w="473" w:type="dxa"/>
                  <w:vMerge w:val="restart"/>
                  <w:tcBorders>
                    <w:tl2br w:val="nil"/>
                    <w:tr2bl w:val="nil"/>
                  </w:tcBorders>
                  <w:noWrap w:val="0"/>
                  <w:vAlign w:val="center"/>
                </w:tcPr>
                <w:p w14:paraId="1CB8D99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bookmarkStart w:id="31" w:name="_Toc428"/>
                  <w:r>
                    <w:rPr>
                      <w:rFonts w:hint="eastAsia" w:ascii="Times New Roman" w:hAnsi="Times New Roman" w:cs="Times New Roman"/>
                      <w:sz w:val="21"/>
                      <w:szCs w:val="21"/>
                    </w:rPr>
                    <w:t>一般固废</w:t>
                  </w:r>
                  <w:bookmarkEnd w:id="31"/>
                </w:p>
              </w:tc>
              <w:tc>
                <w:tcPr>
                  <w:tcW w:w="1626" w:type="dxa"/>
                  <w:gridSpan w:val="2"/>
                  <w:tcBorders>
                    <w:tl2br w:val="nil"/>
                    <w:tr2bl w:val="nil"/>
                  </w:tcBorders>
                  <w:noWrap w:val="0"/>
                  <w:vAlign w:val="center"/>
                </w:tcPr>
                <w:p w14:paraId="50E554B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rPr>
                  </w:pPr>
                </w:p>
                <w:p w14:paraId="39DDD72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废包装材料</w:t>
                  </w:r>
                </w:p>
              </w:tc>
              <w:tc>
                <w:tcPr>
                  <w:tcW w:w="914" w:type="dxa"/>
                  <w:tcBorders>
                    <w:tl2br w:val="nil"/>
                    <w:tr2bl w:val="nil"/>
                  </w:tcBorders>
                  <w:noWrap w:val="0"/>
                  <w:vAlign w:val="center"/>
                </w:tcPr>
                <w:p w14:paraId="70ABD85A">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rPr>
                  </w:pPr>
                </w:p>
                <w:p w14:paraId="1F01473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120</w:t>
                  </w:r>
                </w:p>
              </w:tc>
              <w:tc>
                <w:tcPr>
                  <w:tcW w:w="2526" w:type="dxa"/>
                  <w:tcBorders>
                    <w:tl2br w:val="nil"/>
                    <w:tr2bl w:val="nil"/>
                  </w:tcBorders>
                  <w:noWrap w:val="0"/>
                  <w:vAlign w:val="center"/>
                </w:tcPr>
                <w:p w14:paraId="34509D7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color w:val="auto"/>
                      <w:sz w:val="21"/>
                      <w:szCs w:val="21"/>
                    </w:rPr>
                  </w:pPr>
                </w:p>
                <w:p w14:paraId="64DFD6F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r>
                    <w:rPr>
                      <w:rFonts w:hint="eastAsia"/>
                    </w:rPr>
                    <w:t>暂存于一般固废库，定期外售给物资回收公司</w:t>
                  </w:r>
                </w:p>
              </w:tc>
              <w:tc>
                <w:tcPr>
                  <w:tcW w:w="2350" w:type="dxa"/>
                  <w:vMerge w:val="restart"/>
                  <w:tcBorders>
                    <w:tl2br w:val="nil"/>
                    <w:tr2bl w:val="nil"/>
                  </w:tcBorders>
                  <w:noWrap w:val="0"/>
                  <w:vAlign w:val="center"/>
                </w:tcPr>
                <w:p w14:paraId="09ADB2B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r>
                    <w:rPr>
                      <w:rFonts w:hint="eastAsia" w:ascii="Times New Roman" w:hAnsi="Times New Roman" w:cs="Times New Roman"/>
                      <w:sz w:val="21"/>
                      <w:szCs w:val="21"/>
                    </w:rPr>
                    <w:t>工业固体废物的贮存、处置执行《中华人民共和国固体废物污染环境防治法》，此外，一般工业固体废物处理参照执行《一般工业固体废物贮存和填埋污染控制标准》（GB18599-2020）</w:t>
                  </w:r>
                </w:p>
              </w:tc>
            </w:tr>
            <w:tr w14:paraId="6ADB8A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72" w:type="dxa"/>
                  <w:tcBorders>
                    <w:tl2br w:val="nil"/>
                    <w:tr2bl w:val="nil"/>
                  </w:tcBorders>
                  <w:noWrap w:val="0"/>
                  <w:vAlign w:val="center"/>
                </w:tcPr>
                <w:p w14:paraId="0E4343C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r>
                    <w:rPr>
                      <w:rFonts w:hint="eastAsia" w:cs="Times New Roman"/>
                      <w:sz w:val="21"/>
                      <w:szCs w:val="21"/>
                      <w:lang w:val="en-US" w:eastAsia="zh-CN"/>
                    </w:rPr>
                    <w:t>4</w:t>
                  </w:r>
                </w:p>
              </w:tc>
              <w:tc>
                <w:tcPr>
                  <w:tcW w:w="473" w:type="dxa"/>
                  <w:vMerge w:val="continue"/>
                  <w:tcBorders>
                    <w:tl2br w:val="nil"/>
                    <w:tr2bl w:val="nil"/>
                  </w:tcBorders>
                  <w:noWrap w:val="0"/>
                  <w:vAlign w:val="center"/>
                </w:tcPr>
                <w:p w14:paraId="668974A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c>
                <w:tcPr>
                  <w:tcW w:w="1626" w:type="dxa"/>
                  <w:gridSpan w:val="2"/>
                  <w:tcBorders>
                    <w:tl2br w:val="nil"/>
                    <w:tr2bl w:val="nil"/>
                  </w:tcBorders>
                  <w:noWrap w:val="0"/>
                  <w:vAlign w:val="center"/>
                </w:tcPr>
                <w:p w14:paraId="0EC1B67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杂质</w:t>
                  </w:r>
                </w:p>
              </w:tc>
              <w:tc>
                <w:tcPr>
                  <w:tcW w:w="914" w:type="dxa"/>
                  <w:tcBorders>
                    <w:tl2br w:val="nil"/>
                    <w:tr2bl w:val="nil"/>
                  </w:tcBorders>
                  <w:noWrap w:val="0"/>
                  <w:vAlign w:val="center"/>
                </w:tcPr>
                <w:p w14:paraId="5977E0F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w:t>
                  </w:r>
                </w:p>
              </w:tc>
              <w:tc>
                <w:tcPr>
                  <w:tcW w:w="2526" w:type="dxa"/>
                  <w:tcBorders>
                    <w:tl2br w:val="nil"/>
                    <w:tr2bl w:val="nil"/>
                  </w:tcBorders>
                  <w:noWrap w:val="0"/>
                  <w:vAlign w:val="center"/>
                </w:tcPr>
                <w:p w14:paraId="3CC4379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暂存于一般固废库，定期外售给饲料生产公司</w:t>
                  </w:r>
                </w:p>
              </w:tc>
              <w:tc>
                <w:tcPr>
                  <w:tcW w:w="2350" w:type="dxa"/>
                  <w:vMerge w:val="continue"/>
                  <w:tcBorders>
                    <w:tl2br w:val="nil"/>
                    <w:tr2bl w:val="nil"/>
                  </w:tcBorders>
                  <w:noWrap w:val="0"/>
                  <w:vAlign w:val="center"/>
                </w:tcPr>
                <w:p w14:paraId="0BB3CDE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r>
            <w:tr w14:paraId="02E778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572" w:type="dxa"/>
                  <w:tcBorders>
                    <w:tl2br w:val="nil"/>
                    <w:tr2bl w:val="nil"/>
                  </w:tcBorders>
                  <w:noWrap w:val="0"/>
                  <w:vAlign w:val="center"/>
                </w:tcPr>
                <w:p w14:paraId="28464EF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5</w:t>
                  </w:r>
                </w:p>
              </w:tc>
              <w:tc>
                <w:tcPr>
                  <w:tcW w:w="473" w:type="dxa"/>
                  <w:vMerge w:val="continue"/>
                  <w:tcBorders>
                    <w:tl2br w:val="nil"/>
                    <w:tr2bl w:val="nil"/>
                  </w:tcBorders>
                  <w:noWrap w:val="0"/>
                  <w:vAlign w:val="center"/>
                </w:tcPr>
                <w:p w14:paraId="5BF6A59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c>
                <w:tcPr>
                  <w:tcW w:w="1626" w:type="dxa"/>
                  <w:gridSpan w:val="2"/>
                  <w:tcBorders>
                    <w:tl2br w:val="nil"/>
                    <w:tr2bl w:val="nil"/>
                  </w:tcBorders>
                  <w:noWrap w:val="0"/>
                  <w:vAlign w:val="center"/>
                </w:tcPr>
                <w:p w14:paraId="1220ADC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过筛物料</w:t>
                  </w:r>
                </w:p>
              </w:tc>
              <w:tc>
                <w:tcPr>
                  <w:tcW w:w="914" w:type="dxa"/>
                  <w:tcBorders>
                    <w:tl2br w:val="nil"/>
                    <w:tr2bl w:val="nil"/>
                  </w:tcBorders>
                  <w:noWrap w:val="0"/>
                  <w:vAlign w:val="center"/>
                </w:tcPr>
                <w:p w14:paraId="438C5DD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cs="Times New Roman"/>
                      <w:sz w:val="21"/>
                      <w:szCs w:val="21"/>
                      <w:lang w:val="en-US" w:eastAsia="zh-CN"/>
                    </w:rPr>
                  </w:pPr>
                  <w:r>
                    <w:rPr>
                      <w:rFonts w:hint="eastAsia" w:cs="Times New Roman"/>
                      <w:sz w:val="21"/>
                      <w:szCs w:val="21"/>
                      <w:lang w:val="en-US" w:eastAsia="zh-CN"/>
                    </w:rPr>
                    <w:t>1.45</w:t>
                  </w:r>
                </w:p>
              </w:tc>
              <w:tc>
                <w:tcPr>
                  <w:tcW w:w="2526" w:type="dxa"/>
                  <w:tcBorders>
                    <w:tl2br w:val="nil"/>
                    <w:tr2bl w:val="nil"/>
                  </w:tcBorders>
                  <w:noWrap w:val="0"/>
                  <w:vAlign w:val="center"/>
                </w:tcPr>
                <w:p w14:paraId="2C6B0BE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统一收集后回用于生产线</w:t>
                  </w:r>
                </w:p>
              </w:tc>
              <w:tc>
                <w:tcPr>
                  <w:tcW w:w="2350" w:type="dxa"/>
                  <w:vMerge w:val="continue"/>
                  <w:tcBorders>
                    <w:tl2br w:val="nil"/>
                    <w:tr2bl w:val="nil"/>
                  </w:tcBorders>
                  <w:noWrap w:val="0"/>
                  <w:vAlign w:val="center"/>
                </w:tcPr>
                <w:p w14:paraId="7539766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r>
            <w:tr w14:paraId="464BE7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4" w:hRule="atLeast"/>
                <w:jc w:val="center"/>
              </w:trPr>
              <w:tc>
                <w:tcPr>
                  <w:tcW w:w="572" w:type="dxa"/>
                  <w:tcBorders>
                    <w:tl2br w:val="nil"/>
                    <w:tr2bl w:val="nil"/>
                  </w:tcBorders>
                  <w:noWrap w:val="0"/>
                  <w:vAlign w:val="center"/>
                </w:tcPr>
                <w:p w14:paraId="1F99E29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r>
                    <w:rPr>
                      <w:rFonts w:hint="eastAsia" w:cs="Times New Roman"/>
                      <w:sz w:val="21"/>
                      <w:szCs w:val="21"/>
                      <w:lang w:val="en-US" w:eastAsia="zh-CN"/>
                    </w:rPr>
                    <w:t>6</w:t>
                  </w:r>
                </w:p>
              </w:tc>
              <w:tc>
                <w:tcPr>
                  <w:tcW w:w="473" w:type="dxa"/>
                  <w:vMerge w:val="continue"/>
                  <w:tcBorders>
                    <w:tl2br w:val="nil"/>
                    <w:tr2bl w:val="nil"/>
                  </w:tcBorders>
                  <w:noWrap w:val="0"/>
                  <w:vAlign w:val="center"/>
                </w:tcPr>
                <w:p w14:paraId="063367E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c>
                <w:tcPr>
                  <w:tcW w:w="1626" w:type="dxa"/>
                  <w:gridSpan w:val="2"/>
                  <w:tcBorders>
                    <w:tl2br w:val="nil"/>
                    <w:tr2bl w:val="nil"/>
                  </w:tcBorders>
                  <w:noWrap w:val="0"/>
                  <w:vAlign w:val="center"/>
                </w:tcPr>
                <w:p w14:paraId="426F026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color w:val="auto"/>
                      <w:sz w:val="21"/>
                      <w:szCs w:val="21"/>
                    </w:rPr>
                    <w:t>废油</w:t>
                  </w:r>
                  <w:r>
                    <w:rPr>
                      <w:rFonts w:hint="eastAsia" w:cs="Times New Roman"/>
                      <w:color w:val="auto"/>
                      <w:sz w:val="21"/>
                      <w:szCs w:val="21"/>
                      <w:lang w:val="en-US" w:eastAsia="zh-CN"/>
                    </w:rPr>
                    <w:t>物</w:t>
                  </w:r>
                </w:p>
              </w:tc>
              <w:tc>
                <w:tcPr>
                  <w:tcW w:w="914" w:type="dxa"/>
                  <w:tcBorders>
                    <w:tl2br w:val="nil"/>
                    <w:tr2bl w:val="nil"/>
                  </w:tcBorders>
                  <w:noWrap w:val="0"/>
                  <w:vAlign w:val="center"/>
                </w:tcPr>
                <w:p w14:paraId="3D719E1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0.</w:t>
                  </w:r>
                  <w:r>
                    <w:rPr>
                      <w:rFonts w:hint="eastAsia" w:cs="Times New Roman"/>
                      <w:sz w:val="21"/>
                      <w:szCs w:val="21"/>
                      <w:lang w:val="en-US" w:eastAsia="zh-CN"/>
                    </w:rPr>
                    <w:t>3</w:t>
                  </w:r>
                </w:p>
              </w:tc>
              <w:tc>
                <w:tcPr>
                  <w:tcW w:w="2526" w:type="dxa"/>
                  <w:tcBorders>
                    <w:tl2br w:val="nil"/>
                    <w:tr2bl w:val="nil"/>
                  </w:tcBorders>
                  <w:noWrap w:val="0"/>
                  <w:vAlign w:val="center"/>
                </w:tcPr>
                <w:p w14:paraId="36A5F11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r>
                    <w:rPr>
                      <w:rFonts w:hint="eastAsia"/>
                    </w:rPr>
                    <w:t>暂存于一般固废库，委托</w:t>
                  </w:r>
                  <w:r>
                    <w:rPr>
                      <w:rFonts w:hint="eastAsia"/>
                      <w:lang w:val="en-US" w:eastAsia="zh-CN"/>
                    </w:rPr>
                    <w:t>环卫部门定期清运</w:t>
                  </w:r>
                </w:p>
              </w:tc>
              <w:tc>
                <w:tcPr>
                  <w:tcW w:w="2350" w:type="dxa"/>
                  <w:vMerge w:val="continue"/>
                  <w:tcBorders>
                    <w:tl2br w:val="nil"/>
                    <w:tr2bl w:val="nil"/>
                  </w:tcBorders>
                  <w:noWrap w:val="0"/>
                  <w:vAlign w:val="center"/>
                </w:tcPr>
                <w:p w14:paraId="31ABEE4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r>
            <w:tr w14:paraId="4AF260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4" w:hRule="atLeast"/>
                <w:jc w:val="center"/>
              </w:trPr>
              <w:tc>
                <w:tcPr>
                  <w:tcW w:w="572" w:type="dxa"/>
                  <w:tcBorders>
                    <w:tl2br w:val="nil"/>
                    <w:tr2bl w:val="nil"/>
                  </w:tcBorders>
                  <w:noWrap w:val="0"/>
                  <w:vAlign w:val="center"/>
                </w:tcPr>
                <w:p w14:paraId="10C973D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7</w:t>
                  </w:r>
                </w:p>
              </w:tc>
              <w:tc>
                <w:tcPr>
                  <w:tcW w:w="473" w:type="dxa"/>
                  <w:vMerge w:val="continue"/>
                  <w:tcBorders>
                    <w:tl2br w:val="nil"/>
                    <w:tr2bl w:val="nil"/>
                  </w:tcBorders>
                  <w:noWrap w:val="0"/>
                  <w:vAlign w:val="center"/>
                </w:tcPr>
                <w:p w14:paraId="169117A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c>
                <w:tcPr>
                  <w:tcW w:w="1626" w:type="dxa"/>
                  <w:gridSpan w:val="2"/>
                  <w:tcBorders>
                    <w:tl2br w:val="nil"/>
                    <w:tr2bl w:val="nil"/>
                  </w:tcBorders>
                  <w:noWrap w:val="0"/>
                  <w:vAlign w:val="center"/>
                </w:tcPr>
                <w:p w14:paraId="2CA6455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sz w:val="21"/>
                      <w:szCs w:val="21"/>
                    </w:rPr>
                    <w:t>不合格品</w:t>
                  </w:r>
                </w:p>
              </w:tc>
              <w:tc>
                <w:tcPr>
                  <w:tcW w:w="914" w:type="dxa"/>
                  <w:tcBorders>
                    <w:tl2br w:val="nil"/>
                    <w:tr2bl w:val="nil"/>
                  </w:tcBorders>
                  <w:noWrap w:val="0"/>
                  <w:vAlign w:val="center"/>
                </w:tcPr>
                <w:p w14:paraId="58B1F8A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sz w:val="21"/>
                      <w:szCs w:val="21"/>
                      <w:lang w:val="en-US" w:eastAsia="zh-CN"/>
                    </w:rPr>
                  </w:pPr>
                  <w:r>
                    <w:rPr>
                      <w:rFonts w:hint="eastAsia"/>
                    </w:rPr>
                    <w:t>81</w:t>
                  </w:r>
                </w:p>
              </w:tc>
              <w:tc>
                <w:tcPr>
                  <w:tcW w:w="2526" w:type="dxa"/>
                  <w:tcBorders>
                    <w:tl2br w:val="nil"/>
                    <w:tr2bl w:val="nil"/>
                  </w:tcBorders>
                  <w:noWrap w:val="0"/>
                  <w:vAlign w:val="center"/>
                </w:tcPr>
                <w:p w14:paraId="221995AC">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rPr>
                  </w:pPr>
                  <w:r>
                    <w:rPr>
                      <w:rFonts w:hint="default" w:ascii="Times New Roman" w:hAnsi="Times New Roman" w:cs="Times New Roman"/>
                      <w:color w:val="auto"/>
                      <w:sz w:val="21"/>
                      <w:szCs w:val="21"/>
                    </w:rPr>
                    <w:t>暂存于一般固废库，定期外售给饲料生产公司</w:t>
                  </w:r>
                </w:p>
              </w:tc>
              <w:tc>
                <w:tcPr>
                  <w:tcW w:w="2350" w:type="dxa"/>
                  <w:vMerge w:val="continue"/>
                  <w:tcBorders>
                    <w:tl2br w:val="nil"/>
                    <w:tr2bl w:val="nil"/>
                  </w:tcBorders>
                  <w:noWrap w:val="0"/>
                  <w:vAlign w:val="center"/>
                </w:tcPr>
                <w:p w14:paraId="24EC500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r>
            <w:tr w14:paraId="7D190A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4" w:hRule="atLeast"/>
                <w:jc w:val="center"/>
              </w:trPr>
              <w:tc>
                <w:tcPr>
                  <w:tcW w:w="572" w:type="dxa"/>
                  <w:tcBorders>
                    <w:tl2br w:val="nil"/>
                    <w:tr2bl w:val="nil"/>
                  </w:tcBorders>
                  <w:noWrap w:val="0"/>
                  <w:vAlign w:val="center"/>
                </w:tcPr>
                <w:p w14:paraId="390A949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eastAsia="宋体" w:cs="Times New Roman"/>
                      <w:sz w:val="21"/>
                      <w:szCs w:val="21"/>
                      <w:lang w:val="en-US" w:eastAsia="zh-CN"/>
                    </w:rPr>
                  </w:pPr>
                  <w:r>
                    <w:rPr>
                      <w:rFonts w:hint="eastAsia" w:cs="Times New Roman"/>
                      <w:sz w:val="21"/>
                      <w:szCs w:val="21"/>
                      <w:lang w:val="en-US" w:eastAsia="zh-CN"/>
                    </w:rPr>
                    <w:t>8</w:t>
                  </w:r>
                </w:p>
              </w:tc>
              <w:tc>
                <w:tcPr>
                  <w:tcW w:w="473" w:type="dxa"/>
                  <w:vMerge w:val="continue"/>
                  <w:tcBorders>
                    <w:tl2br w:val="nil"/>
                    <w:tr2bl w:val="nil"/>
                  </w:tcBorders>
                  <w:noWrap w:val="0"/>
                  <w:vAlign w:val="center"/>
                </w:tcPr>
                <w:p w14:paraId="19FDC2B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c>
                <w:tcPr>
                  <w:tcW w:w="1626" w:type="dxa"/>
                  <w:gridSpan w:val="2"/>
                  <w:tcBorders>
                    <w:tl2br w:val="nil"/>
                    <w:tr2bl w:val="nil"/>
                  </w:tcBorders>
                  <w:noWrap w:val="0"/>
                  <w:vAlign w:val="center"/>
                </w:tcPr>
                <w:p w14:paraId="14E3453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除尘器收集粉尘</w:t>
                  </w:r>
                </w:p>
              </w:tc>
              <w:tc>
                <w:tcPr>
                  <w:tcW w:w="914" w:type="dxa"/>
                  <w:tcBorders>
                    <w:tl2br w:val="nil"/>
                    <w:tr2bl w:val="nil"/>
                  </w:tcBorders>
                  <w:noWrap w:val="0"/>
                  <w:vAlign w:val="center"/>
                </w:tcPr>
                <w:p w14:paraId="6A28113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0.0513</w:t>
                  </w:r>
                </w:p>
              </w:tc>
              <w:tc>
                <w:tcPr>
                  <w:tcW w:w="2526" w:type="dxa"/>
                  <w:tcBorders>
                    <w:tl2br w:val="nil"/>
                    <w:tr2bl w:val="nil"/>
                  </w:tcBorders>
                  <w:noWrap w:val="0"/>
                  <w:vAlign w:val="center"/>
                </w:tcPr>
                <w:p w14:paraId="689AD89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暂存于一般固废库，定期外售给饲料生产公司</w:t>
                  </w:r>
                </w:p>
              </w:tc>
              <w:tc>
                <w:tcPr>
                  <w:tcW w:w="2350" w:type="dxa"/>
                  <w:vMerge w:val="continue"/>
                  <w:tcBorders>
                    <w:tl2br w:val="nil"/>
                    <w:tr2bl w:val="nil"/>
                  </w:tcBorders>
                  <w:noWrap w:val="0"/>
                  <w:vAlign w:val="center"/>
                </w:tcPr>
                <w:p w14:paraId="7D3318E4">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r>
            <w:tr w14:paraId="4D393B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2" w:hRule="atLeast"/>
                <w:jc w:val="center"/>
              </w:trPr>
              <w:tc>
                <w:tcPr>
                  <w:tcW w:w="572" w:type="dxa"/>
                  <w:tcBorders>
                    <w:tl2br w:val="nil"/>
                    <w:tr2bl w:val="nil"/>
                  </w:tcBorders>
                  <w:noWrap w:val="0"/>
                  <w:vAlign w:val="center"/>
                </w:tcPr>
                <w:p w14:paraId="43CEFE9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9</w:t>
                  </w:r>
                </w:p>
              </w:tc>
              <w:tc>
                <w:tcPr>
                  <w:tcW w:w="473" w:type="dxa"/>
                  <w:vMerge w:val="continue"/>
                  <w:tcBorders>
                    <w:tl2br w:val="nil"/>
                    <w:tr2bl w:val="nil"/>
                  </w:tcBorders>
                  <w:noWrap w:val="0"/>
                  <w:vAlign w:val="center"/>
                </w:tcPr>
                <w:p w14:paraId="6CF602CB">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c>
                <w:tcPr>
                  <w:tcW w:w="1626" w:type="dxa"/>
                  <w:gridSpan w:val="2"/>
                  <w:tcBorders>
                    <w:tl2br w:val="nil"/>
                    <w:tr2bl w:val="nil"/>
                  </w:tcBorders>
                  <w:noWrap w:val="0"/>
                  <w:vAlign w:val="center"/>
                </w:tcPr>
                <w:p w14:paraId="16B93D6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废布袋</w:t>
                  </w:r>
                </w:p>
              </w:tc>
              <w:tc>
                <w:tcPr>
                  <w:tcW w:w="914" w:type="dxa"/>
                  <w:tcBorders>
                    <w:tl2br w:val="nil"/>
                    <w:tr2bl w:val="nil"/>
                  </w:tcBorders>
                  <w:noWrap w:val="0"/>
                  <w:vAlign w:val="center"/>
                </w:tcPr>
                <w:p w14:paraId="1F9BD5B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0.05</w:t>
                  </w:r>
                </w:p>
              </w:tc>
              <w:tc>
                <w:tcPr>
                  <w:tcW w:w="2526" w:type="dxa"/>
                  <w:tcBorders>
                    <w:tl2br w:val="nil"/>
                    <w:tr2bl w:val="nil"/>
                  </w:tcBorders>
                  <w:noWrap w:val="0"/>
                  <w:vAlign w:val="center"/>
                </w:tcPr>
                <w:p w14:paraId="6DA74138">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厂家回收再利用</w:t>
                  </w:r>
                </w:p>
              </w:tc>
              <w:tc>
                <w:tcPr>
                  <w:tcW w:w="2350" w:type="dxa"/>
                  <w:vMerge w:val="continue"/>
                  <w:tcBorders>
                    <w:tl2br w:val="nil"/>
                    <w:tr2bl w:val="nil"/>
                  </w:tcBorders>
                  <w:noWrap w:val="0"/>
                  <w:vAlign w:val="center"/>
                </w:tcPr>
                <w:p w14:paraId="142DCC9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r>
            <w:tr w14:paraId="7406A5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2" w:hRule="atLeast"/>
                <w:jc w:val="center"/>
              </w:trPr>
              <w:tc>
                <w:tcPr>
                  <w:tcW w:w="572" w:type="dxa"/>
                  <w:tcBorders>
                    <w:tl2br w:val="nil"/>
                    <w:tr2bl w:val="nil"/>
                  </w:tcBorders>
                  <w:noWrap w:val="0"/>
                  <w:vAlign w:val="center"/>
                </w:tcPr>
                <w:p w14:paraId="0C27EA0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10</w:t>
                  </w:r>
                </w:p>
              </w:tc>
              <w:tc>
                <w:tcPr>
                  <w:tcW w:w="473" w:type="dxa"/>
                  <w:vMerge w:val="continue"/>
                  <w:tcBorders>
                    <w:tl2br w:val="nil"/>
                    <w:tr2bl w:val="nil"/>
                  </w:tcBorders>
                  <w:noWrap w:val="0"/>
                  <w:vAlign w:val="center"/>
                </w:tcPr>
                <w:p w14:paraId="4C5490A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c>
                <w:tcPr>
                  <w:tcW w:w="1626" w:type="dxa"/>
                  <w:gridSpan w:val="2"/>
                  <w:tcBorders>
                    <w:tl2br w:val="nil"/>
                    <w:tr2bl w:val="nil"/>
                  </w:tcBorders>
                  <w:noWrap w:val="0"/>
                  <w:vAlign w:val="center"/>
                </w:tcPr>
                <w:p w14:paraId="0A4C4EE9">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地面清扫粉尘</w:t>
                  </w:r>
                </w:p>
              </w:tc>
              <w:tc>
                <w:tcPr>
                  <w:tcW w:w="914" w:type="dxa"/>
                  <w:tcBorders>
                    <w:tl2br w:val="nil"/>
                    <w:tr2bl w:val="nil"/>
                  </w:tcBorders>
                  <w:noWrap w:val="0"/>
                  <w:vAlign w:val="center"/>
                </w:tcPr>
                <w:p w14:paraId="3445054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0.028</w:t>
                  </w:r>
                </w:p>
              </w:tc>
              <w:tc>
                <w:tcPr>
                  <w:tcW w:w="2526" w:type="dxa"/>
                  <w:tcBorders>
                    <w:tl2br w:val="nil"/>
                    <w:tr2bl w:val="nil"/>
                  </w:tcBorders>
                  <w:noWrap w:val="0"/>
                  <w:vAlign w:val="center"/>
                </w:tcPr>
                <w:p w14:paraId="1437C66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rPr>
                    <w:t>暂存于一般固废库，定期外售给饲料生产公司</w:t>
                  </w:r>
                </w:p>
              </w:tc>
              <w:tc>
                <w:tcPr>
                  <w:tcW w:w="2350" w:type="dxa"/>
                  <w:vMerge w:val="continue"/>
                  <w:tcBorders>
                    <w:tl2br w:val="nil"/>
                    <w:tr2bl w:val="nil"/>
                  </w:tcBorders>
                  <w:noWrap w:val="0"/>
                  <w:vAlign w:val="center"/>
                </w:tcPr>
                <w:p w14:paraId="14C774C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r>
            <w:tr w14:paraId="316716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89" w:hRule="atLeast"/>
                <w:jc w:val="center"/>
              </w:trPr>
              <w:tc>
                <w:tcPr>
                  <w:tcW w:w="572" w:type="dxa"/>
                  <w:tcBorders>
                    <w:tl2br w:val="nil"/>
                    <w:tr2bl w:val="nil"/>
                  </w:tcBorders>
                  <w:noWrap w:val="0"/>
                  <w:vAlign w:val="center"/>
                </w:tcPr>
                <w:p w14:paraId="32D21232">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11</w:t>
                  </w:r>
                </w:p>
              </w:tc>
              <w:tc>
                <w:tcPr>
                  <w:tcW w:w="473" w:type="dxa"/>
                  <w:vMerge w:val="continue"/>
                  <w:tcBorders>
                    <w:tl2br w:val="nil"/>
                    <w:tr2bl w:val="nil"/>
                  </w:tcBorders>
                  <w:noWrap w:val="0"/>
                  <w:vAlign w:val="center"/>
                </w:tcPr>
                <w:p w14:paraId="17F20F7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c>
                <w:tcPr>
                  <w:tcW w:w="1626" w:type="dxa"/>
                  <w:gridSpan w:val="2"/>
                  <w:tcBorders>
                    <w:tl2br w:val="nil"/>
                    <w:tr2bl w:val="nil"/>
                  </w:tcBorders>
                  <w:noWrap w:val="0"/>
                  <w:vAlign w:val="center"/>
                </w:tcPr>
                <w:p w14:paraId="55635171">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沉淀池</w:t>
                  </w:r>
                  <w:r>
                    <w:rPr>
                      <w:rFonts w:hint="eastAsia" w:ascii="Times New Roman" w:hAnsi="Times New Roman" w:cs="Times New Roman"/>
                      <w:color w:val="auto"/>
                      <w:sz w:val="21"/>
                      <w:szCs w:val="21"/>
                      <w:lang w:val="en-US" w:eastAsia="zh-CN"/>
                    </w:rPr>
                    <w:t>污泥</w:t>
                  </w:r>
                </w:p>
              </w:tc>
              <w:tc>
                <w:tcPr>
                  <w:tcW w:w="914" w:type="dxa"/>
                  <w:tcBorders>
                    <w:tl2br w:val="nil"/>
                    <w:tr2bl w:val="nil"/>
                  </w:tcBorders>
                  <w:noWrap w:val="0"/>
                  <w:vAlign w:val="center"/>
                </w:tcPr>
                <w:p w14:paraId="132E00ED">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0.12</w:t>
                  </w:r>
                </w:p>
              </w:tc>
              <w:tc>
                <w:tcPr>
                  <w:tcW w:w="2526" w:type="dxa"/>
                  <w:tcBorders>
                    <w:tl2br w:val="nil"/>
                    <w:tr2bl w:val="nil"/>
                  </w:tcBorders>
                  <w:noWrap w:val="0"/>
                  <w:vAlign w:val="center"/>
                </w:tcPr>
                <w:p w14:paraId="325AEFC5">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委托环卫部门定期清运</w:t>
                  </w:r>
                </w:p>
              </w:tc>
              <w:tc>
                <w:tcPr>
                  <w:tcW w:w="2350" w:type="dxa"/>
                  <w:vMerge w:val="continue"/>
                  <w:tcBorders>
                    <w:tl2br w:val="nil"/>
                    <w:tr2bl w:val="nil"/>
                  </w:tcBorders>
                  <w:noWrap w:val="0"/>
                  <w:vAlign w:val="center"/>
                </w:tcPr>
                <w:p w14:paraId="0810CA5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rPr>
                  </w:pPr>
                </w:p>
              </w:tc>
            </w:tr>
            <w:tr w14:paraId="6CE020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84" w:hRule="atLeast"/>
                <w:jc w:val="center"/>
              </w:trPr>
              <w:tc>
                <w:tcPr>
                  <w:tcW w:w="572" w:type="dxa"/>
                  <w:tcBorders>
                    <w:tl2br w:val="nil"/>
                    <w:tr2bl w:val="nil"/>
                  </w:tcBorders>
                  <w:noWrap w:val="0"/>
                  <w:vAlign w:val="center"/>
                </w:tcPr>
                <w:p w14:paraId="2E2EBCA7">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cs="Times New Roman"/>
                      <w:sz w:val="21"/>
                      <w:szCs w:val="21"/>
                      <w:lang w:val="en-US" w:eastAsia="zh-CN"/>
                    </w:rPr>
                  </w:pPr>
                  <w:r>
                    <w:rPr>
                      <w:rFonts w:hint="eastAsia" w:cs="Times New Roman"/>
                      <w:sz w:val="21"/>
                      <w:szCs w:val="21"/>
                      <w:lang w:val="en-US" w:eastAsia="zh-CN"/>
                    </w:rPr>
                    <w:t>12</w:t>
                  </w:r>
                </w:p>
              </w:tc>
              <w:tc>
                <w:tcPr>
                  <w:tcW w:w="473" w:type="dxa"/>
                  <w:tcBorders>
                    <w:tl2br w:val="nil"/>
                    <w:tr2bl w:val="nil"/>
                  </w:tcBorders>
                  <w:noWrap w:val="0"/>
                  <w:vAlign w:val="center"/>
                </w:tcPr>
                <w:p w14:paraId="4149734F">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危废</w:t>
                  </w:r>
                </w:p>
              </w:tc>
              <w:tc>
                <w:tcPr>
                  <w:tcW w:w="1626" w:type="dxa"/>
                  <w:gridSpan w:val="2"/>
                  <w:tcBorders>
                    <w:tl2br w:val="nil"/>
                    <w:tr2bl w:val="nil"/>
                  </w:tcBorders>
                  <w:noWrap w:val="0"/>
                  <w:vAlign w:val="center"/>
                </w:tcPr>
                <w:p w14:paraId="579355DE">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废紫外灯管</w:t>
                  </w:r>
                </w:p>
              </w:tc>
              <w:tc>
                <w:tcPr>
                  <w:tcW w:w="914" w:type="dxa"/>
                  <w:tcBorders>
                    <w:tl2br w:val="nil"/>
                    <w:tr2bl w:val="nil"/>
                  </w:tcBorders>
                  <w:noWrap w:val="0"/>
                  <w:vAlign w:val="center"/>
                </w:tcPr>
                <w:p w14:paraId="16474EE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outlineLvl w:val="9"/>
                    <w:rPr>
                      <w:rFonts w:hint="default" w:cs="Times New Roman"/>
                      <w:sz w:val="21"/>
                      <w:szCs w:val="21"/>
                      <w:lang w:val="en-US" w:eastAsia="zh-CN"/>
                    </w:rPr>
                  </w:pPr>
                  <w:r>
                    <w:rPr>
                      <w:rFonts w:hint="eastAsia" w:cs="Times New Roman"/>
                      <w:sz w:val="21"/>
                      <w:szCs w:val="21"/>
                      <w:lang w:val="en-US" w:eastAsia="zh-CN"/>
                    </w:rPr>
                    <w:t>0.032</w:t>
                  </w:r>
                </w:p>
              </w:tc>
              <w:tc>
                <w:tcPr>
                  <w:tcW w:w="2526" w:type="dxa"/>
                  <w:tcBorders>
                    <w:tl2br w:val="nil"/>
                    <w:tr2bl w:val="nil"/>
                  </w:tcBorders>
                  <w:noWrap w:val="0"/>
                  <w:vAlign w:val="center"/>
                </w:tcPr>
                <w:p w14:paraId="5A48C373">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暂存于危险废物贮存库，定期交由有资质单位处置</w:t>
                  </w:r>
                </w:p>
              </w:tc>
              <w:tc>
                <w:tcPr>
                  <w:tcW w:w="2350" w:type="dxa"/>
                  <w:tcBorders>
                    <w:tl2br w:val="nil"/>
                    <w:tr2bl w:val="nil"/>
                  </w:tcBorders>
                  <w:noWrap w:val="0"/>
                  <w:vAlign w:val="center"/>
                </w:tcPr>
                <w:p w14:paraId="674EED56">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240" w:lineRule="auto"/>
                    <w:ind w:left="0" w:right="0" w:firstLine="0"/>
                    <w:jc w:val="center"/>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危险废物贮存库建设执行《危险废物贮存污染控制标准》（GB 18597—2023）中相关标准</w:t>
                  </w:r>
                </w:p>
              </w:tc>
            </w:tr>
          </w:tbl>
          <w:p w14:paraId="7F9A53AC">
            <w:pPr>
              <w:keepNext w:val="0"/>
              <w:keepLines w:val="0"/>
              <w:suppressLineNumbers w:val="0"/>
              <w:spacing w:before="0" w:beforeAutospacing="0" w:after="0" w:afterAutospacing="0"/>
              <w:ind w:left="0" w:right="0"/>
              <w:rPr>
                <w:rFonts w:hint="eastAsia" w:ascii="Times New Roman" w:hAnsi="Times New Roman" w:cs="Times New Roman"/>
                <w:b/>
                <w:bCs/>
                <w:color w:val="auto"/>
                <w:sz w:val="24"/>
                <w:szCs w:val="32"/>
                <w:lang w:val="en-US" w:eastAsia="zh-CN"/>
              </w:rPr>
            </w:pPr>
          </w:p>
          <w:p w14:paraId="3149B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4.1 固废暂存场所建设要求</w:t>
            </w:r>
          </w:p>
          <w:p w14:paraId="3D29894C">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outlineLvl w:val="9"/>
              <w:rPr>
                <w:rFonts w:hint="default" w:ascii="Times New Roman" w:hAnsi="Times New Roman" w:cs="Times New Roman"/>
                <w:b w:val="0"/>
                <w:bCs w:val="0"/>
                <w:color w:val="000000"/>
                <w:sz w:val="24"/>
                <w:szCs w:val="24"/>
                <w:lang w:val="en-US" w:eastAsia="zh-CN"/>
              </w:rPr>
            </w:pPr>
            <w:r>
              <w:rPr>
                <w:rFonts w:hint="eastAsia" w:ascii="Times New Roman" w:hAnsi="Times New Roman" w:cs="Times New Roman"/>
                <w:b/>
                <w:bCs/>
                <w:color w:val="000000"/>
                <w:sz w:val="24"/>
                <w:szCs w:val="24"/>
                <w:lang w:val="en-US" w:eastAsia="zh-CN"/>
              </w:rPr>
              <w:t>环评要求企业按如下要求进一步规范建设一般工业固体废物暂存场所：</w:t>
            </w:r>
          </w:p>
          <w:p w14:paraId="5E6CEB60">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b w:val="0"/>
                <w:bCs w:val="0"/>
                <w:color w:val="000000"/>
                <w:sz w:val="24"/>
                <w:szCs w:val="24"/>
                <w:lang w:val="en-US" w:eastAsia="zh-CN"/>
              </w:rPr>
            </w:pPr>
            <w:r>
              <w:rPr>
                <w:rFonts w:hint="eastAsia" w:ascii="Times New Roman" w:hAnsi="Times New Roman" w:cs="Times New Roman"/>
                <w:b w:val="0"/>
                <w:bCs w:val="0"/>
                <w:color w:val="000000"/>
                <w:sz w:val="24"/>
                <w:szCs w:val="24"/>
                <w:lang w:val="en-US" w:eastAsia="zh-CN"/>
              </w:rPr>
              <w:t>（1）一般工业固体废物暂存场所</w:t>
            </w:r>
            <w:r>
              <w:rPr>
                <w:rFonts w:hint="default" w:ascii="Times New Roman" w:hAnsi="Times New Roman" w:cs="Times New Roman"/>
                <w:b w:val="0"/>
                <w:bCs w:val="0"/>
                <w:color w:val="000000"/>
                <w:sz w:val="24"/>
                <w:szCs w:val="24"/>
                <w:lang w:val="en-US" w:eastAsia="zh-CN"/>
              </w:rPr>
              <w:t>的设置</w:t>
            </w:r>
            <w:r>
              <w:rPr>
                <w:rFonts w:hint="eastAsia" w:ascii="Times New Roman" w:hAnsi="Times New Roman" w:cs="Times New Roman"/>
                <w:b w:val="0"/>
                <w:bCs w:val="0"/>
                <w:color w:val="000000"/>
                <w:sz w:val="24"/>
                <w:szCs w:val="24"/>
                <w:lang w:val="en-US" w:eastAsia="zh-CN"/>
              </w:rPr>
              <w:t>要求</w:t>
            </w:r>
            <w:r>
              <w:rPr>
                <w:rFonts w:hint="default" w:ascii="Times New Roman" w:hAnsi="Times New Roman" w:cs="Times New Roman"/>
                <w:b w:val="0"/>
                <w:bCs w:val="0"/>
                <w:color w:val="000000"/>
                <w:sz w:val="24"/>
                <w:szCs w:val="24"/>
                <w:lang w:val="en-US" w:eastAsia="zh-CN"/>
              </w:rPr>
              <w:t>：</w:t>
            </w:r>
          </w:p>
          <w:p w14:paraId="1203E28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a、设分区暂存，确保各类一般固废得到合理处置；</w:t>
            </w:r>
          </w:p>
          <w:p w14:paraId="180D5AF3">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b、防扬散、防流失、防渗漏，分区暂存各固废；</w:t>
            </w:r>
          </w:p>
          <w:p w14:paraId="71CF387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c、一般固废在运输过程中要防止散落地面，以免产生二次污染；</w:t>
            </w:r>
          </w:p>
          <w:p w14:paraId="65983F0F">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d、一般固废均按其资源化、无害化的方式进行处置；</w:t>
            </w:r>
          </w:p>
          <w:p w14:paraId="15F0D32B">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e、场所地面与裙角要用竖固、防渗的建筑材料建造，基础必须防渗，应设计建造径流疏导系统，保证能防止暴雨不会流到临时堆放的场所；</w:t>
            </w:r>
          </w:p>
          <w:p w14:paraId="6C36BE2A">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f、</w:t>
            </w:r>
            <w:r>
              <w:rPr>
                <w:rFonts w:hint="eastAsia" w:ascii="Times New Roman" w:hAnsi="Times New Roman" w:cs="Times New Roman"/>
                <w:b w:val="0"/>
                <w:bCs w:val="0"/>
                <w:color w:val="000000"/>
                <w:sz w:val="24"/>
                <w:szCs w:val="24"/>
                <w:lang w:val="en-US" w:eastAsia="zh-CN"/>
              </w:rPr>
              <w:t>“</w:t>
            </w:r>
            <w:r>
              <w:rPr>
                <w:rFonts w:hint="default" w:ascii="Times New Roman" w:hAnsi="Times New Roman" w:cs="Times New Roman"/>
                <w:b w:val="0"/>
                <w:bCs w:val="0"/>
                <w:color w:val="000000"/>
                <w:sz w:val="24"/>
                <w:szCs w:val="24"/>
                <w:lang w:val="en-US" w:eastAsia="zh-CN"/>
              </w:rPr>
              <w:t>防风、防雨、防晒</w:t>
            </w:r>
            <w:r>
              <w:rPr>
                <w:rFonts w:hint="eastAsia" w:ascii="Times New Roman" w:hAnsi="Times New Roman" w:cs="Times New Roman"/>
                <w:b w:val="0"/>
                <w:bCs w:val="0"/>
                <w:color w:val="000000"/>
                <w:sz w:val="24"/>
                <w:szCs w:val="24"/>
                <w:lang w:val="en-US" w:eastAsia="zh-CN"/>
              </w:rPr>
              <w:t>”</w:t>
            </w:r>
            <w:r>
              <w:rPr>
                <w:rFonts w:hint="default" w:ascii="Times New Roman" w:hAnsi="Times New Roman" w:cs="Times New Roman"/>
                <w:b w:val="0"/>
                <w:bCs w:val="0"/>
                <w:color w:val="000000"/>
                <w:sz w:val="24"/>
                <w:szCs w:val="24"/>
                <w:lang w:val="en-US" w:eastAsia="zh-CN"/>
              </w:rPr>
              <w:t>，外围设置围堰，并做好密闭处理，禁止危险废物及生活垃混入。</w:t>
            </w:r>
          </w:p>
          <w:p w14:paraId="54BAD5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lang w:val="en-US" w:eastAsia="zh-CN"/>
              </w:rPr>
            </w:pPr>
            <w:r>
              <w:rPr>
                <w:rFonts w:hint="eastAsia" w:ascii="Times New Roman" w:hAnsi="Times New Roman" w:cs="Times New Roman"/>
                <w:color w:val="auto"/>
                <w:sz w:val="24"/>
                <w:lang w:val="en-US" w:eastAsia="zh-CN"/>
              </w:rPr>
              <w:t>企业现有一间占地面积</w:t>
            </w:r>
            <w:r>
              <w:rPr>
                <w:rFonts w:hint="eastAsia" w:cs="Times New Roman"/>
                <w:color w:val="auto"/>
                <w:sz w:val="24"/>
                <w:lang w:val="en-US" w:eastAsia="zh-CN"/>
              </w:rPr>
              <w:t>2</w:t>
            </w:r>
            <w:r>
              <w:rPr>
                <w:rFonts w:hint="eastAsia" w:ascii="Times New Roman" w:hAnsi="Times New Roman" w:cs="Times New Roman"/>
                <w:color w:val="auto"/>
                <w:sz w:val="24"/>
                <w:lang w:val="en-US" w:eastAsia="zh-CN"/>
              </w:rPr>
              <w:t>0m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的一般固废库</w:t>
            </w:r>
            <w:r>
              <w:rPr>
                <w:rFonts w:hint="eastAsia" w:cs="Times New Roman"/>
                <w:color w:val="auto"/>
                <w:sz w:val="24"/>
                <w:lang w:val="en-US" w:eastAsia="zh-CN"/>
              </w:rPr>
              <w:t>，</w:t>
            </w:r>
            <w:r>
              <w:rPr>
                <w:rFonts w:hint="eastAsia"/>
                <w:color w:val="auto"/>
                <w:sz w:val="24"/>
              </w:rPr>
              <w:t>可以满足本项目与现有工程</w:t>
            </w:r>
            <w:r>
              <w:rPr>
                <w:rFonts w:hint="eastAsia"/>
                <w:color w:val="auto"/>
                <w:sz w:val="24"/>
                <w:lang w:val="en-US" w:eastAsia="zh-CN"/>
              </w:rPr>
              <w:t>一般固废</w:t>
            </w:r>
            <w:r>
              <w:rPr>
                <w:rFonts w:hint="eastAsia"/>
                <w:color w:val="auto"/>
                <w:sz w:val="24"/>
              </w:rPr>
              <w:t>的储存需求</w:t>
            </w:r>
            <w:r>
              <w:rPr>
                <w:rFonts w:hint="eastAsia" w:ascii="Times New Roman" w:hAnsi="Times New Roman" w:cs="Times New Roman"/>
                <w:color w:val="auto"/>
                <w:sz w:val="24"/>
                <w:lang w:val="en-US" w:eastAsia="zh-CN"/>
              </w:rPr>
              <w:t>，且一般工业固体废物暂存场所已做简单防渗，因此，本项目依托现有一般工业固体废物暂存场所是可行的</w:t>
            </w:r>
            <w:r>
              <w:rPr>
                <w:rFonts w:hint="eastAsia" w:cs="Times New Roman"/>
                <w:color w:val="auto"/>
                <w:sz w:val="24"/>
                <w:lang w:val="en-US" w:eastAsia="zh-CN"/>
              </w:rPr>
              <w:t>。</w:t>
            </w:r>
          </w:p>
          <w:p w14:paraId="17B171A6">
            <w:pPr>
              <w:keepNext w:val="0"/>
              <w:keepLines w:val="0"/>
              <w:widowControl w:val="0"/>
              <w:suppressLineNumbers w:val="0"/>
              <w:wordWrap/>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color w:val="auto"/>
                <w:kern w:val="0"/>
                <w:sz w:val="24"/>
                <w:szCs w:val="24"/>
                <w:lang w:val="en-US" w:eastAsia="zh-CN"/>
              </w:rPr>
              <w:t>危险废物贮存库建设要求</w:t>
            </w:r>
          </w:p>
          <w:p w14:paraId="3329FD5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环评要求建设单位设置一间5m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危废库，危废库</w:t>
            </w:r>
            <w:r>
              <w:rPr>
                <w:rFonts w:hint="default" w:ascii="Times New Roman" w:hAnsi="Times New Roman" w:eastAsia="宋体" w:cs="Times New Roman"/>
                <w:color w:val="auto"/>
                <w:sz w:val="24"/>
              </w:rPr>
              <w:t>设置应符合《危险废物贮存污染控制标准》（GB18597-2023）要求建设。</w:t>
            </w:r>
          </w:p>
          <w:p w14:paraId="2E65A2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①库房内部应建有堵截泄漏的裙脚；地面与裙脚要用坚固防渗的材料建造；应有隔离设施、报警装置和防风、防晒、防雨设施；</w:t>
            </w:r>
          </w:p>
          <w:p w14:paraId="49E3411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②地面防渗参照《危险废物贮存污染控制标准》（GB18597-2023）相关要求，基础防渗层为黏土层时，其厚度应达1m以上，渗透系数应小于10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cm/s；基础防渗层亦可用厚度2mm以上的高密度聚乙烯和其他人工防渗材料组成，渗透系数应小于10-1cm/s；</w:t>
            </w:r>
          </w:p>
          <w:p w14:paraId="465DB9D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③暂存区外围周边贴挂明显的标示标牌，注明主要暂存危废的种类、数量、危废编号等信息；</w:t>
            </w:r>
          </w:p>
          <w:p w14:paraId="7E0A8AA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rPr>
              <w:t>④合理选择危废包装物。危废贮存容器、材质满足相应的强度要求，日常确保完好无损；容器材质和衬里与危险废物相容；盛装液体废物的桶开孔直径应不超过70mm，并有放气孔。</w:t>
            </w:r>
          </w:p>
          <w:p w14:paraId="1D793D2E">
            <w:pPr>
              <w:pStyle w:val="8"/>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highlight w:val="none"/>
                <w:lang w:val="en-US" w:eastAsia="zh-CN"/>
              </w:rPr>
              <w:t>执行《危险废物贮存污染控制标准》（GB 18597</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2023）中相关标准要求</w:t>
            </w:r>
            <w:r>
              <w:rPr>
                <w:rFonts w:hint="default" w:ascii="Times New Roman" w:hAnsi="Times New Roman" w:eastAsia="宋体" w:cs="Times New Roman"/>
                <w:color w:val="auto"/>
                <w:kern w:val="0"/>
                <w:sz w:val="24"/>
                <w:szCs w:val="24"/>
                <w:lang w:val="en-US" w:eastAsia="zh-CN"/>
              </w:rPr>
              <w:t>，危险废物在收集时，应清楚废物的类别及主要成</w:t>
            </w:r>
            <w:r>
              <w:rPr>
                <w:rFonts w:hint="default" w:ascii="Times New Roman" w:hAnsi="Times New Roman" w:eastAsia="宋体" w:cs="Times New Roman"/>
                <w:lang w:val="en-US" w:eastAsia="zh-CN"/>
              </w:rPr>
              <w:t>分</w:t>
            </w:r>
            <w:r>
              <w:rPr>
                <w:rFonts w:hint="default" w:ascii="Times New Roman" w:hAnsi="Times New Roman" w:eastAsia="宋体" w:cs="Times New Roman"/>
                <w:color w:val="auto"/>
                <w:kern w:val="0"/>
                <w:sz w:val="24"/>
                <w:szCs w:val="24"/>
                <w:lang w:val="en-US" w:eastAsia="zh-CN"/>
              </w:rPr>
              <w:t>并标注说明，以方便委托处理单位处理；应根据危险废物的性质和形态分类收集，采用符合标准要求的容器进行包装，所有包装容器应足够安全，并经过周密检查，严防在装载、搬移或运输途中出现渗漏、溢出、抛洒或挥发等情况。实施危险废物转移联单制度，对危险废物进行安全包装，并在包装的明显位置附上危险废物标签。</w:t>
            </w:r>
          </w:p>
          <w:p w14:paraId="1309652B">
            <w:pPr>
              <w:keepNext w:val="0"/>
              <w:keepLines w:val="0"/>
              <w:widowControl w:val="0"/>
              <w:suppressLineNumbers w:val="0"/>
              <w:wordWrap/>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日常管理中，企业须做好危险废物的申报登记，建立台帐管理制度，记录上须注明危险废物的名称、来源、数量、特征和包装容器的类别、入库时间、存放位置、废物出库日期及接受单位名称。同时在危险废物转运的时候必须报请当地环保局批准，同时填写危险废物转运单。企业须按照国家有关规定处置危险废物，不得擅自倾倒、堆放。收集、贮存危险废物须按照危险废物特性分类进行。禁止混合收集、贮存、运输、处置性质不相容而未经安全性处置的危险废物。</w:t>
            </w:r>
          </w:p>
          <w:p w14:paraId="05AB348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危险废物的运输车辆须经主管单位检查，并持有有关单位签发的许可证，负责运输的司机应通过培训，持有证明文件。</w:t>
            </w:r>
          </w:p>
          <w:p w14:paraId="4B567D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cs="Times New Roman"/>
                <w:color w:val="000000"/>
                <w:sz w:val="24"/>
                <w:szCs w:val="24"/>
              </w:rPr>
            </w:pPr>
            <w:r>
              <w:rPr>
                <w:rFonts w:hint="default" w:ascii="Times New Roman" w:hAnsi="Times New Roman" w:cs="Times New Roman"/>
                <w:sz w:val="24"/>
                <w:szCs w:val="24"/>
              </w:rPr>
              <w:t>综上，项目产生的各类固废均能得到综合利用和妥善处理，满足环保要求，对环境影响较小。</w:t>
            </w:r>
          </w:p>
          <w:p w14:paraId="75C3C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cs="Times New Roman"/>
                <w:b/>
                <w:bCs/>
                <w:snapToGrid w:val="0"/>
                <w:sz w:val="24"/>
                <w:szCs w:val="24"/>
              </w:rPr>
            </w:pPr>
            <w:r>
              <w:rPr>
                <w:rFonts w:hint="default" w:ascii="Times New Roman" w:hAnsi="Times New Roman" w:cs="Times New Roman"/>
                <w:b/>
                <w:bCs/>
                <w:snapToGrid w:val="0"/>
                <w:sz w:val="24"/>
                <w:szCs w:val="24"/>
              </w:rPr>
              <w:t>5</w:t>
            </w:r>
            <w:r>
              <w:rPr>
                <w:rFonts w:hint="eastAsia" w:ascii="Times New Roman" w:hAnsi="Times New Roman" w:cs="宋体"/>
                <w:b/>
                <w:bCs/>
                <w:snapToGrid w:val="0"/>
                <w:sz w:val="24"/>
                <w:szCs w:val="24"/>
              </w:rPr>
              <w:t>、地下水、</w:t>
            </w:r>
            <w:r>
              <w:rPr>
                <w:rFonts w:hint="eastAsia" w:ascii="Times New Roman" w:hAnsi="Times New Roman" w:cs="宋体"/>
                <w:b/>
                <w:bCs/>
                <w:sz w:val="24"/>
                <w:szCs w:val="24"/>
              </w:rPr>
              <w:t>土壤</w:t>
            </w:r>
            <w:r>
              <w:rPr>
                <w:rFonts w:hint="eastAsia" w:ascii="Times New Roman" w:hAnsi="Times New Roman" w:cs="宋体"/>
                <w:b/>
                <w:bCs/>
                <w:snapToGrid w:val="0"/>
                <w:sz w:val="24"/>
                <w:szCs w:val="24"/>
              </w:rPr>
              <w:t>影响分析</w:t>
            </w:r>
          </w:p>
          <w:p w14:paraId="1B640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厂区雨污分流制</w:t>
            </w:r>
            <w:r>
              <w:rPr>
                <w:rFonts w:hint="default" w:ascii="Times New Roman" w:hAnsi="Times New Roman" w:eastAsia="宋体" w:cs="Times New Roman"/>
                <w:sz w:val="24"/>
                <w:szCs w:val="24"/>
                <w:lang w:val="en-AU"/>
              </w:rPr>
              <w:t>；</w:t>
            </w:r>
            <w:r>
              <w:rPr>
                <w:rFonts w:hint="default" w:ascii="Times New Roman" w:hAnsi="Times New Roman" w:eastAsia="宋体" w:cs="Times New Roman"/>
                <w:color w:val="auto"/>
                <w:sz w:val="24"/>
                <w:szCs w:val="24"/>
                <w:lang w:val="en-US" w:eastAsia="zh-CN"/>
              </w:rPr>
              <w:t>生活污水经化粪池（依托现有）预处理后接管进入</w:t>
            </w:r>
            <w:r>
              <w:rPr>
                <w:rFonts w:hint="default"/>
                <w:color w:val="auto"/>
                <w:sz w:val="24"/>
              </w:rPr>
              <w:t>安徽淮相科技发展有限公司第二污水处理厂</w:t>
            </w:r>
            <w:r>
              <w:rPr>
                <w:rFonts w:hint="eastAsia" w:ascii="Times New Roman" w:hAnsi="Times New Roman" w:eastAsia="宋体" w:cs="Times New Roman"/>
                <w:color w:val="auto"/>
                <w:sz w:val="24"/>
                <w:szCs w:val="24"/>
                <w:lang w:val="en-US" w:eastAsia="zh-CN"/>
              </w:rPr>
              <w:t>、生产废水经沉淀池（依托现有）预处理后接管</w:t>
            </w:r>
            <w:r>
              <w:rPr>
                <w:rFonts w:hint="default"/>
                <w:color w:val="auto"/>
                <w:sz w:val="24"/>
              </w:rPr>
              <w:t>安徽淮相科技发展有限公司第二污水处理厂</w:t>
            </w:r>
            <w:r>
              <w:rPr>
                <w:rFonts w:hint="default" w:ascii="Times New Roman" w:hAnsi="Times New Roman" w:eastAsia="宋体" w:cs="Times New Roman"/>
                <w:color w:val="auto"/>
                <w:sz w:val="24"/>
                <w:szCs w:val="24"/>
                <w:lang w:val="en-US" w:eastAsia="zh-CN"/>
              </w:rPr>
              <w:t>，处理达标后排入老濉河</w:t>
            </w:r>
            <w:r>
              <w:rPr>
                <w:rFonts w:hint="default" w:ascii="Times New Roman" w:hAnsi="Times New Roman" w:eastAsia="宋体" w:cs="Times New Roman"/>
                <w:sz w:val="24"/>
                <w:szCs w:val="24"/>
              </w:rPr>
              <w:t>。为避免对地下水体、土壤造成影响，建设单位采取主动控制（源头控制措施）及被动控制（末端控制措施）相结合的措施。</w:t>
            </w:r>
          </w:p>
          <w:p w14:paraId="16532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sz w:val="24"/>
                <w:szCs w:val="24"/>
              </w:rPr>
            </w:pPr>
            <w:r>
              <w:rPr>
                <w:rFonts w:hint="default" w:ascii="Times New Roman" w:hAnsi="Times New Roman" w:eastAsia="宋体" w:cs="宋体"/>
                <w:sz w:val="24"/>
                <w:szCs w:val="24"/>
              </w:rPr>
              <w:fldChar w:fldCharType="begin"/>
            </w:r>
            <w:r>
              <w:rPr>
                <w:rFonts w:hint="default" w:ascii="Times New Roman" w:hAnsi="Times New Roman" w:eastAsia="宋体" w:cs="宋体"/>
                <w:sz w:val="24"/>
                <w:szCs w:val="24"/>
              </w:rPr>
              <w:instrText xml:space="preserve"> = 1 \* GB3 \* MERGEFORMAT </w:instrText>
            </w:r>
            <w:r>
              <w:rPr>
                <w:rFonts w:hint="default" w:ascii="Times New Roman" w:hAnsi="Times New Roman" w:eastAsia="宋体" w:cs="宋体"/>
                <w:sz w:val="24"/>
                <w:szCs w:val="24"/>
              </w:rPr>
              <w:fldChar w:fldCharType="separate"/>
            </w:r>
            <w:r>
              <w:rPr>
                <w:rFonts w:hint="default" w:ascii="Times New Roman" w:hAnsi="Times New Roman" w:eastAsia="宋体" w:cs="宋体"/>
                <w:sz w:val="24"/>
                <w:szCs w:val="24"/>
              </w:rPr>
              <w:t>①</w:t>
            </w:r>
            <w:r>
              <w:rPr>
                <w:rFonts w:hint="default" w:ascii="Times New Roman" w:hAnsi="Times New Roman" w:eastAsia="宋体" w:cs="宋体"/>
                <w:sz w:val="24"/>
                <w:szCs w:val="24"/>
              </w:rPr>
              <w:fldChar w:fldCharType="end"/>
            </w:r>
            <w:r>
              <w:rPr>
                <w:rFonts w:hint="default" w:ascii="Times New Roman" w:hAnsi="Times New Roman" w:eastAsia="宋体" w:cs="宋体"/>
                <w:sz w:val="24"/>
                <w:szCs w:val="24"/>
              </w:rPr>
              <w:t>主动控制（源头控制措施）</w:t>
            </w:r>
          </w:p>
          <w:p w14:paraId="5767DA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sz w:val="24"/>
                <w:szCs w:val="24"/>
              </w:rPr>
            </w:pPr>
            <w:r>
              <w:rPr>
                <w:rFonts w:hint="default" w:ascii="Times New Roman" w:hAnsi="Times New Roman" w:eastAsia="宋体" w:cs="宋体"/>
                <w:sz w:val="24"/>
                <w:szCs w:val="24"/>
              </w:rPr>
              <w:t>主要包括在工艺、设备、物料输送管道、污水输送管线采取相应措施，防止和降低污染物跑、冒、滴、漏，将污染物泄漏的风险事故降到最低。建设单位已制定严格的管理措施，设专人定时对厂区内管道进行巡检，要求巡检人员对发现的跑冒滴漏现象要及时上报，对出现的问题要求及时妥善处置。同时也要加强对管道、阀门采购的质量管理，如发现问题，应及时更换。</w:t>
            </w:r>
          </w:p>
          <w:p w14:paraId="64413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sz w:val="24"/>
                <w:szCs w:val="24"/>
              </w:rPr>
            </w:pPr>
            <w:r>
              <w:rPr>
                <w:rFonts w:hint="default" w:ascii="Times New Roman" w:hAnsi="Times New Roman" w:eastAsia="宋体" w:cs="宋体"/>
                <w:sz w:val="24"/>
                <w:szCs w:val="24"/>
              </w:rPr>
              <w:fldChar w:fldCharType="begin"/>
            </w:r>
            <w:r>
              <w:rPr>
                <w:rFonts w:hint="default" w:ascii="Times New Roman" w:hAnsi="Times New Roman" w:eastAsia="宋体" w:cs="宋体"/>
                <w:sz w:val="24"/>
                <w:szCs w:val="24"/>
              </w:rPr>
              <w:instrText xml:space="preserve"> = 2 \* GB3 \* MERGEFORMAT </w:instrText>
            </w:r>
            <w:r>
              <w:rPr>
                <w:rFonts w:hint="default" w:ascii="Times New Roman" w:hAnsi="Times New Roman" w:eastAsia="宋体" w:cs="宋体"/>
                <w:sz w:val="24"/>
                <w:szCs w:val="24"/>
              </w:rPr>
              <w:fldChar w:fldCharType="separate"/>
            </w:r>
            <w:r>
              <w:rPr>
                <w:rFonts w:hint="default" w:ascii="Times New Roman" w:hAnsi="Times New Roman" w:eastAsia="宋体" w:cs="宋体"/>
                <w:sz w:val="24"/>
                <w:szCs w:val="24"/>
              </w:rPr>
              <w:t>②</w:t>
            </w:r>
            <w:r>
              <w:rPr>
                <w:rFonts w:hint="default" w:ascii="Times New Roman" w:hAnsi="Times New Roman" w:eastAsia="宋体" w:cs="宋体"/>
                <w:sz w:val="24"/>
                <w:szCs w:val="24"/>
              </w:rPr>
              <w:fldChar w:fldCharType="end"/>
            </w:r>
            <w:r>
              <w:rPr>
                <w:rFonts w:hint="default" w:ascii="Times New Roman" w:hAnsi="Times New Roman" w:eastAsia="宋体" w:cs="宋体"/>
                <w:sz w:val="24"/>
                <w:szCs w:val="24"/>
              </w:rPr>
              <w:t>被动控制（末端控制措施）</w:t>
            </w:r>
          </w:p>
          <w:p w14:paraId="2450A8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sz w:val="24"/>
                <w:szCs w:val="24"/>
              </w:rPr>
            </w:pPr>
            <w:r>
              <w:rPr>
                <w:rFonts w:hint="default" w:ascii="Times New Roman" w:hAnsi="Times New Roman" w:eastAsia="宋体" w:cs="宋体"/>
                <w:sz w:val="24"/>
                <w:szCs w:val="24"/>
              </w:rPr>
              <w:t>主要包括厂内污染区地面的防渗措施和泄漏、渗漏污染物的收集措施，即在污染区地面进行防渗处理，防止撒落在地面上的污染物渗入地下，并把滞留在地面上的污染物收集起来，集中处理。</w:t>
            </w:r>
          </w:p>
          <w:p w14:paraId="4B13B0B1">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color w:val="auto"/>
                <w:sz w:val="24"/>
                <w:szCs w:val="24"/>
                <w:lang w:val="en-US"/>
              </w:rPr>
            </w:pPr>
            <w:r>
              <w:rPr>
                <w:rFonts w:hint="eastAsia" w:ascii="Times New Roman" w:hAnsi="Times New Roman" w:eastAsia="宋体" w:cs="宋体"/>
                <w:color w:val="auto"/>
                <w:sz w:val="24"/>
                <w:szCs w:val="24"/>
              </w:rPr>
              <w:t>企业租赁淮北市欣然食品有限责任公司，地面已水泥硬化</w:t>
            </w:r>
            <w:r>
              <w:rPr>
                <w:rFonts w:hint="eastAsia" w:cs="宋体"/>
                <w:color w:val="auto"/>
                <w:sz w:val="24"/>
                <w:szCs w:val="24"/>
                <w:lang w:val="en-US" w:eastAsia="zh-CN"/>
              </w:rPr>
              <w:t>；</w:t>
            </w:r>
            <w:r>
              <w:rPr>
                <w:rFonts w:hint="eastAsia"/>
                <w:sz w:val="24"/>
              </w:rPr>
              <w:t>依托的2#厂房</w:t>
            </w:r>
            <w:r>
              <w:rPr>
                <w:rFonts w:hint="eastAsia"/>
                <w:sz w:val="24"/>
                <w:lang w:eastAsia="zh-CN"/>
              </w:rPr>
              <w:t>、</w:t>
            </w:r>
            <w:r>
              <w:rPr>
                <w:rFonts w:hint="eastAsia"/>
                <w:sz w:val="24"/>
              </w:rPr>
              <w:t>一般固废暂存区</w:t>
            </w:r>
            <w:r>
              <w:rPr>
                <w:rFonts w:hint="eastAsia"/>
                <w:sz w:val="24"/>
                <w:lang w:eastAsia="zh-CN"/>
              </w:rPr>
              <w:t>、</w:t>
            </w:r>
            <w:r>
              <w:rPr>
                <w:rFonts w:hint="eastAsia"/>
                <w:sz w:val="24"/>
              </w:rPr>
              <w:t xml:space="preserve">废水预处理区等均已落实了一般防渗区的建设要求 </w:t>
            </w:r>
            <w:r>
              <w:rPr>
                <w:rFonts w:hint="eastAsia" w:ascii="Times New Roman" w:hAnsi="Times New Roman" w:cs="宋体"/>
                <w:color w:val="auto"/>
                <w:sz w:val="24"/>
                <w:szCs w:val="24"/>
                <w:lang w:val="en-US" w:eastAsia="zh-CN"/>
              </w:rPr>
              <w:t>。根据防渗技术要求，将污染区分为一般防渗区和重点防渗区，防渗分区一览表见下表：</w:t>
            </w:r>
          </w:p>
          <w:p w14:paraId="68DCA8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w:t>
            </w:r>
            <w:r>
              <w:rPr>
                <w:rFonts w:hint="default" w:ascii="Times New Roman" w:hAnsi="Times New Roman" w:eastAsia="宋体"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13</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土壤、地下水防渗要求</w:t>
            </w:r>
          </w:p>
          <w:tbl>
            <w:tblPr>
              <w:tblStyle w:val="28"/>
              <w:tblW w:w="5000" w:type="pct"/>
              <w:jc w:val="center"/>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1391"/>
              <w:gridCol w:w="1970"/>
              <w:gridCol w:w="5100"/>
            </w:tblGrid>
            <w:tr w14:paraId="05E53BCD">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1986" w:type="pct"/>
                  <w:gridSpan w:val="2"/>
                  <w:tcBorders>
                    <w:tl2br w:val="nil"/>
                    <w:tr2bl w:val="nil"/>
                  </w:tcBorders>
                  <w:shd w:val="clear" w:color="auto" w:fill="auto"/>
                  <w:vAlign w:val="center"/>
                </w:tcPr>
                <w:p w14:paraId="457BB09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防渗分区</w:t>
                  </w:r>
                </w:p>
              </w:tc>
              <w:tc>
                <w:tcPr>
                  <w:tcW w:w="3013" w:type="pct"/>
                  <w:tcBorders>
                    <w:tl2br w:val="nil"/>
                    <w:tr2bl w:val="nil"/>
                  </w:tcBorders>
                  <w:shd w:val="clear" w:color="auto" w:fill="auto"/>
                  <w:vAlign w:val="center"/>
                </w:tcPr>
                <w:p w14:paraId="145FAF1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kern w:val="2"/>
                      <w:sz w:val="21"/>
                      <w:szCs w:val="21"/>
                    </w:rPr>
                  </w:pPr>
                  <w:r>
                    <w:rPr>
                      <w:rFonts w:hint="eastAsia" w:ascii="宋体" w:hAnsi="宋体" w:eastAsia="宋体" w:cs="宋体"/>
                      <w:b/>
                      <w:bCs/>
                      <w:color w:val="000000"/>
                      <w:kern w:val="2"/>
                      <w:sz w:val="21"/>
                      <w:szCs w:val="21"/>
                      <w:lang w:val="en-US" w:eastAsia="zh-CN" w:bidi="ar"/>
                    </w:rPr>
                    <w:t>防渗技术要求</w:t>
                  </w:r>
                </w:p>
              </w:tc>
            </w:tr>
            <w:tr w14:paraId="721233D6">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822" w:type="pct"/>
                  <w:tcBorders>
                    <w:tl2br w:val="nil"/>
                    <w:tr2bl w:val="nil"/>
                  </w:tcBorders>
                  <w:shd w:val="clear" w:color="auto" w:fill="auto"/>
                  <w:vAlign w:val="center"/>
                </w:tcPr>
                <w:p w14:paraId="1BE3A2A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宋体" w:hAnsi="宋体" w:eastAsia="宋体" w:cs="宋体"/>
                      <w:color w:val="000000"/>
                      <w:kern w:val="2"/>
                      <w:sz w:val="21"/>
                      <w:szCs w:val="21"/>
                      <w:lang w:val="en-US" w:eastAsia="zh-CN" w:bidi="ar"/>
                    </w:rPr>
                    <w:t>一般防渗区</w:t>
                  </w:r>
                </w:p>
              </w:tc>
              <w:tc>
                <w:tcPr>
                  <w:tcW w:w="1164" w:type="pct"/>
                  <w:tcBorders>
                    <w:tl2br w:val="nil"/>
                    <w:tr2bl w:val="nil"/>
                  </w:tcBorders>
                  <w:shd w:val="clear" w:color="auto" w:fill="auto"/>
                  <w:vAlign w:val="center"/>
                </w:tcPr>
                <w:p w14:paraId="25EBCA1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宋体" w:hAnsi="宋体" w:eastAsia="宋体" w:cs="宋体"/>
                      <w:color w:val="000000"/>
                      <w:kern w:val="2"/>
                      <w:sz w:val="21"/>
                      <w:szCs w:val="21"/>
                      <w:lang w:val="en-US" w:eastAsia="zh-CN" w:bidi="ar"/>
                    </w:rPr>
                    <w:t>生产车间、一般固废库</w:t>
                  </w:r>
                  <w:r>
                    <w:rPr>
                      <w:rFonts w:hint="eastAsia" w:ascii="宋体" w:hAnsi="宋体" w:cs="宋体"/>
                      <w:color w:val="000000"/>
                      <w:kern w:val="2"/>
                      <w:sz w:val="21"/>
                      <w:szCs w:val="21"/>
                      <w:lang w:val="en-US" w:eastAsia="zh-CN" w:bidi="ar"/>
                    </w:rPr>
                    <w:t>、沉淀池</w:t>
                  </w:r>
                </w:p>
              </w:tc>
              <w:tc>
                <w:tcPr>
                  <w:tcW w:w="3013" w:type="pct"/>
                  <w:tcBorders>
                    <w:tl2br w:val="nil"/>
                    <w:tr2bl w:val="nil"/>
                  </w:tcBorders>
                  <w:shd w:val="clear" w:color="auto" w:fill="auto"/>
                  <w:vAlign w:val="center"/>
                </w:tcPr>
                <w:p w14:paraId="5B214480">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2"/>
                      <w:sz w:val="21"/>
                      <w:szCs w:val="21"/>
                    </w:rPr>
                  </w:pPr>
                  <w:r>
                    <w:rPr>
                      <w:rFonts w:hint="eastAsia" w:ascii="宋体" w:hAnsi="宋体" w:eastAsia="宋体" w:cs="宋体"/>
                      <w:kern w:val="2"/>
                      <w:sz w:val="21"/>
                      <w:szCs w:val="21"/>
                      <w:lang w:val="en-US" w:eastAsia="zh-CN" w:bidi="ar"/>
                    </w:rPr>
                    <w:t>参照《环境影响评价技术导则</w:t>
                  </w:r>
                  <w:r>
                    <w:rPr>
                      <w:rFonts w:hint="default" w:ascii="Times New Roman" w:hAnsi="Times New Roman"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地下水环境》（</w:t>
                  </w:r>
                  <w:r>
                    <w:rPr>
                      <w:rFonts w:hint="default" w:ascii="Times New Roman" w:hAnsi="Times New Roman" w:eastAsia="宋体" w:cs="Times New Roman"/>
                      <w:kern w:val="2"/>
                      <w:sz w:val="21"/>
                      <w:szCs w:val="21"/>
                      <w:lang w:val="en-US" w:eastAsia="zh-CN" w:bidi="ar"/>
                    </w:rPr>
                    <w:t>HJ610 2016</w:t>
                  </w:r>
                  <w:r>
                    <w:rPr>
                      <w:rFonts w:hint="eastAsia" w:ascii="宋体" w:hAnsi="宋体" w:eastAsia="宋体" w:cs="宋体"/>
                      <w:kern w:val="2"/>
                      <w:sz w:val="21"/>
                      <w:szCs w:val="21"/>
                      <w:lang w:val="en-US" w:eastAsia="zh-CN" w:bidi="ar"/>
                    </w:rPr>
                    <w:t xml:space="preserve">）执行，等效黏土防渗层 </w:t>
                  </w:r>
                  <w:r>
                    <w:rPr>
                      <w:rFonts w:hint="default" w:ascii="Times New Roman" w:hAnsi="Times New Roman" w:eastAsia="宋体" w:cs="Times New Roman"/>
                      <w:kern w:val="2"/>
                      <w:sz w:val="21"/>
                      <w:szCs w:val="21"/>
                      <w:lang w:val="en-US" w:eastAsia="zh-CN" w:bidi="ar"/>
                    </w:rPr>
                    <w:t>Mb</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1.5m</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K</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1.0</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10</w:t>
                  </w:r>
                  <w:r>
                    <w:rPr>
                      <w:rFonts w:hint="default" w:ascii="Times New Roman" w:hAnsi="Times New Roman" w:eastAsia="宋体" w:cs="Times New Roman"/>
                      <w:kern w:val="2"/>
                      <w:sz w:val="21"/>
                      <w:szCs w:val="21"/>
                      <w:vertAlign w:val="superscript"/>
                      <w:lang w:val="en-US" w:eastAsia="zh-CN" w:bidi="ar"/>
                    </w:rPr>
                    <w:t>-7</w:t>
                  </w:r>
                  <w:r>
                    <w:rPr>
                      <w:rFonts w:hint="default" w:ascii="Times New Roman" w:hAnsi="Times New Roman" w:eastAsia="宋体" w:cs="Times New Roman"/>
                      <w:kern w:val="2"/>
                      <w:sz w:val="21"/>
                      <w:szCs w:val="21"/>
                      <w:lang w:val="en-US" w:eastAsia="zh-CN" w:bidi="ar"/>
                    </w:rPr>
                    <w:t>cm/s</w:t>
                  </w:r>
                  <w:r>
                    <w:rPr>
                      <w:rFonts w:hint="eastAsia" w:ascii="宋体" w:hAnsi="宋体" w:eastAsia="宋体" w:cs="宋体"/>
                      <w:kern w:val="2"/>
                      <w:sz w:val="21"/>
                      <w:szCs w:val="21"/>
                      <w:lang w:val="en-US" w:eastAsia="zh-CN" w:bidi="ar"/>
                    </w:rPr>
                    <w:t>；</w:t>
                  </w:r>
                </w:p>
              </w:tc>
            </w:tr>
            <w:tr w14:paraId="2E9FA897">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40" w:hRule="atLeast"/>
                <w:jc w:val="center"/>
              </w:trPr>
              <w:tc>
                <w:tcPr>
                  <w:tcW w:w="822" w:type="pct"/>
                  <w:tcBorders>
                    <w:tl2br w:val="nil"/>
                    <w:tr2bl w:val="nil"/>
                  </w:tcBorders>
                  <w:shd w:val="clear" w:color="auto" w:fill="auto"/>
                  <w:vAlign w:val="center"/>
                </w:tcPr>
                <w:p w14:paraId="368E8E9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宋体" w:hAnsi="宋体" w:eastAsia="宋体" w:cs="宋体"/>
                      <w:color w:val="000000"/>
                      <w:kern w:val="2"/>
                      <w:sz w:val="21"/>
                      <w:szCs w:val="21"/>
                      <w:lang w:val="en-US" w:eastAsia="zh-CN" w:bidi="ar"/>
                    </w:rPr>
                    <w:t>重点防渗区</w:t>
                  </w:r>
                </w:p>
              </w:tc>
              <w:tc>
                <w:tcPr>
                  <w:tcW w:w="1164" w:type="pct"/>
                  <w:tcBorders>
                    <w:tl2br w:val="nil"/>
                    <w:tr2bl w:val="nil"/>
                  </w:tcBorders>
                  <w:shd w:val="clear" w:color="auto" w:fill="auto"/>
                  <w:vAlign w:val="center"/>
                </w:tcPr>
                <w:p w14:paraId="60E638E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宋体" w:hAnsi="宋体" w:eastAsia="宋体" w:cs="宋体"/>
                      <w:color w:val="000000"/>
                      <w:kern w:val="2"/>
                      <w:sz w:val="21"/>
                      <w:szCs w:val="21"/>
                      <w:lang w:val="en-US" w:eastAsia="zh-CN" w:bidi="ar"/>
                    </w:rPr>
                    <w:t>危废库</w:t>
                  </w:r>
                </w:p>
              </w:tc>
              <w:tc>
                <w:tcPr>
                  <w:tcW w:w="3013" w:type="pct"/>
                  <w:tcBorders>
                    <w:tl2br w:val="nil"/>
                    <w:tr2bl w:val="nil"/>
                  </w:tcBorders>
                  <w:shd w:val="clear" w:color="auto" w:fill="auto"/>
                  <w:vAlign w:val="center"/>
                </w:tcPr>
                <w:p w14:paraId="18C75793">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2"/>
                      <w:sz w:val="21"/>
                      <w:szCs w:val="21"/>
                    </w:rPr>
                  </w:pPr>
                  <w:r>
                    <w:rPr>
                      <w:rFonts w:hint="eastAsia" w:ascii="宋体" w:hAnsi="宋体" w:eastAsia="宋体" w:cs="宋体"/>
                      <w:kern w:val="2"/>
                      <w:sz w:val="21"/>
                      <w:szCs w:val="21"/>
                      <w:lang w:val="en-US" w:eastAsia="zh-CN" w:bidi="ar"/>
                    </w:rPr>
                    <w:t>参照《危险废物贮存污染控制标准》（</w:t>
                  </w:r>
                  <w:r>
                    <w:rPr>
                      <w:rFonts w:hint="default" w:ascii="Times New Roman" w:hAnsi="Times New Roman" w:eastAsia="宋体" w:cs="Times New Roman"/>
                      <w:kern w:val="2"/>
                      <w:sz w:val="21"/>
                      <w:szCs w:val="21"/>
                      <w:lang w:val="en-US" w:eastAsia="zh-CN" w:bidi="ar"/>
                    </w:rPr>
                    <w:t>GB18597-2023</w:t>
                  </w:r>
                  <w:r>
                    <w:rPr>
                      <w:rFonts w:hint="eastAsia" w:ascii="宋体" w:hAnsi="宋体" w:eastAsia="宋体" w:cs="宋体"/>
                      <w:kern w:val="2"/>
                      <w:sz w:val="21"/>
                      <w:szCs w:val="21"/>
                      <w:lang w:val="en-US" w:eastAsia="zh-CN" w:bidi="ar"/>
                    </w:rPr>
                    <w:t>）执行，基础防渗层为黏土层时，其厚度应达</w:t>
                  </w:r>
                  <w:r>
                    <w:rPr>
                      <w:rFonts w:hint="default" w:ascii="Times New Roman" w:hAnsi="Times New Roman" w:eastAsia="宋体" w:cs="Times New Roman"/>
                      <w:kern w:val="2"/>
                      <w:sz w:val="21"/>
                      <w:szCs w:val="21"/>
                      <w:lang w:val="en-US" w:eastAsia="zh-CN" w:bidi="ar"/>
                    </w:rPr>
                    <w:t>1m</w:t>
                  </w:r>
                  <w:r>
                    <w:rPr>
                      <w:rFonts w:hint="eastAsia" w:ascii="宋体" w:hAnsi="宋体" w:eastAsia="宋体" w:cs="宋体"/>
                      <w:kern w:val="2"/>
                      <w:sz w:val="21"/>
                      <w:szCs w:val="21"/>
                      <w:lang w:val="en-US" w:eastAsia="zh-CN" w:bidi="ar"/>
                    </w:rPr>
                    <w:t>以上，渗透系数应小于</w:t>
                  </w:r>
                  <w:r>
                    <w:rPr>
                      <w:rFonts w:hint="default" w:ascii="Times New Roman" w:hAnsi="Times New Roman" w:eastAsia="宋体" w:cs="Times New Roman"/>
                      <w:kern w:val="2"/>
                      <w:sz w:val="21"/>
                      <w:szCs w:val="21"/>
                      <w:lang w:val="en-US" w:eastAsia="zh-CN" w:bidi="ar"/>
                    </w:rPr>
                    <w:t>10</w:t>
                  </w:r>
                  <w:r>
                    <w:rPr>
                      <w:rFonts w:hint="default" w:ascii="Times New Roman" w:hAnsi="Times New Roman" w:eastAsia="宋体" w:cs="Times New Roman"/>
                      <w:kern w:val="2"/>
                      <w:sz w:val="21"/>
                      <w:szCs w:val="21"/>
                      <w:vertAlign w:val="superscript"/>
                      <w:lang w:val="en-US" w:eastAsia="zh-CN" w:bidi="ar"/>
                    </w:rPr>
                    <w:t>-7</w:t>
                  </w:r>
                  <w:r>
                    <w:rPr>
                      <w:rFonts w:hint="default" w:ascii="Times New Roman" w:hAnsi="Times New Roman" w:eastAsia="宋体" w:cs="Times New Roman"/>
                      <w:kern w:val="2"/>
                      <w:sz w:val="21"/>
                      <w:szCs w:val="21"/>
                      <w:lang w:val="en-US" w:eastAsia="zh-CN" w:bidi="ar"/>
                    </w:rPr>
                    <w:t>cm/s</w:t>
                  </w:r>
                  <w:r>
                    <w:rPr>
                      <w:rFonts w:hint="eastAsia" w:ascii="宋体" w:hAnsi="宋体" w:eastAsia="宋体" w:cs="宋体"/>
                      <w:kern w:val="2"/>
                      <w:sz w:val="21"/>
                      <w:szCs w:val="21"/>
                      <w:lang w:val="en-US" w:eastAsia="zh-CN" w:bidi="ar"/>
                    </w:rPr>
                    <w:t>；基础防渗层亦可用厚度</w:t>
                  </w:r>
                  <w:r>
                    <w:rPr>
                      <w:rFonts w:hint="default" w:ascii="Times New Roman" w:hAnsi="Times New Roman" w:eastAsia="宋体" w:cs="Times New Roman"/>
                      <w:kern w:val="2"/>
                      <w:sz w:val="21"/>
                      <w:szCs w:val="21"/>
                      <w:lang w:val="en-US" w:eastAsia="zh-CN" w:bidi="ar"/>
                    </w:rPr>
                    <w:t>2mm</w:t>
                  </w:r>
                  <w:r>
                    <w:rPr>
                      <w:rFonts w:hint="eastAsia" w:ascii="宋体" w:hAnsi="宋体" w:eastAsia="宋体" w:cs="宋体"/>
                      <w:kern w:val="2"/>
                      <w:sz w:val="21"/>
                      <w:szCs w:val="21"/>
                      <w:lang w:val="en-US" w:eastAsia="zh-CN" w:bidi="ar"/>
                    </w:rPr>
                    <w:t>以上的高密度聚乙烯和其他人工防渗材料组成，渗透系数应小于</w:t>
                  </w:r>
                  <w:r>
                    <w:rPr>
                      <w:rFonts w:hint="default" w:ascii="Times New Roman" w:hAnsi="Times New Roman" w:eastAsia="宋体" w:cs="Times New Roman"/>
                      <w:kern w:val="2"/>
                      <w:sz w:val="21"/>
                      <w:szCs w:val="21"/>
                      <w:lang w:val="en-US" w:eastAsia="zh-CN" w:bidi="ar"/>
                    </w:rPr>
                    <w:t>10</w:t>
                  </w:r>
                  <w:r>
                    <w:rPr>
                      <w:rFonts w:hint="default" w:ascii="Times New Roman" w:hAnsi="Times New Roman" w:eastAsia="宋体" w:cs="Times New Roman"/>
                      <w:kern w:val="2"/>
                      <w:sz w:val="21"/>
                      <w:szCs w:val="21"/>
                      <w:vertAlign w:val="superscript"/>
                      <w:lang w:val="en-US" w:eastAsia="zh-CN" w:bidi="ar"/>
                    </w:rPr>
                    <w:t>-1</w:t>
                  </w:r>
                  <w:r>
                    <w:rPr>
                      <w:rFonts w:hint="default" w:ascii="Times New Roman" w:hAnsi="Times New Roman" w:eastAsia="宋体" w:cs="Times New Roman"/>
                      <w:kern w:val="2"/>
                      <w:sz w:val="21"/>
                      <w:szCs w:val="21"/>
                      <w:lang w:val="en-US" w:eastAsia="zh-CN" w:bidi="ar"/>
                    </w:rPr>
                    <w:t>cm/s</w:t>
                  </w:r>
                </w:p>
              </w:tc>
            </w:tr>
          </w:tbl>
          <w:p w14:paraId="4A6F6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lang w:val="en-US" w:eastAsia="zh-CN"/>
              </w:rPr>
            </w:pPr>
          </w:p>
          <w:p w14:paraId="6B41D4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eastAsia" w:ascii="Times New Roman" w:hAnsi="Times New Roman" w:cs="宋体"/>
                <w:sz w:val="24"/>
                <w:szCs w:val="24"/>
              </w:rPr>
              <w:t>除此之外，建议项目运营后还应采取以下污染防治措施：</w:t>
            </w:r>
          </w:p>
          <w:p w14:paraId="0FD40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snapToGrid w:val="0"/>
                <w:sz w:val="24"/>
                <w:szCs w:val="24"/>
              </w:rPr>
            </w:pPr>
            <w:r>
              <w:rPr>
                <w:rFonts w:hint="eastAsia" w:ascii="Times New Roman" w:hAnsi="Times New Roman" w:cs="宋体"/>
                <w:sz w:val="24"/>
                <w:szCs w:val="24"/>
              </w:rPr>
              <w:t>加强现场巡查，特别是在卫生清理、下雨地面水量较大时，重点检查有无渗漏情况。若发现问题，及时分析原因，找到泄漏点制定整改措施，尽快修补，确保防腐防渗层的完整性。</w:t>
            </w:r>
          </w:p>
          <w:p w14:paraId="33CBC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Style w:val="34"/>
                <w:rFonts w:hint="default" w:ascii="Times New Roman" w:hAnsi="Times New Roman" w:cs="Times New Roman"/>
                <w:color w:val="000000"/>
                <w:kern w:val="0"/>
                <w:sz w:val="24"/>
                <w:szCs w:val="24"/>
              </w:rPr>
            </w:pPr>
            <w:r>
              <w:rPr>
                <w:rFonts w:hint="eastAsia" w:ascii="Times New Roman" w:hAnsi="Times New Roman" w:cs="Times New Roman"/>
                <w:b/>
                <w:bCs/>
                <w:snapToGrid w:val="0"/>
                <w:color w:val="000000"/>
                <w:sz w:val="24"/>
                <w:szCs w:val="24"/>
              </w:rPr>
              <w:t>6</w:t>
            </w:r>
            <w:r>
              <w:rPr>
                <w:rFonts w:hint="eastAsia" w:ascii="Times New Roman" w:hAnsi="Times New Roman" w:cs="Times New Roman"/>
                <w:b/>
                <w:bCs/>
                <w:snapToGrid w:val="0"/>
                <w:color w:val="000000"/>
                <w:sz w:val="24"/>
                <w:szCs w:val="24"/>
                <w:lang w:eastAsia="zh-CN"/>
              </w:rPr>
              <w:t>、</w:t>
            </w:r>
            <w:r>
              <w:rPr>
                <w:rFonts w:hint="default"/>
                <w:b/>
                <w:bCs/>
                <w:snapToGrid w:val="0"/>
                <w:color w:val="000000"/>
                <w:sz w:val="24"/>
                <w:lang w:val="en-US" w:eastAsia="zh-CN"/>
              </w:rPr>
              <w:t>环境</w:t>
            </w:r>
            <w:r>
              <w:rPr>
                <w:rFonts w:hint="default" w:ascii="Times New Roman" w:hAnsi="Times New Roman" w:cs="Times New Roman"/>
                <w:b/>
                <w:bCs/>
                <w:snapToGrid w:val="0"/>
                <w:color w:val="000000"/>
                <w:sz w:val="24"/>
                <w:szCs w:val="24"/>
              </w:rPr>
              <w:t>风险分析</w:t>
            </w:r>
          </w:p>
          <w:p w14:paraId="46A26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bCs/>
                <w:snapToGrid w:val="0"/>
                <w:color w:val="000000"/>
                <w:sz w:val="24"/>
                <w:szCs w:val="24"/>
              </w:rPr>
            </w:pPr>
            <w:r>
              <w:rPr>
                <w:rFonts w:hint="eastAsia" w:ascii="Times New Roman" w:hAnsi="Times New Roman" w:cs="Times New Roman"/>
                <w:color w:val="000000"/>
                <w:sz w:val="24"/>
                <w:szCs w:val="24"/>
              </w:rPr>
              <w:t>根据（环发〔2012〕77号）《关于进一步加强环境影响评价管理防范环境风险的通知》，新、改、扩建</w:t>
            </w:r>
            <w:r>
              <w:rPr>
                <w:rFonts w:hint="eastAsia" w:ascii="Times New Roman" w:hAnsi="Times New Roman" w:cs="Times New Roman"/>
                <w:color w:val="000000"/>
                <w:sz w:val="24"/>
                <w:szCs w:val="24"/>
                <w:lang w:eastAsia="zh-CN"/>
              </w:rPr>
              <w:t>相关</w:t>
            </w:r>
            <w:r>
              <w:rPr>
                <w:rFonts w:hint="eastAsia" w:ascii="Times New Roman" w:hAnsi="Times New Roman" w:cs="Times New Roman"/>
                <w:color w:val="000000"/>
                <w:sz w:val="24"/>
                <w:szCs w:val="24"/>
              </w:rPr>
              <w:t>建设项目环境影响评价应按照相应技术导则要求，科学预测评价突发性事件或事故可能引发的环境风险，提出环境风险防范和应急措施。</w:t>
            </w:r>
          </w:p>
          <w:p w14:paraId="21099BAA">
            <w:pPr>
              <w:keepNext w:val="0"/>
              <w:keepLines w:val="0"/>
              <w:pageBreakBefore w:val="0"/>
              <w:widowControl w:val="0"/>
              <w:numPr>
                <w:ilvl w:val="2"/>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b/>
                <w:color w:val="000000"/>
                <w:sz w:val="24"/>
                <w:szCs w:val="24"/>
              </w:rPr>
            </w:pPr>
            <w:bookmarkStart w:id="32" w:name="_Toc12591"/>
            <w:r>
              <w:rPr>
                <w:rFonts w:hint="eastAsia" w:ascii="Times New Roman" w:hAnsi="Times New Roman" w:cs="Times New Roman"/>
                <w:b/>
                <w:color w:val="000000"/>
                <w:sz w:val="24"/>
                <w:szCs w:val="24"/>
              </w:rPr>
              <w:t>6</w:t>
            </w:r>
            <w:r>
              <w:rPr>
                <w:rFonts w:hint="default" w:ascii="Times New Roman" w:hAnsi="Times New Roman" w:cs="Times New Roman"/>
                <w:b/>
                <w:color w:val="000000"/>
                <w:sz w:val="24"/>
                <w:szCs w:val="24"/>
              </w:rPr>
              <w:t>.1</w:t>
            </w:r>
            <w:r>
              <w:rPr>
                <w:rFonts w:hint="eastAsia" w:ascii="Times New Roman" w:hAnsi="Times New Roman" w:cs="Times New Roman"/>
                <w:b/>
                <w:color w:val="000000"/>
                <w:sz w:val="24"/>
                <w:szCs w:val="24"/>
              </w:rPr>
              <w:t>评价依据</w:t>
            </w:r>
          </w:p>
          <w:p w14:paraId="7256F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rPr>
            </w:pPr>
            <w:r>
              <w:rPr>
                <w:rFonts w:hint="eastAsia" w:ascii="Times New Roman" w:hAnsi="Times New Roman" w:cs="Times New Roman"/>
                <w:color w:val="000000"/>
                <w:sz w:val="24"/>
                <w:szCs w:val="24"/>
              </w:rPr>
              <w:t>（1）</w:t>
            </w:r>
            <w:r>
              <w:rPr>
                <w:rFonts w:hint="default" w:ascii="Times New Roman" w:hAnsi="Times New Roman" w:cs="Times New Roman"/>
                <w:color w:val="000000"/>
                <w:sz w:val="24"/>
                <w:szCs w:val="24"/>
              </w:rPr>
              <w:t>风险调查</w:t>
            </w:r>
            <w:bookmarkEnd w:id="32"/>
          </w:p>
          <w:p w14:paraId="41E47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调查建设项目危险物质数量和分布情况、生产工艺特点，收集危险物质安全技术说明书物质风险识别范围包括：主要原材料及辅助材料、燃料、中间产品、最终产品以及生产过程排放的</w:t>
            </w:r>
            <w:r>
              <w:rPr>
                <w:rFonts w:hint="eastAsia" w:ascii="Times New Roman" w:hAnsi="Times New Roman" w:cs="Times New Roman"/>
                <w:color w:val="000000"/>
                <w:sz w:val="24"/>
                <w:szCs w:val="24"/>
              </w:rPr>
              <w:t>“</w:t>
            </w:r>
            <w:r>
              <w:rPr>
                <w:rFonts w:hint="default" w:ascii="Times New Roman" w:hAnsi="Times New Roman" w:cs="Times New Roman"/>
                <w:color w:val="000000"/>
                <w:sz w:val="24"/>
                <w:szCs w:val="24"/>
              </w:rPr>
              <w:t>三废</w:t>
            </w:r>
            <w:r>
              <w:rPr>
                <w:rFonts w:hint="eastAsia" w:ascii="Times New Roman" w:hAnsi="Times New Roman" w:cs="Times New Roman"/>
                <w:color w:val="000000"/>
                <w:sz w:val="24"/>
                <w:szCs w:val="24"/>
              </w:rPr>
              <w:t>”</w:t>
            </w:r>
            <w:r>
              <w:rPr>
                <w:rFonts w:hint="default" w:ascii="Times New Roman" w:hAnsi="Times New Roman" w:cs="Times New Roman"/>
                <w:color w:val="000000"/>
                <w:sz w:val="24"/>
                <w:szCs w:val="24"/>
              </w:rPr>
              <w:t>污染物等。</w:t>
            </w:r>
          </w:p>
          <w:p w14:paraId="79357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rPr>
            </w:pPr>
            <w:r>
              <w:rPr>
                <w:rFonts w:hint="eastAsia" w:ascii="Times New Roman" w:hAnsi="Times New Roman" w:cs="Times New Roman"/>
                <w:color w:val="000000"/>
                <w:sz w:val="24"/>
                <w:szCs w:val="24"/>
              </w:rPr>
              <w:t>（2）风险潜势初判</w:t>
            </w:r>
          </w:p>
          <w:p w14:paraId="7596FB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根据《建设项目环境风险评价技术导则》（HJ 169-2018），计算所涉及的项目涉及的突然环境事件风险物质的最大存在总量与其在附录B中对应临界量的比值Q。在不同厂区的同一种物质，按其在厂界内的最大存在总量计算。</w:t>
            </w:r>
          </w:p>
          <w:p w14:paraId="2A054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当只涉及一种危险物质时，计算该物质的总量与其临界量比值，即为Q；</w:t>
            </w:r>
          </w:p>
          <w:p w14:paraId="24C89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当存在多种危险物质时，则按下式计算物质总量与其临界量比值（Q）：</w:t>
            </w:r>
          </w:p>
          <w:p w14:paraId="0F560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pict>
                <v:shape id="对象 3" o:spid="_x0000_s1041" o:spt="75" type="#_x0000_t75" style="position:absolute;left:0pt;margin-left:121.9pt;margin-top:7.75pt;height:33.8pt;width:116.55pt;mso-wrap-distance-bottom:0pt;mso-wrap-distance-top:0pt;z-index:251659264;mso-width-relative:page;mso-height-relative:page;" o:ole="t" filled="f" o:preferrelative="t" stroked="f" coordsize="21600,21600">
                  <v:path/>
                  <v:fill on="f" focussize="0,0"/>
                  <v:stroke on="f"/>
                  <v:imagedata r:id="rId26" o:title=""/>
                  <o:lock v:ext="edit" aspectratio="t"/>
                  <w10:wrap type="topAndBottom"/>
                </v:shape>
                <o:OLEObject Type="Embed" ProgID="" ShapeID="对象 3" DrawAspect="Content" ObjectID="_1468075725" r:id="rId25">
                  <o:LockedField>false</o:LockedField>
                </o:OLEObject>
              </w:pict>
            </w:r>
            <w:r>
              <w:rPr>
                <w:rFonts w:hint="default" w:ascii="Times New Roman" w:hAnsi="Times New Roman" w:cs="Times New Roman"/>
                <w:color w:val="000000"/>
                <w:sz w:val="24"/>
                <w:szCs w:val="24"/>
              </w:rPr>
              <w:t>式中：q</w:t>
            </w:r>
            <w:r>
              <w:rPr>
                <w:rFonts w:hint="default" w:ascii="Times New Roman" w:hAnsi="Times New Roman" w:cs="Times New Roman"/>
                <w:color w:val="000000"/>
                <w:sz w:val="24"/>
                <w:szCs w:val="24"/>
                <w:vertAlign w:val="subscript"/>
              </w:rPr>
              <w:t>1</w:t>
            </w:r>
            <w:r>
              <w:rPr>
                <w:rFonts w:hint="default" w:ascii="Times New Roman" w:hAnsi="Times New Roman" w:cs="Times New Roman"/>
                <w:color w:val="000000"/>
                <w:sz w:val="24"/>
                <w:szCs w:val="24"/>
              </w:rPr>
              <w:t>，q</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，…，q</w:t>
            </w:r>
            <w:r>
              <w:rPr>
                <w:rFonts w:hint="default" w:ascii="Times New Roman" w:hAnsi="Times New Roman" w:cs="Times New Roman"/>
                <w:color w:val="000000"/>
                <w:sz w:val="24"/>
                <w:szCs w:val="24"/>
                <w:vertAlign w:val="subscript"/>
              </w:rPr>
              <w:t>n</w:t>
            </w:r>
            <w:r>
              <w:rPr>
                <w:rFonts w:hint="default" w:ascii="Times New Roman" w:hAnsi="Times New Roman" w:cs="Times New Roman"/>
                <w:color w:val="000000"/>
                <w:sz w:val="24"/>
                <w:szCs w:val="24"/>
              </w:rPr>
              <w:t>——每种危险物质的最大存在总量，t；</w:t>
            </w:r>
          </w:p>
          <w:p w14:paraId="796EF4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Q</w:t>
            </w:r>
            <w:r>
              <w:rPr>
                <w:rFonts w:hint="default" w:ascii="Times New Roman" w:hAnsi="Times New Roman" w:cs="Times New Roman"/>
                <w:color w:val="000000"/>
                <w:sz w:val="24"/>
                <w:szCs w:val="24"/>
                <w:vertAlign w:val="subscript"/>
              </w:rPr>
              <w:t>1</w:t>
            </w:r>
            <w:r>
              <w:rPr>
                <w:rFonts w:hint="default" w:ascii="Times New Roman" w:hAnsi="Times New Roman" w:cs="Times New Roman"/>
                <w:color w:val="000000"/>
                <w:sz w:val="24"/>
                <w:szCs w:val="24"/>
              </w:rPr>
              <w:t>，Q</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，…，Q</w:t>
            </w:r>
            <w:r>
              <w:rPr>
                <w:rFonts w:hint="default" w:ascii="Times New Roman" w:hAnsi="Times New Roman" w:cs="Times New Roman"/>
                <w:color w:val="000000"/>
                <w:sz w:val="24"/>
                <w:szCs w:val="24"/>
                <w:vertAlign w:val="subscript"/>
              </w:rPr>
              <w:t>n</w:t>
            </w:r>
            <w:r>
              <w:rPr>
                <w:rFonts w:hint="default" w:ascii="Times New Roman" w:hAnsi="Times New Roman" w:cs="Times New Roman"/>
                <w:color w:val="000000"/>
                <w:sz w:val="24"/>
                <w:szCs w:val="24"/>
              </w:rPr>
              <w:t>——每种危险物质的临界量，t。</w:t>
            </w:r>
          </w:p>
          <w:p w14:paraId="35D45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当Q&lt;1时，该项目环境风险潜势为I。</w:t>
            </w:r>
          </w:p>
          <w:p w14:paraId="6A84BD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当Q≥1时，将Q值划分为：（1）1≤Q&lt;10；（2）10≤Q&lt;100；（3）Q≥100。</w:t>
            </w:r>
          </w:p>
          <w:p w14:paraId="40B1EB39">
            <w:pPr>
              <w:keepNext w:val="0"/>
              <w:keepLines w:val="0"/>
              <w:suppressLineNumbers w:val="0"/>
              <w:adjustRightInd w:val="0"/>
              <w:snapToGrid w:val="0"/>
              <w:spacing w:before="0" w:beforeAutospacing="0" w:after="0" w:afterAutospacing="0" w:line="360" w:lineRule="auto"/>
              <w:ind w:left="0" w:right="0" w:firstLine="448" w:firstLineChars="200"/>
              <w:rPr>
                <w:rFonts w:hint="default" w:ascii="Times New Roman" w:hAnsi="Times New Roman" w:eastAsia="宋体" w:cs="Times New Roman"/>
                <w:color w:val="000000"/>
                <w:kern w:val="0"/>
                <w:sz w:val="24"/>
                <w:szCs w:val="24"/>
              </w:rPr>
            </w:pPr>
            <w:r>
              <w:rPr>
                <w:rFonts w:hint="default" w:ascii="Times New Roman" w:hAnsi="Times New Roman" w:cs="Times New Roman"/>
                <w:color w:val="000000"/>
                <w:spacing w:val="-8"/>
                <w:sz w:val="24"/>
                <w:szCs w:val="24"/>
              </w:rPr>
              <w:t>本项目使用的原辅材料主要为</w:t>
            </w:r>
            <w:r>
              <w:rPr>
                <w:rFonts w:hint="eastAsia" w:cs="Times New Roman"/>
                <w:color w:val="000000"/>
                <w:spacing w:val="-8"/>
                <w:sz w:val="24"/>
                <w:szCs w:val="24"/>
                <w:lang w:val="en-US" w:eastAsia="zh-CN"/>
              </w:rPr>
              <w:t>谷物粉、谷物淀粉、虾、鱼、酒精等</w:t>
            </w:r>
            <w:r>
              <w:rPr>
                <w:rFonts w:hint="default" w:ascii="Times New Roman" w:hAnsi="Times New Roman" w:cs="Times New Roman"/>
                <w:color w:val="000000"/>
                <w:spacing w:val="-8"/>
                <w:sz w:val="24"/>
                <w:szCs w:val="24"/>
              </w:rPr>
              <w:t>；厂内废水主要为生产废水和生活污水，根据废水源强分析可知，厂内废水COD浓度小于10000mg/L，NH</w:t>
            </w:r>
            <w:r>
              <w:rPr>
                <w:rFonts w:hint="default" w:ascii="Times New Roman" w:hAnsi="Times New Roman" w:cs="Times New Roman"/>
                <w:color w:val="000000"/>
                <w:spacing w:val="-8"/>
                <w:sz w:val="24"/>
                <w:szCs w:val="24"/>
                <w:vertAlign w:val="subscript"/>
              </w:rPr>
              <w:t>3</w:t>
            </w:r>
            <w:r>
              <w:rPr>
                <w:rFonts w:hint="default" w:ascii="Times New Roman" w:hAnsi="Times New Roman" w:cs="Times New Roman"/>
                <w:color w:val="000000"/>
                <w:spacing w:val="-8"/>
                <w:sz w:val="24"/>
                <w:szCs w:val="24"/>
              </w:rPr>
              <w:t>-N浓度小于2000mg/L；涉及的固液体废物为不合格品</w:t>
            </w:r>
            <w:r>
              <w:rPr>
                <w:rFonts w:hint="eastAsia" w:cs="Times New Roman"/>
                <w:color w:val="000000"/>
                <w:spacing w:val="-8"/>
                <w:sz w:val="24"/>
                <w:szCs w:val="24"/>
                <w:lang w:eastAsia="zh-CN"/>
              </w:rPr>
              <w:t>、</w:t>
            </w:r>
            <w:r>
              <w:rPr>
                <w:rFonts w:hint="default" w:ascii="Times New Roman" w:hAnsi="Times New Roman" w:cs="Times New Roman"/>
                <w:color w:val="000000"/>
                <w:spacing w:val="-8"/>
                <w:sz w:val="24"/>
                <w:szCs w:val="24"/>
              </w:rPr>
              <w:t>废包装材料</w:t>
            </w:r>
            <w:r>
              <w:rPr>
                <w:rFonts w:hint="eastAsia" w:cs="Times New Roman"/>
                <w:color w:val="000000"/>
                <w:spacing w:val="-8"/>
                <w:sz w:val="24"/>
                <w:szCs w:val="24"/>
                <w:lang w:eastAsia="zh-CN"/>
              </w:rPr>
              <w:t>、</w:t>
            </w:r>
            <w:r>
              <w:rPr>
                <w:rFonts w:hint="default" w:ascii="Times New Roman" w:hAnsi="Times New Roman" w:cs="Times New Roman"/>
                <w:color w:val="000000"/>
                <w:spacing w:val="-8"/>
                <w:sz w:val="24"/>
                <w:szCs w:val="24"/>
              </w:rPr>
              <w:t>杂质</w:t>
            </w:r>
            <w:r>
              <w:rPr>
                <w:rFonts w:hint="eastAsia" w:cs="Times New Roman"/>
                <w:color w:val="000000"/>
                <w:spacing w:val="-8"/>
                <w:sz w:val="24"/>
                <w:szCs w:val="24"/>
                <w:lang w:eastAsia="zh-CN"/>
              </w:rPr>
              <w:t>、</w:t>
            </w:r>
            <w:r>
              <w:rPr>
                <w:rFonts w:hint="default" w:ascii="Times New Roman" w:hAnsi="Times New Roman" w:cs="Times New Roman"/>
                <w:color w:val="000000"/>
                <w:spacing w:val="-8"/>
                <w:sz w:val="24"/>
                <w:szCs w:val="24"/>
              </w:rPr>
              <w:t>废油</w:t>
            </w:r>
            <w:r>
              <w:rPr>
                <w:rFonts w:hint="eastAsia" w:cs="Times New Roman"/>
                <w:color w:val="000000"/>
                <w:spacing w:val="-8"/>
                <w:sz w:val="24"/>
                <w:szCs w:val="24"/>
                <w:lang w:val="en-US" w:eastAsia="zh-CN"/>
              </w:rPr>
              <w:t>物</w:t>
            </w:r>
            <w:r>
              <w:rPr>
                <w:rFonts w:hint="eastAsia" w:cs="Times New Roman"/>
                <w:color w:val="000000"/>
                <w:spacing w:val="-8"/>
                <w:sz w:val="24"/>
                <w:szCs w:val="24"/>
                <w:lang w:eastAsia="zh-CN"/>
              </w:rPr>
              <w:t>、</w:t>
            </w:r>
            <w:r>
              <w:rPr>
                <w:rFonts w:hint="eastAsia" w:cs="Times New Roman"/>
                <w:color w:val="000000"/>
                <w:spacing w:val="-8"/>
                <w:sz w:val="24"/>
                <w:szCs w:val="24"/>
                <w:lang w:val="en-US" w:eastAsia="zh-CN"/>
              </w:rPr>
              <w:t>过筛物料、</w:t>
            </w:r>
            <w:r>
              <w:rPr>
                <w:rFonts w:hint="default" w:ascii="Times New Roman" w:hAnsi="Times New Roman" w:cs="Times New Roman"/>
                <w:color w:val="000000"/>
                <w:spacing w:val="-8"/>
                <w:sz w:val="24"/>
                <w:szCs w:val="24"/>
              </w:rPr>
              <w:t>除尘器收集粉尘</w:t>
            </w:r>
            <w:r>
              <w:rPr>
                <w:rFonts w:hint="eastAsia" w:cs="Times New Roman"/>
                <w:color w:val="000000"/>
                <w:spacing w:val="-8"/>
                <w:sz w:val="24"/>
                <w:szCs w:val="24"/>
                <w:lang w:eastAsia="zh-CN"/>
              </w:rPr>
              <w:t>、</w:t>
            </w:r>
            <w:r>
              <w:rPr>
                <w:rFonts w:hint="eastAsia" w:cs="Times New Roman"/>
                <w:color w:val="000000"/>
                <w:spacing w:val="-8"/>
                <w:sz w:val="24"/>
                <w:szCs w:val="24"/>
                <w:lang w:val="en-US" w:eastAsia="zh-CN"/>
              </w:rPr>
              <w:t>地面清扫粉尘、</w:t>
            </w:r>
            <w:r>
              <w:rPr>
                <w:rFonts w:hint="default" w:ascii="Times New Roman" w:hAnsi="Times New Roman" w:cs="Times New Roman"/>
                <w:color w:val="000000"/>
                <w:spacing w:val="-8"/>
                <w:sz w:val="24"/>
                <w:szCs w:val="24"/>
              </w:rPr>
              <w:t>废布袋</w:t>
            </w:r>
            <w:r>
              <w:rPr>
                <w:rFonts w:hint="eastAsia" w:cs="Times New Roman"/>
                <w:color w:val="000000"/>
                <w:spacing w:val="-8"/>
                <w:sz w:val="24"/>
                <w:szCs w:val="24"/>
                <w:lang w:eastAsia="zh-CN"/>
              </w:rPr>
              <w:t>、</w:t>
            </w:r>
            <w:r>
              <w:rPr>
                <w:rFonts w:hint="default" w:ascii="Times New Roman" w:hAnsi="Times New Roman" w:cs="Times New Roman"/>
                <w:color w:val="000000"/>
                <w:spacing w:val="-8"/>
                <w:sz w:val="24"/>
                <w:szCs w:val="24"/>
              </w:rPr>
              <w:t>污泥</w:t>
            </w:r>
            <w:r>
              <w:rPr>
                <w:rFonts w:hint="eastAsia" w:cs="Times New Roman"/>
                <w:color w:val="000000"/>
                <w:spacing w:val="-8"/>
                <w:sz w:val="24"/>
                <w:szCs w:val="24"/>
                <w:lang w:eastAsia="zh-CN"/>
              </w:rPr>
              <w:t>、</w:t>
            </w:r>
            <w:r>
              <w:rPr>
                <w:rFonts w:hint="eastAsia" w:cs="Times New Roman"/>
                <w:color w:val="000000"/>
                <w:spacing w:val="-8"/>
                <w:sz w:val="24"/>
                <w:szCs w:val="24"/>
                <w:lang w:val="en-US" w:eastAsia="zh-CN"/>
              </w:rPr>
              <w:t>废紫外灯管、</w:t>
            </w:r>
            <w:r>
              <w:rPr>
                <w:rFonts w:hint="default" w:ascii="Times New Roman" w:hAnsi="Times New Roman" w:cs="Times New Roman"/>
                <w:color w:val="000000"/>
                <w:spacing w:val="-8"/>
                <w:sz w:val="24"/>
                <w:szCs w:val="24"/>
              </w:rPr>
              <w:t>废毛巾</w:t>
            </w:r>
            <w:r>
              <w:rPr>
                <w:rFonts w:hint="eastAsia" w:cs="Times New Roman"/>
                <w:color w:val="000000"/>
                <w:spacing w:val="-8"/>
                <w:sz w:val="24"/>
                <w:szCs w:val="24"/>
                <w:lang w:eastAsia="zh-CN"/>
              </w:rPr>
              <w:t>、</w:t>
            </w:r>
            <w:r>
              <w:rPr>
                <w:rFonts w:hint="default" w:ascii="Times New Roman" w:hAnsi="Times New Roman" w:cs="Times New Roman"/>
                <w:color w:val="000000"/>
                <w:spacing w:val="-8"/>
                <w:sz w:val="24"/>
                <w:szCs w:val="24"/>
              </w:rPr>
              <w:t>和生活垃圾。根据《危险化学品目录》和《建设项目环境风险评价技术导则》（HJ 169-2018）附录B中突发环境事件风险物质及临界值表，本项目涉及的</w:t>
            </w:r>
            <w:r>
              <w:rPr>
                <w:rFonts w:hint="eastAsia" w:cs="Times New Roman"/>
                <w:color w:val="000000"/>
                <w:spacing w:val="-8"/>
                <w:sz w:val="24"/>
                <w:szCs w:val="24"/>
                <w:lang w:val="en-US" w:eastAsia="zh-CN"/>
              </w:rPr>
              <w:t>风险</w:t>
            </w:r>
            <w:r>
              <w:rPr>
                <w:rFonts w:hint="default" w:ascii="Times New Roman" w:hAnsi="Times New Roman" w:cs="Times New Roman"/>
                <w:color w:val="000000"/>
                <w:spacing w:val="-8"/>
                <w:sz w:val="24"/>
                <w:szCs w:val="24"/>
              </w:rPr>
              <w:t>物质为</w:t>
            </w:r>
            <w:r>
              <w:rPr>
                <w:rFonts w:hint="eastAsia" w:cs="Times New Roman"/>
                <w:color w:val="000000"/>
                <w:spacing w:val="-8"/>
                <w:sz w:val="24"/>
                <w:szCs w:val="24"/>
                <w:lang w:val="en-US" w:eastAsia="zh-CN"/>
              </w:rPr>
              <w:t>酒精</w:t>
            </w:r>
            <w:r>
              <w:rPr>
                <w:rFonts w:hint="default" w:ascii="Times New Roman" w:hAnsi="Times New Roman" w:cs="Times New Roman"/>
                <w:color w:val="000000"/>
                <w:spacing w:val="-8"/>
                <w:sz w:val="24"/>
                <w:szCs w:val="24"/>
              </w:rPr>
              <w:t>。</w:t>
            </w:r>
            <w:r>
              <w:rPr>
                <w:rFonts w:hint="eastAsia" w:cs="Times New Roman"/>
                <w:color w:val="000000"/>
                <w:kern w:val="0"/>
                <w:sz w:val="24"/>
                <w:szCs w:val="24"/>
                <w:lang w:val="en-US" w:eastAsia="zh-CN"/>
              </w:rPr>
              <w:t>全厂</w:t>
            </w:r>
            <w:r>
              <w:rPr>
                <w:rFonts w:hint="default" w:ascii="Times New Roman" w:hAnsi="Times New Roman" w:eastAsia="宋体" w:cs="Times New Roman"/>
                <w:color w:val="000000"/>
                <w:kern w:val="0"/>
                <w:sz w:val="24"/>
                <w:szCs w:val="24"/>
              </w:rPr>
              <w:t>涉及的环境风险物质</w:t>
            </w:r>
            <w:r>
              <w:rPr>
                <w:rFonts w:hint="eastAsia" w:cs="Times New Roman"/>
                <w:color w:val="000000"/>
                <w:kern w:val="0"/>
                <w:sz w:val="24"/>
                <w:szCs w:val="24"/>
                <w:lang w:val="en-US" w:eastAsia="zh-CN"/>
              </w:rPr>
              <w:t>数量情况见</w:t>
            </w:r>
            <w:r>
              <w:rPr>
                <w:rFonts w:hint="default" w:ascii="Times New Roman" w:hAnsi="Times New Roman" w:eastAsia="宋体" w:cs="Times New Roman"/>
                <w:color w:val="000000"/>
                <w:kern w:val="0"/>
                <w:sz w:val="24"/>
                <w:szCs w:val="24"/>
              </w:rPr>
              <w:t>下表。</w:t>
            </w:r>
          </w:p>
          <w:p w14:paraId="6056C622">
            <w:pPr>
              <w:keepNext w:val="0"/>
              <w:keepLines w:val="0"/>
              <w:suppressLineNumbers w:val="0"/>
              <w:autoSpaceDE w:val="0"/>
              <w:autoSpaceDN w:val="0"/>
              <w:adjustRightInd w:val="0"/>
              <w:spacing w:before="0" w:beforeAutospacing="0" w:after="0" w:afterAutospacing="0" w:line="240" w:lineRule="auto"/>
              <w:ind w:left="0" w:right="0" w:firstLine="482" w:firstLineChars="200"/>
              <w:jc w:val="center"/>
              <w:rPr>
                <w:rFonts w:hint="default" w:ascii="Times New Roman" w:hAnsi="Times New Roman" w:eastAsia="宋体" w:cs="Times New Roman"/>
                <w:b/>
                <w:color w:val="000000"/>
                <w:kern w:val="0"/>
                <w:sz w:val="24"/>
                <w:szCs w:val="24"/>
              </w:rPr>
            </w:pPr>
            <w:r>
              <w:rPr>
                <w:rFonts w:hint="default" w:ascii="Times New Roman" w:hAnsi="Times New Roman" w:eastAsia="宋体" w:cs="Times New Roman"/>
                <w:b/>
                <w:color w:val="000000"/>
                <w:kern w:val="0"/>
                <w:sz w:val="24"/>
                <w:szCs w:val="24"/>
              </w:rPr>
              <w:t>表4-</w:t>
            </w:r>
            <w:r>
              <w:rPr>
                <w:rFonts w:hint="eastAsia" w:ascii="Times New Roman" w:hAnsi="Times New Roman" w:cs="Times New Roman"/>
                <w:b/>
                <w:color w:val="000000"/>
                <w:kern w:val="0"/>
                <w:sz w:val="24"/>
                <w:szCs w:val="24"/>
                <w:lang w:val="en-US" w:eastAsia="zh-CN"/>
              </w:rPr>
              <w:t>14</w:t>
            </w:r>
            <w:r>
              <w:rPr>
                <w:rFonts w:hint="default" w:ascii="Times New Roman" w:hAnsi="Times New Roman" w:eastAsia="宋体" w:cs="Times New Roman"/>
                <w:b/>
                <w:color w:val="000000"/>
                <w:kern w:val="0"/>
                <w:sz w:val="24"/>
                <w:szCs w:val="24"/>
              </w:rPr>
              <w:t xml:space="preserve">  建设项目危险物质数量和分布情况一览表</w:t>
            </w:r>
          </w:p>
          <w:tbl>
            <w:tblPr>
              <w:tblStyle w:val="28"/>
              <w:tblW w:w="8461"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812"/>
              <w:gridCol w:w="810"/>
              <w:gridCol w:w="1740"/>
              <w:gridCol w:w="1815"/>
              <w:gridCol w:w="2284"/>
            </w:tblGrid>
            <w:tr w14:paraId="44273A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12" w:type="dxa"/>
                  <w:vMerge w:val="restart"/>
                  <w:tcBorders>
                    <w:top w:val="single" w:color="auto" w:sz="4" w:space="0"/>
                    <w:left w:val="single" w:color="auto" w:sz="4" w:space="0"/>
                    <w:right w:val="single" w:color="auto" w:sz="4" w:space="0"/>
                    <w:tl2br w:val="nil"/>
                    <w:tr2bl w:val="nil"/>
                  </w:tcBorders>
                  <w:noWrap w:val="0"/>
                  <w:vAlign w:val="center"/>
                </w:tcPr>
                <w:p w14:paraId="68A9EB58">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rPr>
                    <w:t>名称</w:t>
                  </w:r>
                </w:p>
              </w:tc>
              <w:tc>
                <w:tcPr>
                  <w:tcW w:w="810" w:type="dxa"/>
                  <w:vMerge w:val="restart"/>
                  <w:tcBorders>
                    <w:top w:val="single" w:color="auto" w:sz="4" w:space="0"/>
                    <w:left w:val="single" w:color="auto" w:sz="4" w:space="0"/>
                    <w:right w:val="single" w:color="auto" w:sz="4" w:space="0"/>
                    <w:tl2br w:val="nil"/>
                    <w:tr2bl w:val="nil"/>
                  </w:tcBorders>
                  <w:noWrap w:val="0"/>
                  <w:vAlign w:val="center"/>
                </w:tcPr>
                <w:p w14:paraId="0EFEC4F2">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rPr>
                    <w:t>单位</w:t>
                  </w:r>
                </w:p>
              </w:tc>
              <w:tc>
                <w:tcPr>
                  <w:tcW w:w="583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595F4CFB">
                  <w:pPr>
                    <w:keepNext/>
                    <w:keepLines w:val="0"/>
                    <w:suppressLineNumbers w:val="0"/>
                    <w:overflowPunct w:val="0"/>
                    <w:snapToGrid w:val="0"/>
                    <w:spacing w:before="0" w:beforeAutospacing="0" w:after="0" w:afterAutospacing="0" w:line="240" w:lineRule="auto"/>
                    <w:ind w:left="0" w:right="0" w:firstLine="0"/>
                    <w:jc w:val="center"/>
                    <w:outlineLvl w:val="9"/>
                    <w:rPr>
                      <w:rFonts w:hint="eastAsia" w:ascii="Times New Roman" w:hAnsi="Times New Roman" w:eastAsia="宋体" w:cs="Times New Roman"/>
                      <w:b/>
                      <w:bCs w:val="0"/>
                      <w:kern w:val="2"/>
                      <w:sz w:val="21"/>
                      <w:szCs w:val="21"/>
                      <w:lang w:val="en-US" w:eastAsia="zh-CN"/>
                    </w:rPr>
                  </w:pPr>
                  <w:r>
                    <w:rPr>
                      <w:rFonts w:hint="eastAsia" w:cs="Times New Roman"/>
                      <w:b/>
                      <w:bCs w:val="0"/>
                      <w:kern w:val="2"/>
                      <w:sz w:val="21"/>
                      <w:szCs w:val="21"/>
                      <w:lang w:val="en-US" w:eastAsia="zh-CN"/>
                    </w:rPr>
                    <w:t>全厂</w:t>
                  </w:r>
                </w:p>
              </w:tc>
            </w:tr>
            <w:tr w14:paraId="194565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12" w:type="dxa"/>
                  <w:vMerge w:val="continue"/>
                  <w:tcBorders>
                    <w:left w:val="single" w:color="auto" w:sz="4" w:space="0"/>
                    <w:bottom w:val="single" w:color="auto" w:sz="4" w:space="0"/>
                    <w:right w:val="single" w:color="auto" w:sz="4" w:space="0"/>
                    <w:tl2br w:val="nil"/>
                    <w:tr2bl w:val="nil"/>
                  </w:tcBorders>
                  <w:noWrap w:val="0"/>
                  <w:vAlign w:val="center"/>
                </w:tcPr>
                <w:p w14:paraId="5524C314">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kern w:val="2"/>
                      <w:sz w:val="21"/>
                      <w:szCs w:val="21"/>
                    </w:rPr>
                  </w:pPr>
                </w:p>
              </w:tc>
              <w:tc>
                <w:tcPr>
                  <w:tcW w:w="810" w:type="dxa"/>
                  <w:vMerge w:val="continue"/>
                  <w:tcBorders>
                    <w:left w:val="single" w:color="auto" w:sz="4" w:space="0"/>
                    <w:bottom w:val="single" w:color="auto" w:sz="4" w:space="0"/>
                    <w:right w:val="single" w:color="auto" w:sz="4" w:space="0"/>
                    <w:tl2br w:val="nil"/>
                    <w:tr2bl w:val="nil"/>
                  </w:tcBorders>
                  <w:noWrap w:val="0"/>
                  <w:vAlign w:val="center"/>
                </w:tcPr>
                <w:p w14:paraId="0451C4A8">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kern w:val="2"/>
                      <w:sz w:val="21"/>
                      <w:szCs w:val="21"/>
                    </w:rPr>
                  </w:pPr>
                </w:p>
              </w:tc>
              <w:tc>
                <w:tcPr>
                  <w:tcW w:w="17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70CAB8">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kern w:val="2"/>
                      <w:sz w:val="21"/>
                      <w:szCs w:val="21"/>
                      <w:lang w:val="en-US" w:eastAsia="zh-CN"/>
                    </w:rPr>
                  </w:pPr>
                  <w:r>
                    <w:rPr>
                      <w:rFonts w:hint="default" w:ascii="Times New Roman" w:hAnsi="Times New Roman" w:eastAsia="宋体" w:cs="Times New Roman"/>
                      <w:b/>
                      <w:bCs w:val="0"/>
                      <w:kern w:val="2"/>
                      <w:sz w:val="21"/>
                      <w:szCs w:val="21"/>
                    </w:rPr>
                    <w:t>最大存在量qn/t</w:t>
                  </w:r>
                </w:p>
              </w:tc>
              <w:tc>
                <w:tcPr>
                  <w:tcW w:w="18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76DF56">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rPr>
                    <w:t>临界量Qn/t</w:t>
                  </w:r>
                </w:p>
              </w:tc>
              <w:tc>
                <w:tcPr>
                  <w:tcW w:w="22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BFEB6C">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rPr>
                    <w:t>该种危险物质Q值</w:t>
                  </w:r>
                </w:p>
              </w:tc>
            </w:tr>
            <w:tr w14:paraId="6384AE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14C833">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酒精（乙醇）</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723833">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t/a</w:t>
                  </w:r>
                </w:p>
              </w:tc>
              <w:tc>
                <w:tcPr>
                  <w:tcW w:w="17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52B1ED">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0.015</w:t>
                  </w:r>
                </w:p>
              </w:tc>
              <w:tc>
                <w:tcPr>
                  <w:tcW w:w="18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FDE720">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kern w:val="2"/>
                      <w:sz w:val="21"/>
                      <w:szCs w:val="21"/>
                      <w:lang w:val="en-US" w:eastAsia="zh-CN"/>
                    </w:rPr>
                  </w:pPr>
                  <w:r>
                    <w:rPr>
                      <w:rFonts w:hint="eastAsia" w:cs="Times New Roman"/>
                      <w:color w:val="000000"/>
                      <w:kern w:val="2"/>
                      <w:sz w:val="21"/>
                      <w:szCs w:val="21"/>
                      <w:lang w:val="en-US" w:eastAsia="zh-CN"/>
                    </w:rPr>
                    <w:t>500</w:t>
                  </w:r>
                </w:p>
              </w:tc>
              <w:tc>
                <w:tcPr>
                  <w:tcW w:w="22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0ADE9D">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0.0000</w:t>
                  </w:r>
                  <w:r>
                    <w:rPr>
                      <w:rFonts w:hint="eastAsia" w:cs="Times New Roman"/>
                      <w:kern w:val="2"/>
                      <w:sz w:val="21"/>
                      <w:szCs w:val="21"/>
                      <w:lang w:val="en-US" w:eastAsia="zh-CN"/>
                    </w:rPr>
                    <w:t>3</w:t>
                  </w:r>
                </w:p>
              </w:tc>
            </w:tr>
            <w:tr w14:paraId="21CCB8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362"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01625876">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项目Q值∑</w:t>
                  </w:r>
                </w:p>
              </w:tc>
              <w:tc>
                <w:tcPr>
                  <w:tcW w:w="18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1B0418">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c>
                <w:tcPr>
                  <w:tcW w:w="22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C8A76A">
                  <w:pPr>
                    <w:keepNext/>
                    <w:keepLines w:val="0"/>
                    <w:suppressLineNumbers w:val="0"/>
                    <w:overflowPunct w:val="0"/>
                    <w:snapToGrid w:val="0"/>
                    <w:spacing w:before="0" w:beforeAutospacing="0" w:after="0" w:afterAutospacing="0" w:line="240" w:lineRule="auto"/>
                    <w:ind w:left="0" w:right="0" w:firstLine="0"/>
                    <w:jc w:val="center"/>
                    <w:outlineLvl w:val="9"/>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0.0000</w:t>
                  </w:r>
                  <w:r>
                    <w:rPr>
                      <w:rFonts w:hint="eastAsia" w:cs="Times New Roman"/>
                      <w:kern w:val="2"/>
                      <w:sz w:val="21"/>
                      <w:szCs w:val="21"/>
                      <w:lang w:val="en-US" w:eastAsia="zh-CN"/>
                    </w:rPr>
                    <w:t>3</w:t>
                  </w:r>
                </w:p>
              </w:tc>
            </w:tr>
          </w:tbl>
          <w:p w14:paraId="2B6D0409">
            <w:pPr>
              <w:pStyle w:val="71"/>
              <w:keepNext w:val="0"/>
              <w:keepLines w:val="0"/>
              <w:suppressLineNumbers w:val="0"/>
              <w:spacing w:before="0" w:beforeAutospacing="0" w:after="0" w:afterAutospacing="0"/>
              <w:ind w:left="0" w:right="0" w:firstLine="480"/>
              <w:rPr>
                <w:rFonts w:hint="eastAsia" w:ascii="Times New Roman" w:hAnsi="Times New Roman" w:cs="Times New Roman"/>
                <w:color w:val="000000"/>
                <w:sz w:val="24"/>
                <w:szCs w:val="24"/>
              </w:rPr>
            </w:pPr>
            <w:r>
              <w:rPr>
                <w:rFonts w:hint="default" w:ascii="Times New Roman" w:hAnsi="Times New Roman" w:cs="Times New Roman"/>
                <w:color w:val="000000"/>
                <w:kern w:val="0"/>
                <w:sz w:val="24"/>
                <w:szCs w:val="24"/>
              </w:rPr>
              <w:t>本项目Q=</w:t>
            </w:r>
            <w:r>
              <w:rPr>
                <w:rFonts w:hint="default" w:ascii="Times New Roman" w:hAnsi="Times New Roman" w:cs="Times New Roman"/>
                <w:color w:val="000000"/>
                <w:kern w:val="0"/>
                <w:sz w:val="24"/>
                <w:szCs w:val="24"/>
                <w:lang w:val="en-US" w:eastAsia="zh-CN"/>
              </w:rPr>
              <w:t>0.0000</w:t>
            </w:r>
            <w:r>
              <w:rPr>
                <w:rFonts w:hint="eastAsia" w:cs="Times New Roman"/>
                <w:color w:val="000000"/>
                <w:kern w:val="0"/>
                <w:sz w:val="24"/>
                <w:szCs w:val="24"/>
                <w:lang w:val="en-US" w:eastAsia="zh-CN"/>
              </w:rPr>
              <w:t>3</w:t>
            </w:r>
            <w:r>
              <w:rPr>
                <w:rFonts w:hint="default" w:ascii="Times New Roman" w:hAnsi="Times New Roman" w:cs="Times New Roman"/>
                <w:color w:val="000000"/>
                <w:kern w:val="0"/>
                <w:sz w:val="24"/>
                <w:szCs w:val="24"/>
              </w:rPr>
              <w:t>＜1，因此，该项目环境风险潜势为Ⅰ</w:t>
            </w:r>
            <w:r>
              <w:rPr>
                <w:rFonts w:hint="eastAsia" w:ascii="Times New Roman" w:hAnsi="Times New Roman" w:cs="Times New Roman"/>
                <w:color w:val="000000"/>
                <w:kern w:val="0"/>
                <w:sz w:val="24"/>
                <w:szCs w:val="24"/>
              </w:rPr>
              <w:t>。</w:t>
            </w:r>
          </w:p>
          <w:p w14:paraId="31F2F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rPr>
            </w:pPr>
            <w:r>
              <w:rPr>
                <w:rFonts w:hint="eastAsia" w:ascii="Times New Roman" w:hAnsi="Times New Roman" w:cs="Times New Roman"/>
                <w:color w:val="auto"/>
                <w:sz w:val="24"/>
                <w:szCs w:val="24"/>
              </w:rPr>
              <w:t>（3）</w:t>
            </w:r>
            <w:r>
              <w:rPr>
                <w:rFonts w:hint="default" w:ascii="Times New Roman" w:hAnsi="Times New Roman" w:cs="Times New Roman"/>
                <w:color w:val="auto"/>
                <w:sz w:val="24"/>
                <w:szCs w:val="24"/>
              </w:rPr>
              <w:t>风险评价等级确定</w:t>
            </w:r>
          </w:p>
          <w:p w14:paraId="64910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Times New Roman" w:cs="宋体"/>
                <w:color w:val="000000"/>
                <w:sz w:val="24"/>
                <w:szCs w:val="24"/>
              </w:rPr>
            </w:pPr>
            <w:r>
              <w:rPr>
                <w:rFonts w:hint="eastAsia" w:ascii="宋体" w:hAnsi="Times New Roman" w:cs="宋体"/>
                <w:color w:val="000000"/>
                <w:sz w:val="24"/>
                <w:szCs w:val="24"/>
              </w:rPr>
              <w:t>根据《建设项目环境风险评价技术导则》</w:t>
            </w:r>
            <w:r>
              <w:rPr>
                <w:rFonts w:hint="default" w:ascii="Times New Roman" w:hAnsi="Times New Roman" w:cs="Times New Roman"/>
                <w:color w:val="000000"/>
                <w:sz w:val="24"/>
                <w:szCs w:val="24"/>
              </w:rPr>
              <w:t>（HJ 169-2018）</w:t>
            </w:r>
            <w:r>
              <w:rPr>
                <w:rFonts w:hint="eastAsia" w:ascii="宋体" w:hAnsi="Times New Roman" w:cs="宋体"/>
                <w:color w:val="000000"/>
                <w:sz w:val="24"/>
                <w:szCs w:val="24"/>
              </w:rPr>
              <w:t>，本项目大气环境风险潜势为</w:t>
            </w:r>
            <w:r>
              <w:rPr>
                <w:rFonts w:hint="default" w:ascii="Times New Roman" w:hAnsi="Times New Roman" w:cs="Times New Roman"/>
                <w:color w:val="000000"/>
                <w:sz w:val="24"/>
                <w:szCs w:val="24"/>
              </w:rPr>
              <w:t>I</w:t>
            </w:r>
            <w:r>
              <w:rPr>
                <w:rFonts w:hint="eastAsia" w:ascii="宋体" w:hAnsi="Times New Roman" w:cs="宋体"/>
                <w:color w:val="000000"/>
                <w:sz w:val="24"/>
                <w:szCs w:val="24"/>
              </w:rPr>
              <w:t xml:space="preserve">。建设项目风险评价工作等级划分见下表。 </w:t>
            </w:r>
          </w:p>
          <w:p w14:paraId="0595CAE4">
            <w:pPr>
              <w:pStyle w:val="36"/>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textAlignment w:val="auto"/>
              <w:rPr>
                <w:rFonts w:hint="default" w:cs="Times New Roman"/>
              </w:rPr>
            </w:pPr>
            <w:r>
              <w:rPr>
                <w:rFonts w:hint="default" w:cs="Times New Roman"/>
              </w:rPr>
              <w:t>表</w:t>
            </w:r>
            <w:r>
              <w:rPr>
                <w:rFonts w:hint="eastAsia" w:cs="Times New Roman"/>
              </w:rPr>
              <w:t>4-</w:t>
            </w:r>
            <w:r>
              <w:rPr>
                <w:rFonts w:hint="eastAsia" w:cs="Times New Roman"/>
                <w:lang w:val="en-US" w:eastAsia="zh-CN"/>
              </w:rPr>
              <w:t xml:space="preserve">15  </w:t>
            </w:r>
            <w:r>
              <w:rPr>
                <w:rFonts w:hint="default" w:cs="Times New Roman"/>
              </w:rPr>
              <w:t>评价工作等级划分</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727"/>
              <w:gridCol w:w="1592"/>
              <w:gridCol w:w="1876"/>
              <w:gridCol w:w="1588"/>
              <w:gridCol w:w="1675"/>
            </w:tblGrid>
            <w:tr w14:paraId="1C30FA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8" w:hRule="atLeast"/>
                <w:jc w:val="center"/>
              </w:trPr>
              <w:tc>
                <w:tcPr>
                  <w:tcW w:w="1021" w:type="pct"/>
                  <w:tcBorders>
                    <w:tl2br w:val="nil"/>
                    <w:tr2bl w:val="nil"/>
                  </w:tcBorders>
                  <w:noWrap w:val="0"/>
                  <w:vAlign w:val="center"/>
                </w:tcPr>
                <w:p w14:paraId="0E28C8CA">
                  <w:pPr>
                    <w:pStyle w:val="6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环境风险潜势</w:t>
                  </w:r>
                </w:p>
              </w:tc>
              <w:tc>
                <w:tcPr>
                  <w:tcW w:w="941" w:type="pct"/>
                  <w:tcBorders>
                    <w:tl2br w:val="nil"/>
                    <w:tr2bl w:val="nil"/>
                  </w:tcBorders>
                  <w:noWrap w:val="0"/>
                  <w:vAlign w:val="center"/>
                </w:tcPr>
                <w:p w14:paraId="2837E009">
                  <w:pPr>
                    <w:pStyle w:val="6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IV、IV+</w:t>
                  </w:r>
                </w:p>
              </w:tc>
              <w:tc>
                <w:tcPr>
                  <w:tcW w:w="1109" w:type="pct"/>
                  <w:tcBorders>
                    <w:tl2br w:val="nil"/>
                    <w:tr2bl w:val="nil"/>
                  </w:tcBorders>
                  <w:noWrap w:val="0"/>
                  <w:vAlign w:val="center"/>
                </w:tcPr>
                <w:p w14:paraId="3F00A836">
                  <w:pPr>
                    <w:pStyle w:val="6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III</w:t>
                  </w:r>
                </w:p>
              </w:tc>
              <w:tc>
                <w:tcPr>
                  <w:tcW w:w="939" w:type="pct"/>
                  <w:tcBorders>
                    <w:tl2br w:val="nil"/>
                    <w:tr2bl w:val="nil"/>
                  </w:tcBorders>
                  <w:noWrap w:val="0"/>
                  <w:vAlign w:val="center"/>
                </w:tcPr>
                <w:p w14:paraId="013A536B">
                  <w:pPr>
                    <w:pStyle w:val="6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II</w:t>
                  </w:r>
                </w:p>
              </w:tc>
              <w:tc>
                <w:tcPr>
                  <w:tcW w:w="988" w:type="pct"/>
                  <w:tcBorders>
                    <w:tl2br w:val="nil"/>
                    <w:tr2bl w:val="nil"/>
                  </w:tcBorders>
                  <w:noWrap w:val="0"/>
                  <w:vAlign w:val="center"/>
                </w:tcPr>
                <w:p w14:paraId="70378669">
                  <w:pPr>
                    <w:pStyle w:val="6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I</w:t>
                  </w:r>
                </w:p>
              </w:tc>
            </w:tr>
            <w:tr w14:paraId="206708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8" w:hRule="atLeast"/>
                <w:jc w:val="center"/>
              </w:trPr>
              <w:tc>
                <w:tcPr>
                  <w:tcW w:w="1021" w:type="pct"/>
                  <w:tcBorders>
                    <w:tl2br w:val="nil"/>
                    <w:tr2bl w:val="nil"/>
                  </w:tcBorders>
                  <w:noWrap w:val="0"/>
                  <w:vAlign w:val="center"/>
                </w:tcPr>
                <w:p w14:paraId="2D894697">
                  <w:pPr>
                    <w:pStyle w:val="6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评价工作等级</w:t>
                  </w:r>
                </w:p>
              </w:tc>
              <w:tc>
                <w:tcPr>
                  <w:tcW w:w="941" w:type="pct"/>
                  <w:tcBorders>
                    <w:tl2br w:val="nil"/>
                    <w:tr2bl w:val="nil"/>
                  </w:tcBorders>
                  <w:noWrap w:val="0"/>
                  <w:vAlign w:val="center"/>
                </w:tcPr>
                <w:p w14:paraId="38C47625">
                  <w:pPr>
                    <w:pStyle w:val="6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w:t>
                  </w:r>
                </w:p>
              </w:tc>
              <w:tc>
                <w:tcPr>
                  <w:tcW w:w="1109" w:type="pct"/>
                  <w:tcBorders>
                    <w:tl2br w:val="nil"/>
                    <w:tr2bl w:val="nil"/>
                  </w:tcBorders>
                  <w:noWrap w:val="0"/>
                  <w:vAlign w:val="center"/>
                </w:tcPr>
                <w:p w14:paraId="56FB49E6">
                  <w:pPr>
                    <w:pStyle w:val="6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w:t>
                  </w:r>
                </w:p>
              </w:tc>
              <w:tc>
                <w:tcPr>
                  <w:tcW w:w="939" w:type="pct"/>
                  <w:tcBorders>
                    <w:tl2br w:val="nil"/>
                    <w:tr2bl w:val="nil"/>
                  </w:tcBorders>
                  <w:noWrap w:val="0"/>
                  <w:vAlign w:val="center"/>
                </w:tcPr>
                <w:p w14:paraId="555A83D2">
                  <w:pPr>
                    <w:pStyle w:val="6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w:t>
                  </w:r>
                </w:p>
              </w:tc>
              <w:tc>
                <w:tcPr>
                  <w:tcW w:w="988" w:type="pct"/>
                  <w:tcBorders>
                    <w:tl2br w:val="nil"/>
                    <w:tr2bl w:val="nil"/>
                  </w:tcBorders>
                  <w:noWrap w:val="0"/>
                  <w:vAlign w:val="center"/>
                </w:tcPr>
                <w:p w14:paraId="34A2C530">
                  <w:pPr>
                    <w:pStyle w:val="6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简单分析a</w:t>
                  </w:r>
                </w:p>
              </w:tc>
            </w:tr>
            <w:tr w14:paraId="4E46D8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5000" w:type="pct"/>
                  <w:gridSpan w:val="5"/>
                  <w:tcBorders>
                    <w:tl2br w:val="nil"/>
                    <w:tr2bl w:val="nil"/>
                  </w:tcBorders>
                  <w:noWrap w:val="0"/>
                  <w:vAlign w:val="center"/>
                </w:tcPr>
                <w:p w14:paraId="7D315F85">
                  <w:pPr>
                    <w:pStyle w:val="6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A是相对于详细评价工作内容而言，在描述危险物质、环境影响途径、环境危害后果、风险防范措施等方面给出定性的说明。见附录A。</w:t>
                  </w:r>
                </w:p>
              </w:tc>
            </w:tr>
          </w:tbl>
          <w:p w14:paraId="3FE5A5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rPr>
            </w:pPr>
            <w:r>
              <w:rPr>
                <w:rFonts w:hint="eastAsia" w:ascii="Times New Roman" w:hAnsi="Times New Roman" w:cs="Times New Roman"/>
                <w:color w:val="000000"/>
                <w:sz w:val="24"/>
                <w:szCs w:val="24"/>
              </w:rPr>
              <w:t>本项目风险潜势为</w:t>
            </w:r>
            <w:r>
              <w:rPr>
                <w:rFonts w:hint="default" w:ascii="Times New Roman" w:hAnsi="Times New Roman" w:cs="Times New Roman"/>
                <w:color w:val="000000"/>
                <w:sz w:val="24"/>
                <w:szCs w:val="24"/>
              </w:rPr>
              <w:t>I</w:t>
            </w:r>
            <w:r>
              <w:rPr>
                <w:rFonts w:hint="eastAsia" w:ascii="Times New Roman" w:hAnsi="Times New Roman" w:cs="Times New Roman"/>
                <w:color w:val="000000"/>
                <w:sz w:val="24"/>
                <w:szCs w:val="24"/>
              </w:rPr>
              <w:t>，对照上表，本项目无需设置风险专项评价，仅进行简单分析。</w:t>
            </w:r>
          </w:p>
          <w:p w14:paraId="2AE91929">
            <w:pPr>
              <w:keepNext w:val="0"/>
              <w:keepLines w:val="0"/>
              <w:pageBreakBefore w:val="0"/>
              <w:widowControl/>
              <w:suppressLineNumbers w:val="0"/>
              <w:kinsoku/>
              <w:overflowPunct/>
              <w:bidi w:val="0"/>
              <w:spacing w:before="0" w:beforeAutospacing="0" w:after="0" w:afterAutospacing="0" w:line="360" w:lineRule="auto"/>
              <w:ind w:left="0" w:right="0"/>
              <w:textAlignment w:val="auto"/>
              <w:rPr>
                <w:rFonts w:hint="default" w:ascii="Times New Roman" w:hAnsi="Times New Roman" w:eastAsia="宋体" w:cs="Times New Roman"/>
                <w:b/>
                <w:bCs/>
                <w:snapToGrid w:val="0"/>
                <w:color w:val="000000"/>
                <w:sz w:val="24"/>
                <w:szCs w:val="24"/>
              </w:rPr>
            </w:pPr>
            <w:r>
              <w:rPr>
                <w:rFonts w:hint="default" w:ascii="Times New Roman" w:hAnsi="Times New Roman" w:eastAsia="宋体" w:cs="Times New Roman"/>
                <w:b/>
                <w:bCs/>
                <w:snapToGrid w:val="0"/>
                <w:color w:val="000000"/>
                <w:sz w:val="24"/>
                <w:szCs w:val="24"/>
              </w:rPr>
              <w:t>6.</w:t>
            </w:r>
            <w:r>
              <w:rPr>
                <w:rFonts w:hint="default" w:ascii="Times New Roman" w:hAnsi="Times New Roman" w:eastAsia="宋体" w:cs="Times New Roman"/>
                <w:b/>
                <w:bCs/>
                <w:snapToGrid w:val="0"/>
                <w:color w:val="000000"/>
                <w:sz w:val="24"/>
                <w:szCs w:val="24"/>
                <w:lang w:val="en-US" w:eastAsia="zh-CN"/>
              </w:rPr>
              <w:t>2</w:t>
            </w:r>
            <w:r>
              <w:rPr>
                <w:rFonts w:hint="default" w:ascii="Times New Roman" w:hAnsi="Times New Roman" w:eastAsia="宋体" w:cs="Times New Roman"/>
                <w:b/>
                <w:bCs/>
                <w:snapToGrid w:val="0"/>
                <w:color w:val="000000"/>
                <w:sz w:val="24"/>
                <w:szCs w:val="24"/>
              </w:rPr>
              <w:t>环境风险识别</w:t>
            </w:r>
          </w:p>
          <w:p w14:paraId="754D5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本项目运营期存在的主要环境风险为火灾及爆炸伴生和次生污染物对当地大气环境及群众身体健康产生不利影响。</w:t>
            </w:r>
          </w:p>
          <w:p w14:paraId="37AF4D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6.3环境风险分析</w:t>
            </w:r>
          </w:p>
          <w:p w14:paraId="451AE6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eastAsia="zh-CN"/>
              </w:rPr>
              <w:t>厂房供电线路老化、破裂引起的火灾；</w:t>
            </w:r>
            <w:r>
              <w:rPr>
                <w:rFonts w:hint="default" w:ascii="Times New Roman" w:hAnsi="Times New Roman" w:eastAsia="宋体" w:cs="Times New Roman"/>
                <w:color w:val="auto"/>
                <w:kern w:val="0"/>
                <w:sz w:val="24"/>
                <w:szCs w:val="24"/>
                <w:lang w:val="en-US" w:eastAsia="zh-CN"/>
              </w:rPr>
              <w:t>项目产生的危废随生活垃圾或一般固废流失出厂</w:t>
            </w:r>
            <w:r>
              <w:rPr>
                <w:rFonts w:hint="eastAsia" w:ascii="Times New Roman" w:hAnsi="Times New Roman" w:eastAsia="宋体" w:cs="Times New Roman"/>
                <w:color w:val="auto"/>
                <w:kern w:val="0"/>
                <w:sz w:val="24"/>
                <w:szCs w:val="24"/>
                <w:lang w:val="en-US" w:eastAsia="zh-CN"/>
              </w:rPr>
              <w:t>引起大气及水环境的污染；</w:t>
            </w:r>
            <w:r>
              <w:rPr>
                <w:rFonts w:hint="default" w:ascii="Times New Roman" w:hAnsi="Times New Roman" w:eastAsia="宋体" w:cs="Times New Roman"/>
                <w:sz w:val="24"/>
                <w:szCs w:val="24"/>
                <w:lang w:val="en-US" w:eastAsia="zh-CN"/>
              </w:rPr>
              <w:t>消防废水泄漏引起地下水及局部土壤污染；</w:t>
            </w:r>
            <w:r>
              <w:rPr>
                <w:rFonts w:hint="default" w:ascii="Times New Roman" w:hAnsi="Times New Roman" w:eastAsia="宋体" w:cs="Times New Roman"/>
                <w:b w:val="0"/>
                <w:bCs/>
                <w:color w:val="auto"/>
                <w:sz w:val="24"/>
                <w:szCs w:val="24"/>
                <w:lang w:val="en-US" w:eastAsia="zh-CN"/>
              </w:rPr>
              <w:t>由于此类事件发生概率很小，建设单位加强管理，重点地区设置危险标志，禁止明火；且由专人定期巡检后可有效减少风险事故发生。</w:t>
            </w:r>
          </w:p>
          <w:p w14:paraId="5362C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6.4风险防范措施</w:t>
            </w:r>
            <w:r>
              <w:rPr>
                <w:rFonts w:hint="default" w:ascii="Times New Roman" w:hAnsi="Times New Roman" w:eastAsia="宋体" w:cs="Times New Roman"/>
                <w:color w:val="auto"/>
                <w:sz w:val="24"/>
                <w:szCs w:val="24"/>
                <w:lang w:val="en-US" w:eastAsia="zh-CN"/>
              </w:rPr>
              <w:t xml:space="preserve"> </w:t>
            </w:r>
          </w:p>
          <w:p w14:paraId="69EF431B">
            <w:pPr>
              <w:keepNext w:val="0"/>
              <w:keepLines w:val="0"/>
              <w:pageBreakBefore w:val="0"/>
              <w:widowControl/>
              <w:suppressLineNumbers w:val="0"/>
              <w:kinsoku/>
              <w:overflowPunct/>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val="en-US" w:eastAsia="zh-CN"/>
              </w:rPr>
              <w:t>环评要求按照以下措施防范可能发生的环境风险：</w:t>
            </w:r>
          </w:p>
          <w:p w14:paraId="31772521">
            <w:pPr>
              <w:keepNext w:val="0"/>
              <w:keepLines w:val="0"/>
              <w:pageBreakBefore w:val="0"/>
              <w:widowControl/>
              <w:suppressLineNumbers w:val="0"/>
              <w:kinsoku/>
              <w:overflowPunct/>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eastAsia="zh-CN" w:bidi="ar"/>
              </w:rPr>
              <w:t>（</w:t>
            </w:r>
            <w:r>
              <w:rPr>
                <w:rFonts w:hint="eastAsia" w:cs="Times New Roman"/>
                <w:color w:val="auto"/>
                <w:sz w:val="24"/>
                <w:szCs w:val="24"/>
                <w:lang w:val="en-US" w:eastAsia="zh-CN" w:bidi="ar"/>
              </w:rPr>
              <w:t>1</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电气设备故障引起的火灾</w:t>
            </w:r>
          </w:p>
          <w:p w14:paraId="2C09F1D7">
            <w:pPr>
              <w:keepNext w:val="0"/>
              <w:keepLines w:val="0"/>
              <w:pageBreakBefore w:val="0"/>
              <w:widowControl/>
              <w:suppressLineNumbers w:val="0"/>
              <w:kinsoku/>
              <w:overflowPunct/>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企业员工在厂区吸烟或生产过程中不慎造成电气设备故障等，可能引起火灾，有时会发生火灾连片使大批设备烧毁。火灾是通过放出辐射热影响周围环境。如果辐射热的能量足够大，可引起其他可燃物燃烧。物质在燃烧过程中会产生大量浓烟和烟尘，其中含有大量的一氧化碳、二氧化碳及其他有毒气体，带来大气环境污染。</w:t>
            </w:r>
          </w:p>
          <w:p w14:paraId="2324CFCD">
            <w:pPr>
              <w:keepNext w:val="0"/>
              <w:keepLines w:val="0"/>
              <w:pageBreakBefore w:val="0"/>
              <w:widowControl/>
              <w:suppressLineNumbers w:val="0"/>
              <w:kinsoku/>
              <w:overflowPunct/>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①厂区内尤其是生产车间和仓库</w:t>
            </w:r>
            <w:r>
              <w:rPr>
                <w:rFonts w:hint="default" w:ascii="Times New Roman" w:hAnsi="Times New Roman" w:eastAsia="宋体" w:cs="Times New Roman"/>
                <w:color w:val="auto"/>
                <w:sz w:val="24"/>
                <w:szCs w:val="24"/>
                <w:lang w:val="en-US" w:eastAsia="zh-CN" w:bidi="ar"/>
              </w:rPr>
              <w:t>禁止明火及</w:t>
            </w:r>
            <w:r>
              <w:rPr>
                <w:rFonts w:hint="default" w:ascii="Times New Roman" w:hAnsi="Times New Roman" w:eastAsia="宋体" w:cs="Times New Roman"/>
                <w:color w:val="auto"/>
                <w:sz w:val="24"/>
                <w:szCs w:val="24"/>
                <w:lang w:bidi="ar"/>
              </w:rPr>
              <w:t>吸烟。</w:t>
            </w:r>
          </w:p>
          <w:p w14:paraId="71AEFCBF">
            <w:pPr>
              <w:keepNext w:val="0"/>
              <w:keepLines w:val="0"/>
              <w:pageBreakBefore w:val="0"/>
              <w:suppressLineNumbers w:val="0"/>
              <w:kinsoku/>
              <w:overflowPunct/>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 xml:space="preserve">②定期检查设备的运行状况，发现不良问题及时解决；同时注重加强安全教育，提高职工的安全意识和安全防范能力。 </w:t>
            </w:r>
          </w:p>
          <w:p w14:paraId="399FC2A7">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③按照相关规定设置逃生系统，设置足够并匹配的消防器材及备用应急电源。</w:t>
            </w:r>
          </w:p>
          <w:p w14:paraId="5C3C1B3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）粉尘爆炸</w:t>
            </w:r>
            <w:r>
              <w:rPr>
                <w:rFonts w:hint="default" w:ascii="Times New Roman" w:hAnsi="Times New Roman" w:eastAsia="宋体" w:cs="Times New Roman"/>
                <w:color w:val="auto"/>
                <w:sz w:val="24"/>
                <w:szCs w:val="24"/>
              </w:rPr>
              <w:t>防范措施</w:t>
            </w:r>
          </w:p>
          <w:p w14:paraId="5CE1FA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粉尘爆炸具有极强的破坏性。粉尘爆炸涉及的范围很广，煤炭、化工、医药加工、木材加工、粮食和饲料加工等部门都时有发生。</w:t>
            </w:r>
          </w:p>
          <w:p w14:paraId="3483C4CE">
            <w:pPr>
              <w:keepNext w:val="0"/>
              <w:keepLines w:val="0"/>
              <w:pageBreakBefore w:val="0"/>
              <w:suppressLineNumbers w:val="0"/>
              <w:kinsoku/>
              <w:overflowPunct/>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i w:val="0"/>
                <w:iCs w:val="0"/>
                <w:caps w:val="0"/>
                <w:color w:val="auto"/>
                <w:spacing w:val="0"/>
                <w:sz w:val="24"/>
                <w:szCs w:val="24"/>
              </w:rPr>
            </w:pPr>
            <w:r>
              <w:rPr>
                <w:rFonts w:hint="default" w:ascii="Times New Roman" w:hAnsi="Times New Roman" w:eastAsia="宋体" w:cs="Times New Roman"/>
                <w:color w:val="auto"/>
                <w:sz w:val="24"/>
                <w:szCs w:val="24"/>
              </w:rPr>
              <w:t>其次，容易产生二次爆炸。第一次爆炸气浪把沉积在设备或地面上的粉尘吹扬起来，在爆炸后的短时间内爆炸中心区会形成负压，周围的新鲜空气便由外向内填补进来，形成所谓的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返回风</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，与扬起的粉尘混合，在第一次爆炸的余火引燃下引起第二次爆炸。二次爆炸时，粉尘浓度一般比一次爆炸时高得多，故二次爆炸威力比第一次要大得多。</w:t>
            </w:r>
          </w:p>
          <w:p w14:paraId="02752346">
            <w:pPr>
              <w:keepNext w:val="0"/>
              <w:keepLines w:val="0"/>
              <w:pageBreakBefore w:val="0"/>
              <w:suppressLineNumbers w:val="0"/>
              <w:kinsoku/>
              <w:overflowPunct/>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①</w:t>
            </w:r>
            <w:r>
              <w:rPr>
                <w:rFonts w:hint="default" w:ascii="Times New Roman" w:hAnsi="Times New Roman" w:eastAsia="宋体" w:cs="Times New Roman"/>
                <w:color w:val="auto"/>
                <w:sz w:val="24"/>
                <w:szCs w:val="24"/>
              </w:rPr>
              <w:t>消除粉尘源。可用的除尘措施有封闭设备、通风排尘、抽风排尘或润湿降尘等。除尘设备的风机应装在清洁空气一侧。其中易燃粉尘不能用电除尘设备，金属粉尘不能用湿式除尘设备。设备启动时应先开除尘设备，后开主机；停机时则正好相反，防止粉尘飞扬。粉尘车间各部位应平滑，尽量避免设置一些无关设施（如窗幕、门帘等）。管线等尽量不要穿越粉尘车间，宜在墙内敷设，防止粉尘积聚，另外，在条件允许下，在粉尘车间喷雾状水，在被粉碎的物质中增加水分也能促使粉尘沉降，防止形成粉尘云。此外，在车间内做好清洁工作，及时人工清扫，也是消除粉尘源的好方法。</w:t>
            </w:r>
          </w:p>
          <w:p w14:paraId="667721E0">
            <w:pPr>
              <w:keepNext w:val="0"/>
              <w:keepLines w:val="0"/>
              <w:pageBreakBefore w:val="0"/>
              <w:suppressLineNumbers w:val="0"/>
              <w:kinsoku/>
              <w:overflowPunct/>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严格控制点火源。消除点火源是预防粉尘爆炸的最实用、最有效的措施。在常见点火源中，电火花、静电、摩擦火花、明火、高温物体表面、焊接切割火花等是引起粉尘爆炸的主要原因。因此，应对此高度重视。场所的电气设备应严格按照《爆炸和火灾危险环境电力装置设计规范》进行设计、安装，达到整体防爆要求，尽量不安装或少安装易产生静电，易产生火花的机械设备，并采取静电接地保护措施。被粉碎的物质必须经过严格筛选、去石和吸铁处理，以免杂质进入粉碎机内产生火花。</w:t>
            </w:r>
          </w:p>
          <w:p w14:paraId="35AD816E">
            <w:pPr>
              <w:keepNext w:val="0"/>
              <w:keepLines w:val="0"/>
              <w:pageBreakBefore w:val="0"/>
              <w:suppressLineNumbers w:val="0"/>
              <w:kinsoku/>
              <w:overflowPunct/>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采取可靠有效的防护措施。对于较小的粉碎装置，可以增加其强度，并要考虑防止爆炸火焰通过连接处向外传播。为减小爆炸的破坏性可设置泄压装置，如对车间采用轻质屋顶、墙体或增开门窗等。但应注意，泄压装置宜靠近易发生爆炸的部位，不要面向人员集中的场所和主要交通要道；为减少助燃气体含量，在粉尘与助燃气体混合气中添加惰性气体（如氮气），减少氧含量，也是可行方法之一。</w:t>
            </w:r>
          </w:p>
          <w:p w14:paraId="09A26AEC">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aps w:val="0"/>
                <w:color w:val="auto"/>
                <w:spacing w:val="0"/>
                <w:sz w:val="24"/>
                <w:szCs w:val="24"/>
                <w:shd w:val="clear" w:color="auto" w:fill="FFFFFF"/>
              </w:rPr>
              <w:t> </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）环境安全管理措施</w:t>
            </w:r>
          </w:p>
          <w:p w14:paraId="3AC171E9">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安全专用设施和设备（如安全防护设施、通风设施、消防设施、应急救援器材及急救药品等）以及劳防用品，配备专人维修和管理，确保这些设施、设备正常运行和有效使用。定期检查设备的运行状况，发现不良问题及时解决；同时注重加强安全教育，提高职工的安全意识和安全防范能力。按照相关规定设置逃生系统，设置足够并匹配的消防器材及备用应急电源。</w:t>
            </w:r>
          </w:p>
          <w:p w14:paraId="5DC6A90D">
            <w:pPr>
              <w:keepNext w:val="0"/>
              <w:keepLines w:val="0"/>
              <w:pageBreakBefore w:val="0"/>
              <w:suppressLineNumbers w:val="0"/>
              <w:kinsoku/>
              <w:overflowPunct/>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废气事故风险防范措施</w:t>
            </w:r>
          </w:p>
          <w:p w14:paraId="20B1E72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①平时加强废气处理设施的维护保养，及时发现处理设备的隐患，并及时进行维修确保废气处理系统正常运行，开、停、检修要有预案，有严密周全的计划，确保不发生事故排放，或使影响最小；</w:t>
            </w:r>
          </w:p>
          <w:p w14:paraId="603A278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②建立健全的环保机构，对管理人员和技术人员进行岗位培训，对废气处理实行全过程跟踪控制；</w:t>
            </w:r>
          </w:p>
          <w:p w14:paraId="5B0AEC9F">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③本项目应设有备用电源和备用处理设备，以备停电或设备出现故障时保障废气全部抽入净化系统进行处理以达标排放。</w:t>
            </w:r>
          </w:p>
          <w:p w14:paraId="6330675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④废气处理设施必须确保日常运行，如发现人为原因不开启废气治理设施，责任人应受行政和经济处罚，并承担事故排放责任及相应的法律责任。若末端治理措施因故不能运行，则生产必须停止；</w:t>
            </w:r>
          </w:p>
          <w:p w14:paraId="131AC60E">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⑤为确保处理效率，在厂房设备检修期间，末端处理系统也应同时进行检修，日常应有专人负责进行维护。</w:t>
            </w:r>
          </w:p>
          <w:p w14:paraId="54D866D5">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）固废事故风险防范措施</w:t>
            </w:r>
          </w:p>
          <w:p w14:paraId="6FB2AF3F">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本项目固废暂存的一般固废暂存处和危废暂存间依托，分类收集暂存后，一般工业固废综合利用，危险废物委托有资质单位进行处置。固废得到有效处置，不会对环境产生二次污染。</w:t>
            </w:r>
          </w:p>
          <w:p w14:paraId="1250D8A4">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color w:val="auto"/>
                <w:sz w:val="24"/>
              </w:rPr>
              <w:t>根据调查</w:t>
            </w:r>
            <w:r>
              <w:rPr>
                <w:rFonts w:hint="eastAsia"/>
                <w:color w:val="auto"/>
                <w:sz w:val="24"/>
                <w:lang w:eastAsia="zh-CN"/>
              </w:rPr>
              <w:t>，</w:t>
            </w:r>
            <w:r>
              <w:rPr>
                <w:rFonts w:hint="default"/>
                <w:color w:val="auto"/>
                <w:sz w:val="24"/>
              </w:rPr>
              <w:t>危废库已按照《危险废物储存污染控制标准》的相关要求进行设计实施，具体落实情况如下</w:t>
            </w:r>
            <w:r>
              <w:rPr>
                <w:rFonts w:hint="default" w:ascii="Times New Roman" w:hAnsi="Times New Roman" w:eastAsia="宋体" w:cs="Times New Roman"/>
                <w:color w:val="auto"/>
                <w:sz w:val="24"/>
              </w:rPr>
              <w:t>：</w:t>
            </w:r>
          </w:p>
          <w:p w14:paraId="6FFC8578">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①基础必须全面防渗，防渗层须具备防腐性能；</w:t>
            </w:r>
          </w:p>
          <w:p w14:paraId="7D87F6E9">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②地面与裙脚要用坚固、防渗的材料建造，建筑材料必须与危险废物相容；</w:t>
            </w:r>
          </w:p>
          <w:p w14:paraId="70BFA646">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③项目危废暂存于危废暂存间，危险废物贮存要贴上标签</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容器及容器的材质要满足强度要求，并必须完整无损。</w:t>
            </w:r>
          </w:p>
          <w:p w14:paraId="1B4D175D">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④危险废物分类妥善收集后，按照相关操作规范储存、处理。危险固废委托给具有处理资质的单位进行处置。项目处置危险固废的措施符合《中华人民共和国固体废物污染环境防治法》，并严格执行了《危险废物转移联单管理办法》规定的各项程序。</w:t>
            </w:r>
          </w:p>
          <w:p w14:paraId="27B48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sz w:val="24"/>
                <w:szCs w:val="32"/>
                <w:lang w:val="en-US" w:eastAsia="zh-CN"/>
              </w:rPr>
            </w:pPr>
          </w:p>
        </w:tc>
      </w:tr>
    </w:tbl>
    <w:p w14:paraId="4F4985F7">
      <w:pPr>
        <w:adjustRightInd w:val="0"/>
        <w:snapToGrid w:val="0"/>
        <w:jc w:val="center"/>
        <w:rPr>
          <w:rFonts w:hint="eastAsia" w:ascii="宋体" w:hAnsi="宋体" w:cs="宋体"/>
          <w:bCs/>
          <w:sz w:val="24"/>
        </w:rPr>
        <w:sectPr>
          <w:pgSz w:w="11905" w:h="16838"/>
          <w:pgMar w:top="1701" w:right="1531" w:bottom="1701" w:left="1531" w:header="851" w:footer="850" w:gutter="0"/>
          <w:pgBorders>
            <w:top w:val="none" w:sz="0" w:space="0"/>
            <w:left w:val="none" w:sz="0" w:space="0"/>
            <w:bottom w:val="none" w:sz="0" w:space="0"/>
            <w:right w:val="none" w:sz="0" w:space="0"/>
          </w:pgBorders>
          <w:cols w:space="720" w:num="1"/>
          <w:rtlGutter w:val="0"/>
          <w:docGrid w:linePitch="312" w:charSpace="0"/>
        </w:sectPr>
      </w:pPr>
    </w:p>
    <w:p w14:paraId="08E78C72">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33" w:name="_Hlk54167917"/>
      <w:r>
        <w:rPr>
          <w:rFonts w:hint="eastAsia" w:ascii="黑体" w:hAnsi="黑体" w:eastAsia="黑体"/>
          <w:snapToGrid w:val="0"/>
          <w:sz w:val="30"/>
          <w:szCs w:val="30"/>
        </w:rPr>
        <w:t>环境保护措施监督检查清单</w:t>
      </w:r>
      <w:bookmarkEnd w:id="33"/>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1830"/>
        <w:gridCol w:w="1548"/>
        <w:gridCol w:w="1867"/>
        <w:gridCol w:w="2256"/>
      </w:tblGrid>
      <w:tr w14:paraId="554BFF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558" w:type="dxa"/>
            <w:tcBorders>
              <w:tl2br w:val="single" w:color="auto" w:sz="4" w:space="0"/>
            </w:tcBorders>
            <w:noWrap w:val="0"/>
            <w:vAlign w:val="top"/>
          </w:tcPr>
          <w:p w14:paraId="66BC2EE9">
            <w:pPr>
              <w:keepNext w:val="0"/>
              <w:keepLines w:val="0"/>
              <w:suppressLineNumbers w:val="0"/>
              <w:adjustRightInd w:val="0"/>
              <w:snapToGrid w:val="0"/>
              <w:spacing w:before="0" w:beforeAutospacing="0" w:after="0" w:afterAutospacing="0"/>
              <w:ind w:left="0" w:right="0" w:firstLine="840"/>
              <w:rPr>
                <w:rFonts w:hint="default" w:ascii="Times New Roman" w:hAnsi="Times New Roman" w:cs="Times New Roman"/>
                <w:b/>
                <w:bCs/>
                <w:sz w:val="24"/>
              </w:rPr>
            </w:pPr>
            <w:r>
              <w:rPr>
                <w:rFonts w:hint="default" w:ascii="Times New Roman" w:hAnsi="Times New Roman" w:cs="Times New Roman"/>
                <w:b/>
                <w:bCs/>
                <w:sz w:val="24"/>
              </w:rPr>
              <w:t>内容</w:t>
            </w:r>
          </w:p>
          <w:p w14:paraId="2B24D40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sz w:val="24"/>
              </w:rPr>
            </w:pPr>
            <w:r>
              <w:rPr>
                <w:rFonts w:hint="default" w:ascii="Times New Roman" w:hAnsi="Times New Roman" w:cs="Times New Roman"/>
                <w:b/>
                <w:bCs/>
                <w:sz w:val="24"/>
              </w:rPr>
              <w:t>要素</w:t>
            </w:r>
          </w:p>
        </w:tc>
        <w:tc>
          <w:tcPr>
            <w:tcW w:w="1830" w:type="dxa"/>
            <w:noWrap w:val="0"/>
            <w:vAlign w:val="center"/>
          </w:tcPr>
          <w:p w14:paraId="28025B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排放口(编号、</w:t>
            </w:r>
          </w:p>
          <w:p w14:paraId="45E622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名称)/污染源</w:t>
            </w:r>
          </w:p>
        </w:tc>
        <w:tc>
          <w:tcPr>
            <w:tcW w:w="1548" w:type="dxa"/>
            <w:noWrap w:val="0"/>
            <w:vAlign w:val="center"/>
          </w:tcPr>
          <w:p w14:paraId="2D77D22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污染物项目</w:t>
            </w:r>
          </w:p>
        </w:tc>
        <w:tc>
          <w:tcPr>
            <w:tcW w:w="1867" w:type="dxa"/>
            <w:noWrap w:val="0"/>
            <w:vAlign w:val="center"/>
          </w:tcPr>
          <w:p w14:paraId="6A7C5E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环境保护措施</w:t>
            </w:r>
          </w:p>
        </w:tc>
        <w:tc>
          <w:tcPr>
            <w:tcW w:w="2256" w:type="dxa"/>
            <w:noWrap w:val="0"/>
            <w:vAlign w:val="center"/>
          </w:tcPr>
          <w:p w14:paraId="423B41E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执行标准</w:t>
            </w:r>
          </w:p>
        </w:tc>
      </w:tr>
      <w:tr w14:paraId="5CD5D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8" w:type="dxa"/>
            <w:vMerge w:val="restart"/>
            <w:noWrap w:val="0"/>
            <w:vAlign w:val="center"/>
          </w:tcPr>
          <w:p w14:paraId="2AF4DD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大气环境</w:t>
            </w:r>
          </w:p>
        </w:tc>
        <w:tc>
          <w:tcPr>
            <w:tcW w:w="1830" w:type="dxa"/>
            <w:noWrap w:val="0"/>
            <w:vAlign w:val="center"/>
          </w:tcPr>
          <w:p w14:paraId="728097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无组织</w:t>
            </w:r>
          </w:p>
        </w:tc>
        <w:tc>
          <w:tcPr>
            <w:tcW w:w="1548" w:type="dxa"/>
            <w:noWrap w:val="0"/>
            <w:vAlign w:val="center"/>
          </w:tcPr>
          <w:p w14:paraId="44A475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粉碎</w:t>
            </w:r>
            <w:r>
              <w:rPr>
                <w:rFonts w:hint="default" w:ascii="Times New Roman" w:hAnsi="Times New Roman" w:cs="Times New Roman"/>
                <w:sz w:val="24"/>
                <w:lang w:val="en-US" w:eastAsia="zh-CN"/>
              </w:rPr>
              <w:t>、</w:t>
            </w:r>
            <w:r>
              <w:rPr>
                <w:rFonts w:hint="eastAsia" w:cs="Times New Roman"/>
                <w:sz w:val="24"/>
                <w:lang w:val="en-US" w:eastAsia="zh-CN"/>
              </w:rPr>
              <w:t>配</w:t>
            </w:r>
            <w:r>
              <w:rPr>
                <w:rFonts w:hint="default" w:ascii="Times New Roman" w:hAnsi="Times New Roman" w:cs="Times New Roman"/>
                <w:sz w:val="24"/>
                <w:lang w:val="en-US" w:eastAsia="zh-CN"/>
              </w:rPr>
              <w:t>料</w:t>
            </w:r>
          </w:p>
        </w:tc>
        <w:tc>
          <w:tcPr>
            <w:tcW w:w="1867" w:type="dxa"/>
            <w:noWrap w:val="0"/>
            <w:vAlign w:val="center"/>
          </w:tcPr>
          <w:p w14:paraId="71870F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eastAsia" w:cs="Times New Roman"/>
                <w:sz w:val="24"/>
                <w:szCs w:val="24"/>
                <w:lang w:val="en-US" w:eastAsia="zh-CN"/>
              </w:rPr>
              <w:t>粉碎</w:t>
            </w:r>
            <w:r>
              <w:rPr>
                <w:rFonts w:hint="default" w:ascii="Times New Roman" w:hAnsi="Times New Roman" w:cs="Times New Roman"/>
                <w:sz w:val="24"/>
                <w:szCs w:val="24"/>
                <w:lang w:val="en-US" w:eastAsia="zh-CN"/>
              </w:rPr>
              <w:t>粉尘通过粉碎机自带的布袋除尘器</w:t>
            </w:r>
            <w:r>
              <w:rPr>
                <w:rFonts w:hint="eastAsia" w:cs="Times New Roman"/>
                <w:sz w:val="24"/>
                <w:szCs w:val="24"/>
                <w:lang w:val="en-US" w:eastAsia="zh-CN"/>
              </w:rPr>
              <w:t>（处理效率95%）</w:t>
            </w:r>
            <w:r>
              <w:rPr>
                <w:rFonts w:hint="default" w:ascii="Times New Roman" w:hAnsi="Times New Roman" w:cs="Times New Roman"/>
                <w:sz w:val="24"/>
                <w:szCs w:val="24"/>
                <w:lang w:val="en-US" w:eastAsia="zh-CN"/>
              </w:rPr>
              <w:t>处理后，少部分逸散于磨粉间无组织排放</w:t>
            </w:r>
            <w:r>
              <w:rPr>
                <w:rFonts w:hint="eastAsia" w:cs="Times New Roman"/>
                <w:sz w:val="24"/>
                <w:szCs w:val="24"/>
                <w:lang w:val="en-US" w:eastAsia="zh-CN"/>
              </w:rPr>
              <w:t>；配料粉尘采取配料间封闭、定期清扫地面措施</w:t>
            </w:r>
          </w:p>
        </w:tc>
        <w:tc>
          <w:tcPr>
            <w:tcW w:w="2256" w:type="dxa"/>
            <w:noWrap w:val="0"/>
            <w:vAlign w:val="center"/>
          </w:tcPr>
          <w:p w14:paraId="63735A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《大气污染物综合排放标准》（DB31/933-2015）中表3厂界大气污染物监控点浓度限值要求</w:t>
            </w:r>
          </w:p>
        </w:tc>
      </w:tr>
      <w:tr w14:paraId="504F0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8" w:type="dxa"/>
            <w:vMerge w:val="continue"/>
            <w:noWrap w:val="0"/>
            <w:vAlign w:val="center"/>
          </w:tcPr>
          <w:p w14:paraId="1E7061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p>
        </w:tc>
        <w:tc>
          <w:tcPr>
            <w:tcW w:w="1830" w:type="dxa"/>
            <w:noWrap w:val="0"/>
            <w:vAlign w:val="center"/>
          </w:tcPr>
          <w:p w14:paraId="383404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无组织</w:t>
            </w:r>
          </w:p>
        </w:tc>
        <w:tc>
          <w:tcPr>
            <w:tcW w:w="1548" w:type="dxa"/>
            <w:noWrap w:val="0"/>
            <w:vAlign w:val="center"/>
          </w:tcPr>
          <w:p w14:paraId="69779F1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污水预处理设施</w:t>
            </w:r>
          </w:p>
        </w:tc>
        <w:tc>
          <w:tcPr>
            <w:tcW w:w="1867" w:type="dxa"/>
            <w:noWrap w:val="0"/>
            <w:vAlign w:val="center"/>
          </w:tcPr>
          <w:p w14:paraId="5817DF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r>
              <w:rPr>
                <w:rFonts w:hint="default" w:ascii="Times New Roman" w:hAnsi="Times New Roman" w:cs="Times New Roman"/>
                <w:sz w:val="24"/>
                <w:szCs w:val="24"/>
              </w:rPr>
              <w:t>加盖密闭、添加除臭剂</w:t>
            </w:r>
          </w:p>
        </w:tc>
        <w:tc>
          <w:tcPr>
            <w:tcW w:w="2256" w:type="dxa"/>
            <w:noWrap w:val="0"/>
            <w:vAlign w:val="center"/>
          </w:tcPr>
          <w:p w14:paraId="54AC4D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val="0"/>
                <w:sz w:val="24"/>
                <w:szCs w:val="24"/>
              </w:rPr>
            </w:pPr>
            <w:r>
              <w:rPr>
                <w:rFonts w:hint="default" w:ascii="Times New Roman" w:hAnsi="Times New Roman" w:cs="Times New Roman"/>
                <w:sz w:val="24"/>
              </w:rPr>
              <w:t>《恶臭污染物排放标准》（GB14554-93）表1中标准</w:t>
            </w:r>
          </w:p>
        </w:tc>
      </w:tr>
      <w:tr w14:paraId="77113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8" w:type="dxa"/>
            <w:vMerge w:val="restart"/>
            <w:noWrap w:val="0"/>
            <w:vAlign w:val="center"/>
          </w:tcPr>
          <w:p w14:paraId="043A1D2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地表水环境</w:t>
            </w:r>
          </w:p>
        </w:tc>
        <w:tc>
          <w:tcPr>
            <w:tcW w:w="1830" w:type="dxa"/>
            <w:noWrap w:val="0"/>
            <w:vAlign w:val="center"/>
          </w:tcPr>
          <w:p w14:paraId="15FDC3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生活污水</w:t>
            </w:r>
          </w:p>
        </w:tc>
        <w:tc>
          <w:tcPr>
            <w:tcW w:w="1548" w:type="dxa"/>
            <w:noWrap w:val="0"/>
            <w:vAlign w:val="center"/>
          </w:tcPr>
          <w:p w14:paraId="4EC839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szCs w:val="24"/>
                <w:lang w:val="de-DE"/>
              </w:rPr>
              <w:t>COD、</w:t>
            </w:r>
            <w:r>
              <w:rPr>
                <w:rFonts w:hint="default" w:ascii="Times New Roman" w:hAnsi="Times New Roman" w:cs="Times New Roman"/>
                <w:sz w:val="24"/>
                <w:szCs w:val="24"/>
              </w:rPr>
              <w:t>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lang w:val="de-DE"/>
              </w:rPr>
              <w:t>、SS</w:t>
            </w:r>
            <w:r>
              <w:rPr>
                <w:rFonts w:hint="default" w:ascii="Times New Roman" w:hAnsi="Times New Roman" w:cs="Times New Roman"/>
                <w:sz w:val="24"/>
                <w:szCs w:val="24"/>
                <w:lang w:val="de-DE" w:eastAsia="zh-CN"/>
              </w:rPr>
              <w:t>、氨氮</w:t>
            </w:r>
            <w:r>
              <w:rPr>
                <w:rFonts w:hint="default" w:ascii="Times New Roman" w:hAnsi="Times New Roman" w:cs="Times New Roman"/>
                <w:sz w:val="24"/>
                <w:szCs w:val="24"/>
                <w:lang w:val="de-DE"/>
              </w:rPr>
              <w:t>等</w:t>
            </w:r>
          </w:p>
        </w:tc>
        <w:tc>
          <w:tcPr>
            <w:tcW w:w="1867" w:type="dxa"/>
            <w:noWrap w:val="0"/>
            <w:vAlign w:val="center"/>
          </w:tcPr>
          <w:p w14:paraId="3B7BC4A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szCs w:val="24"/>
                <w:lang w:val="en-US" w:eastAsia="zh-CN"/>
              </w:rPr>
              <w:t>新增人员生活污水经化粪池（依托现有）处理后接管进入食品工业园污水处理厂，处理达标后排入老濉河</w:t>
            </w:r>
          </w:p>
        </w:tc>
        <w:tc>
          <w:tcPr>
            <w:tcW w:w="2256" w:type="dxa"/>
            <w:vMerge w:val="restart"/>
            <w:noWrap w:val="0"/>
            <w:vAlign w:val="center"/>
          </w:tcPr>
          <w:p w14:paraId="317A940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szCs w:val="24"/>
                <w:lang w:val="en-US" w:eastAsia="zh-CN"/>
              </w:rPr>
              <w:t>接管</w:t>
            </w:r>
            <w:r>
              <w:rPr>
                <w:rFonts w:hint="default" w:ascii="Times New Roman" w:hAnsi="Times New Roman" w:cs="Times New Roman"/>
                <w:sz w:val="24"/>
                <w:szCs w:val="24"/>
              </w:rPr>
              <w:t>废水</w:t>
            </w:r>
            <w:r>
              <w:rPr>
                <w:rFonts w:hint="default" w:ascii="Times New Roman" w:hAnsi="Times New Roman" w:cs="Times New Roman"/>
                <w:sz w:val="24"/>
                <w:szCs w:val="24"/>
                <w:lang w:val="en-US" w:eastAsia="zh-CN"/>
              </w:rPr>
              <w:t>从严执行</w:t>
            </w:r>
            <w:r>
              <w:rPr>
                <w:rFonts w:hint="default" w:ascii="Times New Roman" w:hAnsi="Times New Roman" w:cs="Times New Roman"/>
                <w:sz w:val="24"/>
                <w:szCs w:val="24"/>
              </w:rPr>
              <w:t>《污水综合排放标准》(GB8978-1996) 表4</w:t>
            </w:r>
            <w:r>
              <w:rPr>
                <w:rFonts w:hint="eastAsia" w:cs="Times New Roman"/>
                <w:sz w:val="24"/>
                <w:szCs w:val="24"/>
                <w:lang w:val="en-US" w:eastAsia="zh-CN"/>
              </w:rPr>
              <w:t>中</w:t>
            </w:r>
            <w:r>
              <w:rPr>
                <w:rFonts w:hint="default" w:ascii="Times New Roman" w:hAnsi="Times New Roman" w:cs="Times New Roman"/>
                <w:sz w:val="24"/>
                <w:szCs w:val="24"/>
              </w:rPr>
              <w:t>三级标准浓度限值和</w:t>
            </w:r>
            <w:r>
              <w:rPr>
                <w:rFonts w:hint="default" w:ascii="Times New Roman" w:hAnsi="Times New Roman" w:cs="Times New Roman"/>
                <w:color w:val="auto"/>
                <w:sz w:val="24"/>
              </w:rPr>
              <w:t>安徽淮相科技发展有限公司第二污水处理厂</w:t>
            </w:r>
            <w:r>
              <w:rPr>
                <w:rFonts w:hint="default" w:ascii="Times New Roman" w:hAnsi="Times New Roman" w:cs="Times New Roman"/>
                <w:sz w:val="24"/>
                <w:szCs w:val="24"/>
              </w:rPr>
              <w:t>限值</w:t>
            </w:r>
          </w:p>
        </w:tc>
      </w:tr>
      <w:tr w14:paraId="5FACA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8" w:type="dxa"/>
            <w:vMerge w:val="continue"/>
            <w:noWrap w:val="0"/>
            <w:vAlign w:val="center"/>
          </w:tcPr>
          <w:p w14:paraId="122FF5B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p>
        </w:tc>
        <w:tc>
          <w:tcPr>
            <w:tcW w:w="1830" w:type="dxa"/>
            <w:noWrap w:val="0"/>
            <w:vAlign w:val="center"/>
          </w:tcPr>
          <w:p w14:paraId="22CC87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生产废水</w:t>
            </w:r>
          </w:p>
        </w:tc>
        <w:tc>
          <w:tcPr>
            <w:tcW w:w="1548" w:type="dxa"/>
            <w:noWrap w:val="0"/>
            <w:vAlign w:val="center"/>
          </w:tcPr>
          <w:p w14:paraId="2803367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szCs w:val="24"/>
                <w:lang w:val="de-DE"/>
              </w:rPr>
              <w:t>COD、</w:t>
            </w:r>
            <w:r>
              <w:rPr>
                <w:rFonts w:hint="default" w:ascii="Times New Roman" w:hAnsi="Times New Roman" w:cs="Times New Roman"/>
                <w:sz w:val="24"/>
                <w:szCs w:val="24"/>
              </w:rPr>
              <w:t>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lang w:val="de-DE"/>
              </w:rPr>
              <w:t>、SS</w:t>
            </w:r>
            <w:r>
              <w:rPr>
                <w:rFonts w:hint="default" w:ascii="Times New Roman" w:hAnsi="Times New Roman" w:cs="Times New Roman"/>
                <w:sz w:val="24"/>
                <w:szCs w:val="24"/>
                <w:lang w:val="de-DE" w:eastAsia="zh-CN"/>
              </w:rPr>
              <w:t>、氨氮、</w:t>
            </w:r>
            <w:r>
              <w:rPr>
                <w:rFonts w:hint="default" w:ascii="Times New Roman" w:hAnsi="Times New Roman" w:cs="Times New Roman"/>
                <w:sz w:val="24"/>
                <w:szCs w:val="24"/>
                <w:lang w:val="en-US" w:eastAsia="zh-CN"/>
              </w:rPr>
              <w:t>总磷、动植物油</w:t>
            </w:r>
            <w:r>
              <w:rPr>
                <w:rFonts w:hint="default" w:ascii="Times New Roman" w:hAnsi="Times New Roman" w:cs="Times New Roman"/>
                <w:sz w:val="24"/>
                <w:szCs w:val="24"/>
                <w:lang w:val="de-DE"/>
              </w:rPr>
              <w:t>等</w:t>
            </w:r>
          </w:p>
        </w:tc>
        <w:tc>
          <w:tcPr>
            <w:tcW w:w="1867" w:type="dxa"/>
            <w:noWrap w:val="0"/>
            <w:vAlign w:val="center"/>
          </w:tcPr>
          <w:p w14:paraId="731352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原料清洗废水、设备清洗废水、地面清洗废水经沉淀池（依托现有）预处理后</w:t>
            </w:r>
            <w:r>
              <w:rPr>
                <w:rFonts w:hint="default" w:ascii="Times New Roman" w:hAnsi="Times New Roman" w:cs="Times New Roman"/>
                <w:sz w:val="24"/>
                <w:szCs w:val="24"/>
                <w:lang w:val="en-US" w:eastAsia="zh-CN"/>
              </w:rPr>
              <w:t>接管进入安徽淮相科技发展有限公司第二污水处理厂，处理达标后排入老濉河</w:t>
            </w:r>
          </w:p>
        </w:tc>
        <w:tc>
          <w:tcPr>
            <w:tcW w:w="2256" w:type="dxa"/>
            <w:vMerge w:val="continue"/>
            <w:noWrap w:val="0"/>
            <w:vAlign w:val="center"/>
          </w:tcPr>
          <w:p w14:paraId="5F7D49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p>
        </w:tc>
      </w:tr>
      <w:tr w14:paraId="7479B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8" w:type="dxa"/>
            <w:noWrap w:val="0"/>
            <w:vAlign w:val="center"/>
          </w:tcPr>
          <w:p w14:paraId="1434EF6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声环境</w:t>
            </w:r>
          </w:p>
        </w:tc>
        <w:tc>
          <w:tcPr>
            <w:tcW w:w="1830" w:type="dxa"/>
            <w:noWrap w:val="0"/>
            <w:vAlign w:val="center"/>
          </w:tcPr>
          <w:p w14:paraId="52D36D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设备</w:t>
            </w:r>
          </w:p>
        </w:tc>
        <w:tc>
          <w:tcPr>
            <w:tcW w:w="1548" w:type="dxa"/>
            <w:noWrap w:val="0"/>
            <w:vAlign w:val="center"/>
          </w:tcPr>
          <w:p w14:paraId="56565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噪声</w:t>
            </w:r>
          </w:p>
        </w:tc>
        <w:tc>
          <w:tcPr>
            <w:tcW w:w="1867" w:type="dxa"/>
            <w:noWrap w:val="0"/>
            <w:vAlign w:val="center"/>
          </w:tcPr>
          <w:p w14:paraId="650048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lang w:eastAsia="zh-CN"/>
              </w:rPr>
              <w:t>选用低噪声设备、</w:t>
            </w:r>
            <w:r>
              <w:rPr>
                <w:rFonts w:hint="default" w:ascii="Times New Roman" w:hAnsi="Times New Roman" w:cs="Times New Roman"/>
                <w:sz w:val="24"/>
                <w:szCs w:val="24"/>
                <w:lang w:val="en-US" w:eastAsia="zh-CN"/>
              </w:rPr>
              <w:t>距离衰减、隔声减振、</w:t>
            </w:r>
            <w:r>
              <w:rPr>
                <w:rFonts w:hint="default" w:ascii="Times New Roman" w:hAnsi="Times New Roman" w:cs="Times New Roman"/>
                <w:sz w:val="24"/>
                <w:szCs w:val="24"/>
                <w:lang w:eastAsia="zh-CN"/>
              </w:rPr>
              <w:t>合理布置等措施</w:t>
            </w:r>
          </w:p>
        </w:tc>
        <w:tc>
          <w:tcPr>
            <w:tcW w:w="2256" w:type="dxa"/>
            <w:noWrap w:val="0"/>
            <w:vAlign w:val="center"/>
          </w:tcPr>
          <w:p w14:paraId="58E8B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满足《工业企业厂界环境噪声排放标准》（GB12348-2008）</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类标准</w:t>
            </w:r>
          </w:p>
        </w:tc>
      </w:tr>
      <w:tr w14:paraId="3A003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8" w:type="dxa"/>
            <w:noWrap w:val="0"/>
            <w:vAlign w:val="center"/>
          </w:tcPr>
          <w:p w14:paraId="67F455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电磁辐射</w:t>
            </w:r>
          </w:p>
        </w:tc>
        <w:tc>
          <w:tcPr>
            <w:tcW w:w="7501" w:type="dxa"/>
            <w:gridSpan w:val="4"/>
            <w:noWrap w:val="0"/>
            <w:vAlign w:val="center"/>
          </w:tcPr>
          <w:p w14:paraId="08CE93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w:t>
            </w:r>
          </w:p>
        </w:tc>
      </w:tr>
      <w:tr w14:paraId="39D76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58" w:type="dxa"/>
            <w:noWrap w:val="0"/>
            <w:vAlign w:val="center"/>
          </w:tcPr>
          <w:p w14:paraId="24A877C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固体废物</w:t>
            </w:r>
          </w:p>
        </w:tc>
        <w:tc>
          <w:tcPr>
            <w:tcW w:w="7501" w:type="dxa"/>
            <w:gridSpan w:val="4"/>
            <w:noWrap w:val="0"/>
            <w:vAlign w:val="center"/>
          </w:tcPr>
          <w:p w14:paraId="619BA00A">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sz w:val="24"/>
                <w:lang w:val="en-US"/>
              </w:rPr>
            </w:pPr>
            <w:r>
              <w:rPr>
                <w:rFonts w:hint="default" w:ascii="Times New Roman" w:hAnsi="Times New Roman" w:cs="Times New Roman"/>
                <w:sz w:val="24"/>
                <w:szCs w:val="24"/>
              </w:rPr>
              <w:t>生活垃圾</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废毛巾</w:t>
            </w:r>
            <w:r>
              <w:rPr>
                <w:rFonts w:hint="default" w:ascii="Times New Roman" w:hAnsi="Times New Roman" w:cs="Times New Roman"/>
                <w:sz w:val="24"/>
                <w:szCs w:val="24"/>
              </w:rPr>
              <w:t>经收集后由环卫部门统一清运处理</w:t>
            </w:r>
            <w:r>
              <w:rPr>
                <w:rFonts w:hint="default" w:ascii="Times New Roman" w:hAnsi="Times New Roman" w:cs="Times New Roman"/>
                <w:sz w:val="24"/>
                <w:szCs w:val="24"/>
                <w:lang w:eastAsia="zh-CN"/>
              </w:rPr>
              <w:t>；</w:t>
            </w:r>
            <w:r>
              <w:rPr>
                <w:rFonts w:hint="default" w:ascii="Times New Roman" w:hAnsi="Times New Roman" w:cs="Times New Roman"/>
                <w:color w:val="auto"/>
                <w:sz w:val="24"/>
                <w:szCs w:val="24"/>
                <w:lang w:eastAsia="zh-CN"/>
              </w:rPr>
              <w:t>杂质</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不合格品、除尘器收集粉尘</w:t>
            </w:r>
            <w:r>
              <w:rPr>
                <w:rFonts w:hint="eastAsia" w:cs="Times New Roman"/>
                <w:color w:val="auto"/>
                <w:sz w:val="24"/>
                <w:szCs w:val="24"/>
                <w:lang w:eastAsia="zh-CN"/>
              </w:rPr>
              <w:t>、</w:t>
            </w:r>
            <w:r>
              <w:rPr>
                <w:rFonts w:hint="eastAsia" w:cs="Times New Roman"/>
                <w:color w:val="auto"/>
                <w:sz w:val="24"/>
                <w:szCs w:val="24"/>
                <w:lang w:val="en-US" w:eastAsia="zh-CN"/>
              </w:rPr>
              <w:t>地面清扫粉尘</w:t>
            </w:r>
            <w:r>
              <w:rPr>
                <w:rFonts w:hint="default" w:ascii="Times New Roman" w:hAnsi="Times New Roman" w:cs="Times New Roman"/>
                <w:color w:val="auto"/>
                <w:sz w:val="24"/>
                <w:szCs w:val="24"/>
                <w:lang w:eastAsia="zh-CN"/>
              </w:rPr>
              <w:t>收集后储存于一般固废库，定期外售给饲料生产公司；</w:t>
            </w:r>
            <w:r>
              <w:rPr>
                <w:rFonts w:hint="eastAsia" w:cs="Times New Roman"/>
                <w:color w:val="auto"/>
                <w:sz w:val="24"/>
                <w:szCs w:val="24"/>
                <w:lang w:val="en-US" w:eastAsia="zh-CN"/>
              </w:rPr>
              <w:t>过筛物料统一收集回用于生产线；</w:t>
            </w:r>
            <w:r>
              <w:rPr>
                <w:rFonts w:hint="default" w:ascii="Times New Roman" w:hAnsi="Times New Roman" w:cs="Times New Roman"/>
                <w:color w:val="auto"/>
                <w:sz w:val="24"/>
                <w:szCs w:val="24"/>
                <w:lang w:eastAsia="zh-CN"/>
              </w:rPr>
              <w:t>废包装材料暂存于一般固废库，定期外售给物资回收公司；废布袋暂存于一般固废库，由厂家回收再利用；废油</w:t>
            </w:r>
            <w:r>
              <w:rPr>
                <w:rFonts w:hint="eastAsia" w:cs="Times New Roman"/>
                <w:color w:val="auto"/>
                <w:sz w:val="24"/>
                <w:szCs w:val="24"/>
                <w:lang w:val="en-US" w:eastAsia="zh-CN"/>
              </w:rPr>
              <w:t>物</w:t>
            </w:r>
            <w:r>
              <w:rPr>
                <w:rFonts w:hint="default" w:ascii="Times New Roman" w:hAnsi="Times New Roman" w:cs="Times New Roman"/>
                <w:color w:val="auto"/>
                <w:sz w:val="24"/>
                <w:szCs w:val="24"/>
                <w:lang w:eastAsia="zh-CN"/>
              </w:rPr>
              <w:t>暂存于一般固废库，委托委托环卫部门定期清运；</w:t>
            </w:r>
            <w:r>
              <w:rPr>
                <w:rFonts w:hint="eastAsia" w:ascii="Times New Roman" w:hAnsi="Times New Roman" w:cs="Times New Roman"/>
                <w:color w:val="auto"/>
                <w:sz w:val="24"/>
                <w:szCs w:val="24"/>
                <w:lang w:val="en-US" w:eastAsia="zh-CN"/>
              </w:rPr>
              <w:t>沉淀池</w:t>
            </w:r>
            <w:r>
              <w:rPr>
                <w:rFonts w:hint="default" w:ascii="Times New Roman" w:hAnsi="Times New Roman" w:cs="Times New Roman"/>
                <w:color w:val="auto"/>
                <w:sz w:val="24"/>
                <w:szCs w:val="24"/>
                <w:lang w:eastAsia="zh-CN"/>
              </w:rPr>
              <w:t>污泥委托环卫部门定期清运。</w:t>
            </w:r>
            <w:r>
              <w:rPr>
                <w:rFonts w:hint="default" w:ascii="Times New Roman" w:hAnsi="Times New Roman" w:cs="Times New Roman"/>
                <w:sz w:val="24"/>
                <w:szCs w:val="24"/>
              </w:rPr>
              <w:t>工业固体废物的贮存、处置执行《中华人民共和国固体废物污染环境防治法》，此外，一般工业固体废物处理参照执行《一般工业固体废物贮存和填埋污染控制标准》（GB18599-2020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w:t>
            </w:r>
            <w:r>
              <w:rPr>
                <w:rFonts w:hint="eastAsia" w:cs="Times New Roman"/>
                <w:color w:val="auto"/>
                <w:sz w:val="24"/>
                <w:lang w:val="en-US" w:eastAsia="zh-CN"/>
              </w:rPr>
              <w:t>废紫外灯管</w:t>
            </w:r>
            <w:r>
              <w:rPr>
                <w:rFonts w:hint="default" w:ascii="Times New Roman" w:hAnsi="Times New Roman" w:cs="Times New Roman"/>
                <w:color w:val="auto"/>
                <w:sz w:val="24"/>
                <w:lang w:val="en-US" w:eastAsia="zh-CN"/>
              </w:rPr>
              <w:t>暂存于危废库，定期交由有资质单位处置，危险废物贮存库建设执行《危险废物贮存污染控制标准》（GB 18597</w:t>
            </w:r>
            <w:r>
              <w:rPr>
                <w:rFonts w:hint="eastAsia" w:cs="Times New Roman"/>
                <w:color w:val="auto"/>
                <w:sz w:val="24"/>
                <w:lang w:val="en-US" w:eastAsia="zh-CN"/>
              </w:rPr>
              <w:t>-</w:t>
            </w:r>
            <w:r>
              <w:rPr>
                <w:rFonts w:hint="default" w:ascii="Times New Roman" w:hAnsi="Times New Roman" w:cs="Times New Roman"/>
                <w:color w:val="auto"/>
                <w:sz w:val="24"/>
                <w:lang w:val="en-US" w:eastAsia="zh-CN"/>
              </w:rPr>
              <w:t>2023）中相关标准。</w:t>
            </w:r>
          </w:p>
        </w:tc>
      </w:tr>
      <w:tr w14:paraId="731B8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58" w:type="dxa"/>
            <w:noWrap w:val="0"/>
            <w:vAlign w:val="center"/>
          </w:tcPr>
          <w:p w14:paraId="1D0852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土壤及地下水</w:t>
            </w:r>
          </w:p>
          <w:p w14:paraId="222125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污染防治措施</w:t>
            </w:r>
          </w:p>
        </w:tc>
        <w:tc>
          <w:tcPr>
            <w:tcW w:w="7501" w:type="dxa"/>
            <w:gridSpan w:val="4"/>
            <w:noWrap w:val="0"/>
            <w:vAlign w:val="center"/>
          </w:tcPr>
          <w:p w14:paraId="14A456E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 w:val="24"/>
                <w:lang w:val="en-US" w:eastAsia="zh-CN"/>
              </w:rPr>
            </w:pPr>
            <w:r>
              <w:rPr>
                <w:rFonts w:hint="default" w:ascii="Times New Roman" w:hAnsi="Times New Roman" w:cs="Times New Roman"/>
                <w:sz w:val="24"/>
              </w:rPr>
              <w:t>生产车间、一般固废库</w:t>
            </w:r>
            <w:r>
              <w:rPr>
                <w:rFonts w:hint="default" w:ascii="Times New Roman" w:hAnsi="Times New Roman" w:cs="Times New Roman"/>
                <w:sz w:val="24"/>
                <w:lang w:eastAsia="zh-CN"/>
              </w:rPr>
              <w:t>、</w:t>
            </w:r>
            <w:r>
              <w:rPr>
                <w:rFonts w:hint="default" w:ascii="Times New Roman" w:hAnsi="Times New Roman" w:cs="Times New Roman"/>
                <w:sz w:val="24"/>
              </w:rPr>
              <w:t>沉淀池做一般防渗；危废库做重点防渗</w:t>
            </w:r>
          </w:p>
        </w:tc>
      </w:tr>
      <w:tr w14:paraId="14A4E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58" w:type="dxa"/>
            <w:noWrap w:val="0"/>
            <w:vAlign w:val="center"/>
          </w:tcPr>
          <w:p w14:paraId="1FB106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生态保护措施</w:t>
            </w:r>
          </w:p>
        </w:tc>
        <w:tc>
          <w:tcPr>
            <w:tcW w:w="7501" w:type="dxa"/>
            <w:gridSpan w:val="4"/>
            <w:noWrap w:val="0"/>
            <w:vAlign w:val="center"/>
          </w:tcPr>
          <w:p w14:paraId="55D6A29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color w:val="auto"/>
                <w:sz w:val="24"/>
                <w:szCs w:val="24"/>
              </w:rPr>
              <w:t>不涉及</w:t>
            </w:r>
          </w:p>
        </w:tc>
      </w:tr>
      <w:tr w14:paraId="57E82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58" w:type="dxa"/>
            <w:noWrap w:val="0"/>
            <w:vAlign w:val="center"/>
          </w:tcPr>
          <w:p w14:paraId="02836E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8"/>
                <w:sz w:val="24"/>
              </w:rPr>
            </w:pPr>
            <w:r>
              <w:rPr>
                <w:rFonts w:hint="default" w:ascii="Times New Roman" w:hAnsi="Times New Roman" w:cs="Times New Roman"/>
                <w:spacing w:val="-8"/>
                <w:sz w:val="24"/>
              </w:rPr>
              <w:t>环境风险</w:t>
            </w:r>
          </w:p>
          <w:p w14:paraId="18413F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8"/>
                <w:sz w:val="24"/>
              </w:rPr>
            </w:pPr>
            <w:r>
              <w:rPr>
                <w:rFonts w:hint="default" w:ascii="Times New Roman" w:hAnsi="Times New Roman" w:cs="Times New Roman"/>
                <w:spacing w:val="-8"/>
                <w:sz w:val="24"/>
              </w:rPr>
              <w:t>防范措施</w:t>
            </w:r>
          </w:p>
        </w:tc>
        <w:tc>
          <w:tcPr>
            <w:tcW w:w="7501" w:type="dxa"/>
            <w:gridSpan w:val="4"/>
            <w:noWrap w:val="0"/>
            <w:vAlign w:val="center"/>
          </w:tcPr>
          <w:p w14:paraId="6796B8C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sz w:val="24"/>
                <w:szCs w:val="24"/>
              </w:rPr>
            </w:pPr>
            <w:r>
              <w:rPr>
                <w:rFonts w:hint="default" w:ascii="Times New Roman" w:hAnsi="Times New Roman" w:cs="Times New Roman"/>
                <w:color w:val="auto"/>
                <w:sz w:val="24"/>
                <w:szCs w:val="24"/>
                <w:lang w:bidi="ar"/>
              </w:rPr>
              <w:t>设消防、火灾报警系统；</w:t>
            </w:r>
            <w:r>
              <w:rPr>
                <w:rFonts w:hint="default" w:ascii="Times New Roman" w:hAnsi="Times New Roman" w:cs="Times New Roman"/>
                <w:color w:val="auto"/>
                <w:sz w:val="24"/>
                <w:szCs w:val="24"/>
                <w:lang w:val="en-US" w:eastAsia="zh-CN" w:bidi="ar"/>
              </w:rPr>
              <w:t>修编环境风险</w:t>
            </w:r>
            <w:r>
              <w:rPr>
                <w:rFonts w:hint="default" w:ascii="Times New Roman" w:hAnsi="Times New Roman" w:cs="Times New Roman"/>
                <w:color w:val="auto"/>
                <w:sz w:val="24"/>
                <w:szCs w:val="24"/>
                <w:lang w:bidi="ar"/>
              </w:rPr>
              <w:t>应急预案等，其他环境风险防范措施详见相关章节内容</w:t>
            </w:r>
          </w:p>
        </w:tc>
      </w:tr>
      <w:tr w14:paraId="02E15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58" w:type="dxa"/>
            <w:noWrap w:val="0"/>
            <w:vAlign w:val="center"/>
          </w:tcPr>
          <w:p w14:paraId="5F7FFA2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8"/>
                <w:sz w:val="24"/>
              </w:rPr>
            </w:pPr>
            <w:r>
              <w:rPr>
                <w:rFonts w:hint="default" w:ascii="Times New Roman" w:hAnsi="Times New Roman" w:cs="Times New Roman"/>
                <w:spacing w:val="-8"/>
                <w:sz w:val="24"/>
              </w:rPr>
              <w:t>其他环境</w:t>
            </w:r>
          </w:p>
          <w:p w14:paraId="79FCCB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8"/>
                <w:sz w:val="24"/>
              </w:rPr>
            </w:pPr>
            <w:r>
              <w:rPr>
                <w:rFonts w:hint="default" w:ascii="Times New Roman" w:hAnsi="Times New Roman" w:cs="Times New Roman"/>
                <w:spacing w:val="-8"/>
                <w:sz w:val="24"/>
              </w:rPr>
              <w:t>管理要求</w:t>
            </w:r>
          </w:p>
        </w:tc>
        <w:tc>
          <w:tcPr>
            <w:tcW w:w="7501" w:type="dxa"/>
            <w:gridSpan w:val="4"/>
            <w:noWrap w:val="0"/>
            <w:vAlign w:val="center"/>
          </w:tcPr>
          <w:p w14:paraId="4C32A5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 标识牌设置</w:t>
            </w:r>
          </w:p>
          <w:p w14:paraId="755001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识牌的设置应按《关于印发排放口标志牌技术规范的通知》（环办〔2005〕95号）中相关规定实施，统计所有排污口的名称、位置、数量、以及排放污染物的名称、数量等内容上报当地环保部门，以便进行验收和排污口规范性管理。图形符号分别为提示图形和警告图形符号两种，分别为（GB15562.1-1995）、（GB15562.2-1995）执行，环境保护图形标志的形状及颜色见下表：</w:t>
            </w:r>
          </w:p>
          <w:p w14:paraId="00DC178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4"/>
                <w:szCs w:val="24"/>
              </w:rPr>
            </w:pPr>
          </w:p>
          <w:p w14:paraId="0C04669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4"/>
                <w:szCs w:val="24"/>
              </w:rPr>
            </w:pPr>
          </w:p>
          <w:p w14:paraId="636AC42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表5-1  环境保护图形符号一览表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64"/>
              <w:gridCol w:w="1452"/>
              <w:gridCol w:w="2796"/>
              <w:gridCol w:w="2169"/>
            </w:tblGrid>
            <w:tr w14:paraId="32E41B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4" w:hRule="atLeast"/>
                <w:jc w:val="center"/>
              </w:trPr>
              <w:tc>
                <w:tcPr>
                  <w:tcW w:w="593" w:type="pct"/>
                  <w:tcBorders>
                    <w:tl2br w:val="nil"/>
                    <w:tr2bl w:val="nil"/>
                  </w:tcBorders>
                  <w:noWrap w:val="0"/>
                  <w:vAlign w:val="center"/>
                </w:tcPr>
                <w:p w14:paraId="3035CE5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997" w:type="pct"/>
                  <w:tcBorders>
                    <w:tl2br w:val="nil"/>
                    <w:tr2bl w:val="nil"/>
                  </w:tcBorders>
                  <w:noWrap w:val="0"/>
                  <w:vAlign w:val="center"/>
                </w:tcPr>
                <w:p w14:paraId="1949070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w:t>
                  </w:r>
                </w:p>
              </w:tc>
              <w:tc>
                <w:tcPr>
                  <w:tcW w:w="1919" w:type="pct"/>
                  <w:tcBorders>
                    <w:tl2br w:val="nil"/>
                    <w:tr2bl w:val="nil"/>
                  </w:tcBorders>
                  <w:noWrap w:val="0"/>
                  <w:vAlign w:val="center"/>
                </w:tcPr>
                <w:p w14:paraId="0839C48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提示/警告图形标识</w:t>
                  </w:r>
                </w:p>
              </w:tc>
              <w:tc>
                <w:tcPr>
                  <w:tcW w:w="1489" w:type="pct"/>
                  <w:tcBorders>
                    <w:tl2br w:val="nil"/>
                    <w:tr2bl w:val="nil"/>
                  </w:tcBorders>
                  <w:noWrap w:val="0"/>
                  <w:vAlign w:val="center"/>
                </w:tcPr>
                <w:p w14:paraId="095E995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功能</w:t>
                  </w:r>
                </w:p>
              </w:tc>
            </w:tr>
            <w:tr w14:paraId="606250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06" w:hRule="atLeast"/>
                <w:jc w:val="center"/>
              </w:trPr>
              <w:tc>
                <w:tcPr>
                  <w:tcW w:w="593" w:type="pct"/>
                  <w:tcBorders>
                    <w:tl2br w:val="nil"/>
                    <w:tr2bl w:val="nil"/>
                  </w:tcBorders>
                  <w:noWrap w:val="0"/>
                  <w:vAlign w:val="center"/>
                </w:tcPr>
                <w:p w14:paraId="60E714D6">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97" w:type="pct"/>
                  <w:tcBorders>
                    <w:tl2br w:val="nil"/>
                    <w:tr2bl w:val="nil"/>
                  </w:tcBorders>
                  <w:noWrap w:val="0"/>
                  <w:vAlign w:val="center"/>
                </w:tcPr>
                <w:p w14:paraId="7B36751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cs="Times New Roman"/>
                    </w:rPr>
                    <w:t>废水排放口</w:t>
                  </w:r>
                </w:p>
              </w:tc>
              <w:tc>
                <w:tcPr>
                  <w:tcW w:w="1919" w:type="pct"/>
                  <w:tcBorders>
                    <w:tl2br w:val="nil"/>
                    <w:tr2bl w:val="nil"/>
                  </w:tcBorders>
                  <w:noWrap w:val="0"/>
                  <w:vAlign w:val="center"/>
                </w:tcPr>
                <w:p w14:paraId="3473C53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cs="Times New Roman"/>
                    </w:rPr>
                    <w:drawing>
                      <wp:inline distT="0" distB="0" distL="114300" distR="114300">
                        <wp:extent cx="643890" cy="650875"/>
                        <wp:effectExtent l="0" t="0" r="3810" b="15875"/>
                        <wp:docPr id="13" name="图片 17" descr="说明: 说明: 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说明: 说明: 说明: 13001"/>
                                <pic:cNvPicPr>
                                  <a:picLocks noChangeAspect="1"/>
                                </pic:cNvPicPr>
                              </pic:nvPicPr>
                              <pic:blipFill>
                                <a:blip r:embed="rId27"/>
                                <a:stretch>
                                  <a:fillRect/>
                                </a:stretch>
                              </pic:blipFill>
                              <pic:spPr>
                                <a:xfrm>
                                  <a:off x="0" y="0"/>
                                  <a:ext cx="643890" cy="650875"/>
                                </a:xfrm>
                                <a:prstGeom prst="rect">
                                  <a:avLst/>
                                </a:prstGeom>
                                <a:noFill/>
                                <a:ln>
                                  <a:noFill/>
                                </a:ln>
                              </pic:spPr>
                            </pic:pic>
                          </a:graphicData>
                        </a:graphic>
                      </wp:inline>
                    </w:drawing>
                  </w:r>
                </w:p>
              </w:tc>
              <w:tc>
                <w:tcPr>
                  <w:tcW w:w="1489" w:type="pct"/>
                  <w:tcBorders>
                    <w:tl2br w:val="nil"/>
                    <w:tr2bl w:val="nil"/>
                  </w:tcBorders>
                  <w:noWrap w:val="0"/>
                  <w:vAlign w:val="center"/>
                </w:tcPr>
                <w:p w14:paraId="28A6A93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cs="Times New Roman"/>
                    </w:rPr>
                    <w:t>表示污水向水体排放</w:t>
                  </w:r>
                </w:p>
              </w:tc>
            </w:tr>
            <w:tr w14:paraId="7C0F40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74" w:hRule="atLeast"/>
                <w:jc w:val="center"/>
              </w:trPr>
              <w:tc>
                <w:tcPr>
                  <w:tcW w:w="593" w:type="pct"/>
                  <w:tcBorders>
                    <w:tl2br w:val="nil"/>
                    <w:tr2bl w:val="nil"/>
                  </w:tcBorders>
                  <w:noWrap w:val="0"/>
                  <w:vAlign w:val="center"/>
                </w:tcPr>
                <w:p w14:paraId="7DE33FA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97" w:type="pct"/>
                  <w:tcBorders>
                    <w:tl2br w:val="nil"/>
                    <w:tr2bl w:val="nil"/>
                  </w:tcBorders>
                  <w:noWrap w:val="0"/>
                  <w:vAlign w:val="center"/>
                </w:tcPr>
                <w:p w14:paraId="0E636396">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c>
                <w:tcPr>
                  <w:tcW w:w="1919" w:type="pct"/>
                  <w:tcBorders>
                    <w:tl2br w:val="nil"/>
                    <w:tr2bl w:val="nil"/>
                  </w:tcBorders>
                  <w:noWrap w:val="0"/>
                  <w:vAlign w:val="center"/>
                </w:tcPr>
                <w:p w14:paraId="4D3F72C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714375" cy="714375"/>
                        <wp:effectExtent l="0" t="0" r="9525" b="9525"/>
                        <wp:docPr id="14" name="图片 9" descr="说明: 说明: 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说明: 说明: 说明: 200602201518049853"/>
                                <pic:cNvPicPr>
                                  <a:picLocks noChangeAspect="1"/>
                                </pic:cNvPicPr>
                              </pic:nvPicPr>
                              <pic:blipFill>
                                <a:blip r:embed="rId28"/>
                                <a:stretch>
                                  <a:fillRect/>
                                </a:stretch>
                              </pic:blipFill>
                              <pic:spPr>
                                <a:xfrm>
                                  <a:off x="0" y="0"/>
                                  <a:ext cx="714375" cy="714375"/>
                                </a:xfrm>
                                <a:prstGeom prst="rect">
                                  <a:avLst/>
                                </a:prstGeom>
                                <a:noFill/>
                                <a:ln>
                                  <a:noFill/>
                                </a:ln>
                              </pic:spPr>
                            </pic:pic>
                          </a:graphicData>
                        </a:graphic>
                      </wp:inline>
                    </w:drawing>
                  </w:r>
                </w:p>
              </w:tc>
              <w:tc>
                <w:tcPr>
                  <w:tcW w:w="1489" w:type="pct"/>
                  <w:tcBorders>
                    <w:tl2br w:val="nil"/>
                    <w:tr2bl w:val="nil"/>
                  </w:tcBorders>
                  <w:noWrap w:val="0"/>
                  <w:vAlign w:val="center"/>
                </w:tcPr>
                <w:p w14:paraId="088C989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表示噪声向外环境排放</w:t>
                  </w:r>
                </w:p>
              </w:tc>
            </w:tr>
            <w:tr w14:paraId="3304C1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79" w:hRule="atLeast"/>
                <w:jc w:val="center"/>
              </w:trPr>
              <w:tc>
                <w:tcPr>
                  <w:tcW w:w="593" w:type="pct"/>
                  <w:tcBorders>
                    <w:tl2br w:val="nil"/>
                    <w:tr2bl w:val="nil"/>
                  </w:tcBorders>
                  <w:noWrap w:val="0"/>
                  <w:vAlign w:val="center"/>
                </w:tcPr>
                <w:p w14:paraId="41CBC536">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97" w:type="pct"/>
                  <w:tcBorders>
                    <w:tl2br w:val="nil"/>
                    <w:tr2bl w:val="nil"/>
                  </w:tcBorders>
                  <w:noWrap w:val="0"/>
                  <w:vAlign w:val="center"/>
                </w:tcPr>
                <w:p w14:paraId="1C1EFF9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一般固体废物</w:t>
                  </w:r>
                </w:p>
              </w:tc>
              <w:tc>
                <w:tcPr>
                  <w:tcW w:w="1919" w:type="pct"/>
                  <w:tcBorders>
                    <w:tl2br w:val="nil"/>
                    <w:tr2bl w:val="nil"/>
                  </w:tcBorders>
                  <w:noWrap w:val="0"/>
                  <w:vAlign w:val="center"/>
                </w:tcPr>
                <w:p w14:paraId="4FFB9F9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1172845" cy="745490"/>
                        <wp:effectExtent l="0" t="0" r="8255" b="1651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9"/>
                                <a:stretch>
                                  <a:fillRect/>
                                </a:stretch>
                              </pic:blipFill>
                              <pic:spPr>
                                <a:xfrm>
                                  <a:off x="0" y="0"/>
                                  <a:ext cx="1172845" cy="745490"/>
                                </a:xfrm>
                                <a:prstGeom prst="rect">
                                  <a:avLst/>
                                </a:prstGeom>
                                <a:noFill/>
                                <a:ln>
                                  <a:noFill/>
                                </a:ln>
                              </pic:spPr>
                            </pic:pic>
                          </a:graphicData>
                        </a:graphic>
                      </wp:inline>
                    </w:drawing>
                  </w:r>
                </w:p>
              </w:tc>
              <w:tc>
                <w:tcPr>
                  <w:tcW w:w="1489" w:type="pct"/>
                  <w:tcBorders>
                    <w:tl2br w:val="nil"/>
                    <w:tr2bl w:val="nil"/>
                  </w:tcBorders>
                  <w:noWrap w:val="0"/>
                  <w:vAlign w:val="center"/>
                </w:tcPr>
                <w:p w14:paraId="5C9EEB8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表示一般工业固体废物贮存、处置场</w:t>
                  </w:r>
                </w:p>
              </w:tc>
            </w:tr>
            <w:tr w14:paraId="701FA5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79" w:hRule="atLeast"/>
                <w:jc w:val="center"/>
              </w:trPr>
              <w:tc>
                <w:tcPr>
                  <w:tcW w:w="593" w:type="pct"/>
                  <w:tcBorders>
                    <w:tl2br w:val="nil"/>
                    <w:tr2bl w:val="nil"/>
                  </w:tcBorders>
                  <w:noWrap w:val="0"/>
                  <w:vAlign w:val="center"/>
                </w:tcPr>
                <w:p w14:paraId="7AFF0FF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451" w:type="dxa"/>
                  <w:tcBorders>
                    <w:tl2br w:val="nil"/>
                    <w:tr2bl w:val="nil"/>
                  </w:tcBorders>
                  <w:noWrap w:val="0"/>
                  <w:vAlign w:val="center"/>
                </w:tcPr>
                <w:p w14:paraId="6D29CD89">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kern w:val="0"/>
                      <w:sz w:val="21"/>
                      <w:szCs w:val="21"/>
                      <w:lang w:val="en-US" w:eastAsia="zh-CN"/>
                    </w:rPr>
                    <w:t>危险废物</w:t>
                  </w:r>
                </w:p>
              </w:tc>
              <w:tc>
                <w:tcPr>
                  <w:tcW w:w="2793" w:type="dxa"/>
                  <w:tcBorders>
                    <w:tl2br w:val="nil"/>
                    <w:tr2bl w:val="nil"/>
                  </w:tcBorders>
                  <w:noWrap w:val="0"/>
                  <w:vAlign w:val="center"/>
                </w:tcPr>
                <w:p w14:paraId="762B966D">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FF"/>
                      <w:kern w:val="0"/>
                      <w:sz w:val="21"/>
                      <w:szCs w:val="21"/>
                      <w:lang w:val="en-US" w:eastAsia="zh-CN" w:bidi="ar-SA"/>
                    </w:rPr>
                    <w:drawing>
                      <wp:inline distT="0" distB="0" distL="114300" distR="114300">
                        <wp:extent cx="596265" cy="636270"/>
                        <wp:effectExtent l="0" t="0" r="13335" b="11430"/>
                        <wp:docPr id="1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0"/>
                                <pic:cNvPicPr>
                                  <a:picLocks noChangeAspect="1"/>
                                </pic:cNvPicPr>
                              </pic:nvPicPr>
                              <pic:blipFill>
                                <a:blip r:embed="rId30"/>
                                <a:stretch>
                                  <a:fillRect/>
                                </a:stretch>
                              </pic:blipFill>
                              <pic:spPr>
                                <a:xfrm>
                                  <a:off x="0" y="0"/>
                                  <a:ext cx="596265" cy="636270"/>
                                </a:xfrm>
                                <a:prstGeom prst="rect">
                                  <a:avLst/>
                                </a:prstGeom>
                                <a:noFill/>
                                <a:ln>
                                  <a:noFill/>
                                </a:ln>
                              </pic:spPr>
                            </pic:pic>
                          </a:graphicData>
                        </a:graphic>
                      </wp:inline>
                    </w:drawing>
                  </w:r>
                </w:p>
              </w:tc>
              <w:tc>
                <w:tcPr>
                  <w:tcW w:w="2168" w:type="dxa"/>
                  <w:tcBorders>
                    <w:tl2br w:val="nil"/>
                    <w:tr2bl w:val="nil"/>
                  </w:tcBorders>
                  <w:noWrap w:val="0"/>
                  <w:vAlign w:val="center"/>
                </w:tcPr>
                <w:p w14:paraId="2E59E670">
                  <w:pPr>
                    <w:pStyle w:val="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lang w:val="en-US" w:eastAsia="zh-CN"/>
                    </w:rPr>
                    <w:t>表示危险废物贮存库</w:t>
                  </w:r>
                </w:p>
              </w:tc>
            </w:tr>
          </w:tbl>
          <w:p w14:paraId="7EBBE622">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rPr>
            </w:pPr>
          </w:p>
          <w:p w14:paraId="3E395AFE">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2.</w:t>
            </w:r>
            <w:r>
              <w:rPr>
                <w:rFonts w:hint="default" w:ascii="Times New Roman" w:hAnsi="Times New Roman" w:cs="Times New Roman"/>
                <w:b/>
                <w:bCs/>
                <w:sz w:val="24"/>
                <w:szCs w:val="24"/>
              </w:rPr>
              <w:t>排污许可联动内容</w:t>
            </w:r>
          </w:p>
          <w:p w14:paraId="522ED654">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sz w:val="24"/>
                <w:szCs w:val="24"/>
              </w:rPr>
              <w:t>本项目属于《固定污染源排污许可分类管理名录》中</w:t>
            </w:r>
            <w:r>
              <w:rPr>
                <w:rFonts w:hint="eastAsia" w:cs="Times New Roman"/>
                <w:sz w:val="24"/>
                <w:szCs w:val="24"/>
                <w:lang w:eastAsia="zh-CN"/>
              </w:rPr>
              <w:t>“</w:t>
            </w:r>
            <w:r>
              <w:rPr>
                <w:rFonts w:hint="default" w:ascii="Times New Roman" w:hAnsi="Times New Roman" w:cs="Times New Roman"/>
                <w:sz w:val="24"/>
              </w:rPr>
              <w:t>十一、食品制造业</w:t>
            </w:r>
            <w:r>
              <w:rPr>
                <w:rFonts w:hint="eastAsia" w:cs="Times New Roman"/>
                <w:sz w:val="24"/>
                <w:lang w:eastAsia="zh-CN"/>
              </w:rPr>
              <w:t>”</w:t>
            </w:r>
            <w:r>
              <w:rPr>
                <w:rFonts w:hint="default" w:ascii="Times New Roman" w:hAnsi="Times New Roman" w:cs="Times New Roman"/>
                <w:sz w:val="24"/>
              </w:rPr>
              <w:t xml:space="preserve">中 </w:t>
            </w:r>
            <w:r>
              <w:rPr>
                <w:rFonts w:hint="eastAsia" w:cs="Times New Roman"/>
                <w:sz w:val="24"/>
                <w:lang w:eastAsia="zh-CN"/>
              </w:rPr>
              <w:t>“</w:t>
            </w:r>
            <w:r>
              <w:rPr>
                <w:rFonts w:hint="default" w:ascii="Times New Roman" w:hAnsi="Times New Roman" w:cs="Times New Roman"/>
                <w:sz w:val="24"/>
              </w:rPr>
              <w:t>14 其他食品制造 149*</w:t>
            </w:r>
            <w:r>
              <w:rPr>
                <w:rFonts w:hint="eastAsia" w:cs="Times New Roman"/>
                <w:sz w:val="24"/>
                <w:lang w:eastAsia="zh-CN"/>
              </w:rPr>
              <w:t>”</w:t>
            </w:r>
            <w:r>
              <w:rPr>
                <w:rFonts w:hint="default" w:ascii="Times New Roman" w:hAnsi="Times New Roman" w:cs="Times New Roman"/>
                <w:sz w:val="24"/>
              </w:rPr>
              <w:t xml:space="preserve">中 </w:t>
            </w:r>
            <w:r>
              <w:rPr>
                <w:rFonts w:hint="eastAsia" w:cs="Times New Roman"/>
                <w:sz w:val="24"/>
                <w:lang w:eastAsia="zh-CN"/>
              </w:rPr>
              <w:t>“</w:t>
            </w:r>
            <w:r>
              <w:rPr>
                <w:rFonts w:hint="default" w:ascii="Times New Roman" w:hAnsi="Times New Roman" w:cs="Times New Roman"/>
                <w:sz w:val="24"/>
              </w:rPr>
              <w:t>其他未列明食品制造</w:t>
            </w:r>
            <w:r>
              <w:rPr>
                <w:rFonts w:hint="eastAsia" w:cs="Times New Roman"/>
                <w:sz w:val="24"/>
                <w:lang w:eastAsia="zh-CN"/>
              </w:rPr>
              <w:t>”</w:t>
            </w:r>
            <w:r>
              <w:rPr>
                <w:rFonts w:hint="default" w:ascii="Times New Roman" w:hAnsi="Times New Roman" w:cs="Times New Roman"/>
                <w:sz w:val="24"/>
                <w:szCs w:val="24"/>
              </w:rPr>
              <w:t>，属于登记管理。因此无需进行排污许可联动。</w:t>
            </w:r>
            <w:r>
              <w:rPr>
                <w:rFonts w:hint="default" w:ascii="Times New Roman" w:hAnsi="Times New Roman" w:cs="Times New Roman"/>
                <w:color w:val="auto"/>
                <w:sz w:val="24"/>
                <w:szCs w:val="24"/>
              </w:rPr>
              <w:t>要求企业在履行竣工环保</w:t>
            </w:r>
            <w:r>
              <w:rPr>
                <w:rFonts w:hint="eastAsia" w:cs="Times New Roman"/>
                <w:color w:val="auto"/>
                <w:sz w:val="24"/>
                <w:szCs w:val="24"/>
                <w:lang w:eastAsia="zh-CN"/>
              </w:rPr>
              <w:t>“</w:t>
            </w:r>
            <w:r>
              <w:rPr>
                <w:rFonts w:hint="default" w:ascii="Times New Roman" w:hAnsi="Times New Roman" w:cs="Times New Roman"/>
                <w:color w:val="auto"/>
                <w:sz w:val="24"/>
                <w:szCs w:val="24"/>
              </w:rPr>
              <w:t>三同时</w:t>
            </w:r>
            <w:r>
              <w:rPr>
                <w:rFonts w:hint="eastAsia" w:cs="Times New Roman"/>
                <w:color w:val="auto"/>
                <w:sz w:val="24"/>
                <w:szCs w:val="24"/>
                <w:lang w:eastAsia="zh-CN"/>
              </w:rPr>
              <w:t>”</w:t>
            </w:r>
            <w:r>
              <w:rPr>
                <w:rFonts w:hint="default" w:ascii="Times New Roman" w:hAnsi="Times New Roman" w:cs="Times New Roman"/>
                <w:color w:val="auto"/>
                <w:sz w:val="24"/>
                <w:szCs w:val="24"/>
              </w:rPr>
              <w:t>验收时完善排污许可手续。</w:t>
            </w:r>
          </w:p>
          <w:p w14:paraId="20BB9B1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rPr>
            </w:pPr>
          </w:p>
        </w:tc>
      </w:tr>
    </w:tbl>
    <w:p w14:paraId="4957E94B">
      <w:pPr>
        <w:pStyle w:val="25"/>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3C1A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3D7985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br w:type="page"/>
            </w:r>
            <w:r>
              <w:rPr>
                <w:rFonts w:hint="default" w:ascii="Times New Roman" w:hAnsi="Times New Roman" w:eastAsia="宋体" w:cs="Times New Roman"/>
                <w:sz w:val="24"/>
                <w:szCs w:val="24"/>
              </w:rPr>
              <w:t>本项目选址于</w:t>
            </w:r>
            <w:r>
              <w:rPr>
                <w:rFonts w:hint="default" w:ascii="Times New Roman" w:hAnsi="Times New Roman" w:eastAsia="宋体" w:cs="Times New Roman"/>
                <w:sz w:val="24"/>
                <w:szCs w:val="24"/>
                <w:lang w:val="en-US" w:eastAsia="zh-CN"/>
              </w:rPr>
              <w:t>安徽省淮北市相山经济开发区凤凰路16号2幢</w:t>
            </w:r>
            <w:r>
              <w:rPr>
                <w:rFonts w:hint="default" w:ascii="Times New Roman" w:hAnsi="Times New Roman" w:eastAsia="宋体" w:cs="Times New Roman"/>
                <w:sz w:val="24"/>
                <w:szCs w:val="24"/>
              </w:rPr>
              <w:t>，</w:t>
            </w:r>
            <w:r>
              <w:rPr>
                <w:rFonts w:hint="default" w:ascii="Times New Roman" w:hAnsi="Times New Roman" w:eastAsia="宋体" w:cs="Times New Roman"/>
                <w:color w:val="auto"/>
                <w:sz w:val="24"/>
                <w:szCs w:val="24"/>
              </w:rPr>
              <w:t>项目建设符合我国现行的产业政策，选址合理，</w:t>
            </w:r>
            <w:r>
              <w:rPr>
                <w:rFonts w:hint="default" w:ascii="Times New Roman" w:hAnsi="Times New Roman" w:eastAsia="宋体" w:cs="Times New Roman"/>
                <w:sz w:val="24"/>
                <w:szCs w:val="24"/>
              </w:rPr>
              <w:t>符合当地区域总体规划，总图布置可行。满足生产要求，污染治理措施技术经济可行，采取相应的污染防治措施后可使污染物达标排放，对评价区域环境质量的影响不明显，</w:t>
            </w:r>
            <w:r>
              <w:rPr>
                <w:rFonts w:hint="default" w:ascii="Times New Roman" w:hAnsi="Times New Roman" w:eastAsia="宋体" w:cs="Times New Roman"/>
                <w:color w:val="auto"/>
                <w:sz w:val="24"/>
                <w:szCs w:val="24"/>
              </w:rPr>
              <w:t>项目选址与周边用地功能相容性较好，</w:t>
            </w:r>
            <w:r>
              <w:rPr>
                <w:rFonts w:hint="default" w:ascii="Times New Roman" w:hAnsi="Times New Roman" w:eastAsia="宋体" w:cs="Times New Roman"/>
                <w:sz w:val="24"/>
                <w:szCs w:val="24"/>
              </w:rPr>
              <w:t>无重大环境制约因素。</w:t>
            </w:r>
            <w:r>
              <w:rPr>
                <w:rFonts w:hint="default" w:ascii="Times New Roman" w:hAnsi="Times New Roman" w:eastAsia="宋体" w:cs="Times New Roman"/>
                <w:color w:val="auto"/>
                <w:sz w:val="24"/>
                <w:szCs w:val="24"/>
              </w:rPr>
              <w:t>只要严格落实环境影响报告表和工程设计提出的环保对策措施，确保项目产生的污染物达标排放，从环境保护角度，本项目的建设是可行的。</w:t>
            </w:r>
          </w:p>
          <w:p w14:paraId="2DA17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sz w:val="24"/>
                <w:szCs w:val="24"/>
              </w:rPr>
            </w:pPr>
          </w:p>
          <w:p w14:paraId="124FB958">
            <w:pPr>
              <w:keepNext w:val="0"/>
              <w:keepLines w:val="0"/>
              <w:suppressLineNumbers w:val="0"/>
              <w:spacing w:before="0" w:beforeAutospacing="0" w:after="0" w:afterAutospacing="0" w:line="360" w:lineRule="auto"/>
              <w:ind w:left="0" w:right="0"/>
              <w:rPr>
                <w:rFonts w:hint="default" w:ascii="宋体" w:hAnsi="Times New Roman" w:cs="宋体"/>
                <w:sz w:val="24"/>
              </w:rPr>
            </w:pPr>
          </w:p>
        </w:tc>
      </w:tr>
    </w:tbl>
    <w:p w14:paraId="50D59700">
      <w:pPr>
        <w:rPr>
          <w:rFonts w:ascii="宋体"/>
        </w:rPr>
        <w:sectPr>
          <w:pgSz w:w="11905" w:h="16838"/>
          <w:pgMar w:top="1701" w:right="1531" w:bottom="1701" w:left="1531" w:header="851" w:footer="850" w:gutter="0"/>
          <w:pgBorders>
            <w:top w:val="none" w:sz="0" w:space="0"/>
            <w:left w:val="none" w:sz="0" w:space="0"/>
            <w:bottom w:val="none" w:sz="0" w:space="0"/>
            <w:right w:val="none" w:sz="0" w:space="0"/>
          </w:pgBorders>
          <w:cols w:space="720" w:num="1"/>
          <w:rtlGutter w:val="0"/>
          <w:docGrid w:linePitch="312" w:charSpace="0"/>
        </w:sectPr>
      </w:pPr>
    </w:p>
    <w:p w14:paraId="031A222F">
      <w:pPr>
        <w:pStyle w:val="25"/>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27A9EC86">
      <w:pPr>
        <w:pStyle w:val="25"/>
        <w:adjustRightInd w:val="0"/>
        <w:snapToGrid w:val="0"/>
        <w:spacing w:before="0" w:beforeAutospacing="0" w:after="0" w:afterAutospacing="0" w:line="240" w:lineRule="auto"/>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8"/>
        <w:tblW w:w="13855"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710"/>
        <w:gridCol w:w="1631"/>
        <w:gridCol w:w="1282"/>
        <w:gridCol w:w="1709"/>
        <w:gridCol w:w="1567"/>
        <w:gridCol w:w="1620"/>
        <w:gridCol w:w="1869"/>
        <w:gridCol w:w="1079"/>
      </w:tblGrid>
      <w:tr w14:paraId="04240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88" w:type="dxa"/>
            <w:tcBorders>
              <w:tl2br w:val="single" w:color="auto" w:sz="4" w:space="0"/>
            </w:tcBorders>
            <w:noWrap w:val="0"/>
            <w:tcMar>
              <w:left w:w="28" w:type="dxa"/>
              <w:right w:w="28" w:type="dxa"/>
            </w:tcMar>
            <w:vAlign w:val="center"/>
          </w:tcPr>
          <w:p w14:paraId="5FF4B3A2">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eastAsia" w:ascii="Times New Roman" w:hAnsi="Times New Roman" w:eastAsia="宋体" w:cs="Times New Roman"/>
                <w:b w:val="0"/>
                <w:bCs w:val="0"/>
                <w:snapToGrid w:val="0"/>
                <w:color w:val="000000"/>
                <w:spacing w:val="-6"/>
                <w:kern w:val="21"/>
                <w:sz w:val="21"/>
                <w:szCs w:val="21"/>
                <w:lang w:val="en-US" w:eastAsia="zh-CN"/>
              </w:rPr>
              <w:t xml:space="preserve">      </w:t>
            </w:r>
            <w:r>
              <w:rPr>
                <w:rFonts w:hint="default" w:ascii="Times New Roman" w:hAnsi="Times New Roman" w:eastAsia="宋体" w:cs="Times New Roman"/>
                <w:b w:val="0"/>
                <w:bCs w:val="0"/>
                <w:snapToGrid w:val="0"/>
                <w:color w:val="000000"/>
                <w:spacing w:val="-6"/>
                <w:kern w:val="21"/>
                <w:sz w:val="21"/>
                <w:szCs w:val="21"/>
              </w:rPr>
              <w:t>项目</w:t>
            </w:r>
          </w:p>
          <w:p w14:paraId="3E04D96E">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both"/>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t>分类</w:t>
            </w:r>
          </w:p>
        </w:tc>
        <w:tc>
          <w:tcPr>
            <w:tcW w:w="1710" w:type="dxa"/>
            <w:noWrap w:val="0"/>
            <w:tcMar>
              <w:left w:w="28" w:type="dxa"/>
              <w:right w:w="28" w:type="dxa"/>
            </w:tcMar>
            <w:vAlign w:val="center"/>
          </w:tcPr>
          <w:p w14:paraId="2EBB5DD7">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t>污染物名称</w:t>
            </w:r>
          </w:p>
        </w:tc>
        <w:tc>
          <w:tcPr>
            <w:tcW w:w="1631" w:type="dxa"/>
            <w:noWrap w:val="0"/>
            <w:tcMar>
              <w:left w:w="28" w:type="dxa"/>
              <w:right w:w="28" w:type="dxa"/>
            </w:tcMar>
            <w:vAlign w:val="center"/>
          </w:tcPr>
          <w:p w14:paraId="3CB88526">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t>现有工程</w:t>
            </w:r>
          </w:p>
          <w:p w14:paraId="23126B92">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t>排放量（固体废物产生量）</w:t>
            </w:r>
            <w:r>
              <w:rPr>
                <w:rFonts w:hint="default" w:ascii="Times New Roman" w:hAnsi="Times New Roman" w:eastAsia="宋体" w:cs="Times New Roman"/>
                <w:b w:val="0"/>
                <w:bCs w:val="0"/>
                <w:snapToGrid w:val="0"/>
                <w:color w:val="000000"/>
                <w:spacing w:val="-6"/>
                <w:kern w:val="21"/>
                <w:sz w:val="21"/>
                <w:szCs w:val="21"/>
              </w:rPr>
              <w:fldChar w:fldCharType="begin"/>
            </w:r>
            <w:r>
              <w:rPr>
                <w:rFonts w:hint="default" w:ascii="Times New Roman" w:hAnsi="Times New Roman" w:eastAsia="宋体" w:cs="Times New Roman"/>
                <w:b w:val="0"/>
                <w:bCs w:val="0"/>
                <w:snapToGrid w:val="0"/>
                <w:color w:val="000000"/>
                <w:spacing w:val="-6"/>
                <w:kern w:val="21"/>
                <w:sz w:val="21"/>
                <w:szCs w:val="21"/>
              </w:rPr>
              <w:instrText xml:space="preserve"> = 1 \* GB3 \* MERGEFORMAT </w:instrText>
            </w:r>
            <w:r>
              <w:rPr>
                <w:rFonts w:hint="default" w:ascii="Times New Roman" w:hAnsi="Times New Roman" w:eastAsia="宋体" w:cs="Times New Roman"/>
                <w:b w:val="0"/>
                <w:bCs w:val="0"/>
                <w:snapToGrid w:val="0"/>
                <w:color w:val="000000"/>
                <w:spacing w:val="-6"/>
                <w:kern w:val="21"/>
                <w:sz w:val="21"/>
                <w:szCs w:val="21"/>
              </w:rPr>
              <w:fldChar w:fldCharType="separate"/>
            </w:r>
            <w:r>
              <w:rPr>
                <w:rFonts w:hint="default" w:ascii="Times New Roman" w:hAnsi="Times New Roman" w:eastAsia="宋体" w:cs="Times New Roman"/>
                <w:b w:val="0"/>
                <w:bCs w:val="0"/>
                <w:kern w:val="2"/>
                <w:sz w:val="21"/>
                <w:szCs w:val="21"/>
              </w:rPr>
              <w:t>①</w:t>
            </w:r>
            <w:r>
              <w:rPr>
                <w:rFonts w:hint="default" w:ascii="Times New Roman" w:hAnsi="Times New Roman" w:eastAsia="宋体" w:cs="Times New Roman"/>
                <w:b w:val="0"/>
                <w:bCs w:val="0"/>
                <w:snapToGrid w:val="0"/>
                <w:color w:val="000000"/>
                <w:spacing w:val="-6"/>
                <w:kern w:val="21"/>
                <w:sz w:val="21"/>
                <w:szCs w:val="21"/>
              </w:rPr>
              <w:fldChar w:fldCharType="end"/>
            </w:r>
          </w:p>
        </w:tc>
        <w:tc>
          <w:tcPr>
            <w:tcW w:w="1282" w:type="dxa"/>
            <w:noWrap w:val="0"/>
            <w:tcMar>
              <w:left w:w="28" w:type="dxa"/>
              <w:right w:w="28" w:type="dxa"/>
            </w:tcMar>
            <w:vAlign w:val="center"/>
          </w:tcPr>
          <w:p w14:paraId="227B2321">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t>现有工程</w:t>
            </w:r>
          </w:p>
          <w:p w14:paraId="28D95130">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t>许可排放量</w:t>
            </w:r>
          </w:p>
          <w:p w14:paraId="5E2349E5">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fldChar w:fldCharType="begin"/>
            </w:r>
            <w:r>
              <w:rPr>
                <w:rFonts w:hint="default" w:ascii="Times New Roman" w:hAnsi="Times New Roman" w:eastAsia="宋体" w:cs="Times New Roman"/>
                <w:b w:val="0"/>
                <w:bCs w:val="0"/>
                <w:snapToGrid w:val="0"/>
                <w:color w:val="000000"/>
                <w:spacing w:val="-6"/>
                <w:kern w:val="21"/>
                <w:sz w:val="21"/>
                <w:szCs w:val="21"/>
              </w:rPr>
              <w:instrText xml:space="preserve"> = 2 \* GB3 \* MERGEFORMAT </w:instrText>
            </w:r>
            <w:r>
              <w:rPr>
                <w:rFonts w:hint="default" w:ascii="Times New Roman" w:hAnsi="Times New Roman" w:eastAsia="宋体" w:cs="Times New Roman"/>
                <w:b w:val="0"/>
                <w:bCs w:val="0"/>
                <w:snapToGrid w:val="0"/>
                <w:color w:val="000000"/>
                <w:spacing w:val="-6"/>
                <w:kern w:val="21"/>
                <w:sz w:val="21"/>
                <w:szCs w:val="21"/>
              </w:rPr>
              <w:fldChar w:fldCharType="separate"/>
            </w:r>
            <w:r>
              <w:rPr>
                <w:rFonts w:hint="default" w:ascii="Times New Roman" w:hAnsi="Times New Roman" w:eastAsia="宋体" w:cs="Times New Roman"/>
                <w:b w:val="0"/>
                <w:bCs w:val="0"/>
                <w:snapToGrid w:val="0"/>
                <w:color w:val="000000"/>
                <w:spacing w:val="-6"/>
                <w:kern w:val="21"/>
                <w:sz w:val="21"/>
                <w:szCs w:val="21"/>
              </w:rPr>
              <w:t>②</w:t>
            </w:r>
            <w:r>
              <w:rPr>
                <w:rFonts w:hint="default" w:ascii="Times New Roman" w:hAnsi="Times New Roman" w:eastAsia="宋体" w:cs="Times New Roman"/>
                <w:b w:val="0"/>
                <w:bCs w:val="0"/>
                <w:snapToGrid w:val="0"/>
                <w:color w:val="000000"/>
                <w:spacing w:val="-6"/>
                <w:kern w:val="21"/>
                <w:sz w:val="21"/>
                <w:szCs w:val="21"/>
              </w:rPr>
              <w:fldChar w:fldCharType="end"/>
            </w:r>
          </w:p>
        </w:tc>
        <w:tc>
          <w:tcPr>
            <w:tcW w:w="1709" w:type="dxa"/>
            <w:noWrap w:val="0"/>
            <w:tcMar>
              <w:left w:w="28" w:type="dxa"/>
              <w:right w:w="28" w:type="dxa"/>
            </w:tcMar>
            <w:vAlign w:val="center"/>
          </w:tcPr>
          <w:p w14:paraId="4AF9E461">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t>在建工程</w:t>
            </w:r>
          </w:p>
          <w:p w14:paraId="7530893A">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t>排放量（固体废物产生量）</w:t>
            </w:r>
            <w:r>
              <w:rPr>
                <w:rFonts w:hint="default" w:ascii="Times New Roman" w:hAnsi="Times New Roman" w:eastAsia="宋体" w:cs="Times New Roman"/>
                <w:b w:val="0"/>
                <w:bCs w:val="0"/>
                <w:snapToGrid w:val="0"/>
                <w:color w:val="000000"/>
                <w:spacing w:val="-6"/>
                <w:kern w:val="21"/>
                <w:sz w:val="21"/>
                <w:szCs w:val="21"/>
              </w:rPr>
              <w:fldChar w:fldCharType="begin"/>
            </w:r>
            <w:r>
              <w:rPr>
                <w:rFonts w:hint="default" w:ascii="Times New Roman" w:hAnsi="Times New Roman" w:eastAsia="宋体" w:cs="Times New Roman"/>
                <w:b w:val="0"/>
                <w:bCs w:val="0"/>
                <w:snapToGrid w:val="0"/>
                <w:color w:val="000000"/>
                <w:spacing w:val="-6"/>
                <w:kern w:val="21"/>
                <w:sz w:val="21"/>
                <w:szCs w:val="21"/>
              </w:rPr>
              <w:instrText xml:space="preserve"> = 3 \* GB3 \* MERGEFORMAT </w:instrText>
            </w:r>
            <w:r>
              <w:rPr>
                <w:rFonts w:hint="default" w:ascii="Times New Roman" w:hAnsi="Times New Roman" w:eastAsia="宋体" w:cs="Times New Roman"/>
                <w:b w:val="0"/>
                <w:bCs w:val="0"/>
                <w:snapToGrid w:val="0"/>
                <w:color w:val="000000"/>
                <w:spacing w:val="-6"/>
                <w:kern w:val="21"/>
                <w:sz w:val="21"/>
                <w:szCs w:val="21"/>
              </w:rPr>
              <w:fldChar w:fldCharType="separate"/>
            </w:r>
            <w:r>
              <w:rPr>
                <w:rFonts w:hint="default" w:ascii="Times New Roman" w:hAnsi="Times New Roman" w:eastAsia="宋体" w:cs="Times New Roman"/>
                <w:b w:val="0"/>
                <w:bCs w:val="0"/>
                <w:kern w:val="2"/>
                <w:sz w:val="21"/>
                <w:szCs w:val="21"/>
              </w:rPr>
              <w:t>③</w:t>
            </w:r>
            <w:r>
              <w:rPr>
                <w:rFonts w:hint="default" w:ascii="Times New Roman" w:hAnsi="Times New Roman" w:eastAsia="宋体" w:cs="Times New Roman"/>
                <w:b w:val="0"/>
                <w:bCs w:val="0"/>
                <w:snapToGrid w:val="0"/>
                <w:color w:val="000000"/>
                <w:spacing w:val="-6"/>
                <w:kern w:val="21"/>
                <w:sz w:val="21"/>
                <w:szCs w:val="21"/>
              </w:rPr>
              <w:fldChar w:fldCharType="end"/>
            </w:r>
          </w:p>
        </w:tc>
        <w:tc>
          <w:tcPr>
            <w:tcW w:w="1567" w:type="dxa"/>
            <w:noWrap w:val="0"/>
            <w:tcMar>
              <w:left w:w="28" w:type="dxa"/>
              <w:right w:w="28" w:type="dxa"/>
            </w:tcMar>
            <w:vAlign w:val="center"/>
          </w:tcPr>
          <w:p w14:paraId="75A7D48B">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t>本项目</w:t>
            </w:r>
          </w:p>
          <w:p w14:paraId="1836DCD4">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t>排放量（固体废物产生量）</w:t>
            </w:r>
            <w:r>
              <w:rPr>
                <w:rFonts w:hint="default" w:ascii="Times New Roman" w:hAnsi="Times New Roman" w:eastAsia="宋体" w:cs="Times New Roman"/>
                <w:b w:val="0"/>
                <w:bCs w:val="0"/>
                <w:snapToGrid w:val="0"/>
                <w:color w:val="000000"/>
                <w:spacing w:val="-6"/>
                <w:kern w:val="21"/>
                <w:sz w:val="21"/>
                <w:szCs w:val="21"/>
              </w:rPr>
              <w:fldChar w:fldCharType="begin"/>
            </w:r>
            <w:r>
              <w:rPr>
                <w:rFonts w:hint="default" w:ascii="Times New Roman" w:hAnsi="Times New Roman" w:eastAsia="宋体" w:cs="Times New Roman"/>
                <w:b w:val="0"/>
                <w:bCs w:val="0"/>
                <w:snapToGrid w:val="0"/>
                <w:color w:val="000000"/>
                <w:spacing w:val="-6"/>
                <w:kern w:val="21"/>
                <w:sz w:val="21"/>
                <w:szCs w:val="21"/>
              </w:rPr>
              <w:instrText xml:space="preserve"> = 4 \* GB3 \* MERGEFORMAT </w:instrText>
            </w:r>
            <w:r>
              <w:rPr>
                <w:rFonts w:hint="default" w:ascii="Times New Roman" w:hAnsi="Times New Roman" w:eastAsia="宋体" w:cs="Times New Roman"/>
                <w:b w:val="0"/>
                <w:bCs w:val="0"/>
                <w:snapToGrid w:val="0"/>
                <w:color w:val="000000"/>
                <w:spacing w:val="-6"/>
                <w:kern w:val="21"/>
                <w:sz w:val="21"/>
                <w:szCs w:val="21"/>
              </w:rPr>
              <w:fldChar w:fldCharType="separate"/>
            </w:r>
            <w:r>
              <w:rPr>
                <w:rFonts w:hint="default" w:ascii="Times New Roman" w:hAnsi="Times New Roman" w:eastAsia="宋体" w:cs="Times New Roman"/>
                <w:b w:val="0"/>
                <w:bCs w:val="0"/>
                <w:kern w:val="2"/>
                <w:sz w:val="21"/>
                <w:szCs w:val="21"/>
              </w:rPr>
              <w:t>④</w:t>
            </w:r>
            <w:r>
              <w:rPr>
                <w:rFonts w:hint="default" w:ascii="Times New Roman" w:hAnsi="Times New Roman" w:eastAsia="宋体" w:cs="Times New Roman"/>
                <w:b w:val="0"/>
                <w:bCs w:val="0"/>
                <w:snapToGrid w:val="0"/>
                <w:color w:val="000000"/>
                <w:spacing w:val="-6"/>
                <w:kern w:val="21"/>
                <w:sz w:val="21"/>
                <w:szCs w:val="21"/>
              </w:rPr>
              <w:fldChar w:fldCharType="end"/>
            </w:r>
          </w:p>
        </w:tc>
        <w:tc>
          <w:tcPr>
            <w:tcW w:w="1620" w:type="dxa"/>
            <w:noWrap w:val="0"/>
            <w:tcMar>
              <w:left w:w="28" w:type="dxa"/>
              <w:right w:w="28" w:type="dxa"/>
            </w:tcMar>
            <w:vAlign w:val="center"/>
          </w:tcPr>
          <w:p w14:paraId="104443A5">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16"/>
                <w:kern w:val="21"/>
                <w:sz w:val="21"/>
                <w:szCs w:val="21"/>
              </w:rPr>
            </w:pPr>
            <w:r>
              <w:rPr>
                <w:rFonts w:hint="default" w:ascii="Times New Roman" w:hAnsi="Times New Roman" w:eastAsia="宋体" w:cs="Times New Roman"/>
                <w:b w:val="0"/>
                <w:bCs w:val="0"/>
                <w:snapToGrid w:val="0"/>
                <w:color w:val="000000"/>
                <w:spacing w:val="-16"/>
                <w:kern w:val="21"/>
                <w:sz w:val="21"/>
                <w:szCs w:val="21"/>
              </w:rPr>
              <w:t>以新带老削减量</w:t>
            </w:r>
          </w:p>
          <w:p w14:paraId="07DD243C">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16"/>
                <w:kern w:val="21"/>
                <w:sz w:val="21"/>
                <w:szCs w:val="21"/>
              </w:rPr>
            </w:pPr>
            <w:r>
              <w:rPr>
                <w:rFonts w:hint="default" w:ascii="Times New Roman" w:hAnsi="Times New Roman" w:eastAsia="宋体" w:cs="Times New Roman"/>
                <w:b w:val="0"/>
                <w:bCs w:val="0"/>
                <w:snapToGrid w:val="0"/>
                <w:color w:val="000000"/>
                <w:spacing w:val="-16"/>
                <w:kern w:val="21"/>
                <w:sz w:val="21"/>
                <w:szCs w:val="21"/>
              </w:rPr>
              <w:t>（新建项目不填）</w:t>
            </w:r>
            <w:r>
              <w:rPr>
                <w:rFonts w:hint="default" w:ascii="Times New Roman" w:hAnsi="Times New Roman" w:eastAsia="宋体" w:cs="Times New Roman"/>
                <w:b w:val="0"/>
                <w:bCs w:val="0"/>
                <w:snapToGrid w:val="0"/>
                <w:color w:val="000000"/>
                <w:spacing w:val="-16"/>
                <w:kern w:val="21"/>
                <w:sz w:val="21"/>
                <w:szCs w:val="21"/>
              </w:rPr>
              <w:fldChar w:fldCharType="begin"/>
            </w:r>
            <w:r>
              <w:rPr>
                <w:rFonts w:hint="default" w:ascii="Times New Roman" w:hAnsi="Times New Roman" w:eastAsia="宋体" w:cs="Times New Roman"/>
                <w:b w:val="0"/>
                <w:bCs w:val="0"/>
                <w:snapToGrid w:val="0"/>
                <w:color w:val="000000"/>
                <w:spacing w:val="-16"/>
                <w:kern w:val="21"/>
                <w:sz w:val="21"/>
                <w:szCs w:val="21"/>
              </w:rPr>
              <w:instrText xml:space="preserve"> = 5 \* GB3 \* MERGEFORMAT </w:instrText>
            </w:r>
            <w:r>
              <w:rPr>
                <w:rFonts w:hint="default" w:ascii="Times New Roman" w:hAnsi="Times New Roman" w:eastAsia="宋体" w:cs="Times New Roman"/>
                <w:b w:val="0"/>
                <w:bCs w:val="0"/>
                <w:snapToGrid w:val="0"/>
                <w:color w:val="000000"/>
                <w:spacing w:val="-16"/>
                <w:kern w:val="21"/>
                <w:sz w:val="21"/>
                <w:szCs w:val="21"/>
              </w:rPr>
              <w:fldChar w:fldCharType="separate"/>
            </w:r>
            <w:r>
              <w:rPr>
                <w:rFonts w:hint="default" w:ascii="Times New Roman" w:hAnsi="Times New Roman" w:eastAsia="宋体" w:cs="Times New Roman"/>
                <w:b w:val="0"/>
                <w:bCs w:val="0"/>
                <w:kern w:val="2"/>
                <w:sz w:val="21"/>
                <w:szCs w:val="21"/>
              </w:rPr>
              <w:t>⑤</w:t>
            </w:r>
            <w:r>
              <w:rPr>
                <w:rFonts w:hint="default" w:ascii="Times New Roman" w:hAnsi="Times New Roman" w:eastAsia="宋体" w:cs="Times New Roman"/>
                <w:b w:val="0"/>
                <w:bCs w:val="0"/>
                <w:snapToGrid w:val="0"/>
                <w:color w:val="000000"/>
                <w:spacing w:val="-16"/>
                <w:kern w:val="21"/>
                <w:sz w:val="21"/>
                <w:szCs w:val="21"/>
              </w:rPr>
              <w:fldChar w:fldCharType="end"/>
            </w:r>
          </w:p>
        </w:tc>
        <w:tc>
          <w:tcPr>
            <w:tcW w:w="1869" w:type="dxa"/>
            <w:noWrap w:val="0"/>
            <w:tcMar>
              <w:left w:w="28" w:type="dxa"/>
              <w:right w:w="28" w:type="dxa"/>
            </w:tcMar>
            <w:vAlign w:val="center"/>
          </w:tcPr>
          <w:p w14:paraId="23423E24">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16"/>
                <w:kern w:val="21"/>
                <w:sz w:val="21"/>
                <w:szCs w:val="21"/>
              </w:rPr>
            </w:pPr>
            <w:r>
              <w:rPr>
                <w:rFonts w:hint="default" w:ascii="Times New Roman" w:hAnsi="Times New Roman" w:eastAsia="宋体" w:cs="Times New Roman"/>
                <w:b w:val="0"/>
                <w:bCs w:val="0"/>
                <w:snapToGrid w:val="0"/>
                <w:color w:val="000000"/>
                <w:spacing w:val="-16"/>
                <w:kern w:val="21"/>
                <w:sz w:val="21"/>
                <w:szCs w:val="21"/>
              </w:rPr>
              <w:t>本项目建成后</w:t>
            </w:r>
          </w:p>
          <w:p w14:paraId="3F43EF5E">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16"/>
                <w:kern w:val="21"/>
                <w:sz w:val="21"/>
                <w:szCs w:val="21"/>
              </w:rPr>
            </w:pPr>
            <w:r>
              <w:rPr>
                <w:rFonts w:hint="default" w:ascii="Times New Roman" w:hAnsi="Times New Roman" w:eastAsia="宋体" w:cs="Times New Roman"/>
                <w:b w:val="0"/>
                <w:bCs w:val="0"/>
                <w:snapToGrid w:val="0"/>
                <w:color w:val="000000"/>
                <w:spacing w:val="-16"/>
                <w:kern w:val="21"/>
                <w:sz w:val="21"/>
                <w:szCs w:val="21"/>
              </w:rPr>
              <w:t>全厂排放量（固体废物产生量）</w:t>
            </w:r>
            <w:r>
              <w:rPr>
                <w:rFonts w:hint="default" w:ascii="Times New Roman" w:hAnsi="Times New Roman" w:eastAsia="宋体" w:cs="Times New Roman"/>
                <w:b w:val="0"/>
                <w:bCs w:val="0"/>
                <w:snapToGrid w:val="0"/>
                <w:color w:val="000000"/>
                <w:spacing w:val="-16"/>
                <w:kern w:val="21"/>
                <w:sz w:val="21"/>
                <w:szCs w:val="21"/>
              </w:rPr>
              <w:fldChar w:fldCharType="begin"/>
            </w:r>
            <w:r>
              <w:rPr>
                <w:rFonts w:hint="default" w:ascii="Times New Roman" w:hAnsi="Times New Roman" w:eastAsia="宋体" w:cs="Times New Roman"/>
                <w:b w:val="0"/>
                <w:bCs w:val="0"/>
                <w:snapToGrid w:val="0"/>
                <w:color w:val="000000"/>
                <w:spacing w:val="-16"/>
                <w:kern w:val="21"/>
                <w:sz w:val="21"/>
                <w:szCs w:val="21"/>
              </w:rPr>
              <w:instrText xml:space="preserve"> = 6 \* GB3 \* MERGEFORMAT </w:instrText>
            </w:r>
            <w:r>
              <w:rPr>
                <w:rFonts w:hint="default" w:ascii="Times New Roman" w:hAnsi="Times New Roman" w:eastAsia="宋体" w:cs="Times New Roman"/>
                <w:b w:val="0"/>
                <w:bCs w:val="0"/>
                <w:snapToGrid w:val="0"/>
                <w:color w:val="000000"/>
                <w:spacing w:val="-16"/>
                <w:kern w:val="21"/>
                <w:sz w:val="21"/>
                <w:szCs w:val="21"/>
              </w:rPr>
              <w:fldChar w:fldCharType="separate"/>
            </w:r>
            <w:r>
              <w:rPr>
                <w:rFonts w:hint="default" w:ascii="Times New Roman" w:hAnsi="Times New Roman" w:eastAsia="宋体" w:cs="Times New Roman"/>
                <w:b w:val="0"/>
                <w:bCs w:val="0"/>
                <w:kern w:val="2"/>
                <w:sz w:val="21"/>
                <w:szCs w:val="21"/>
              </w:rPr>
              <w:t>⑥</w:t>
            </w:r>
            <w:r>
              <w:rPr>
                <w:rFonts w:hint="default" w:ascii="Times New Roman" w:hAnsi="Times New Roman" w:eastAsia="宋体" w:cs="Times New Roman"/>
                <w:b w:val="0"/>
                <w:bCs w:val="0"/>
                <w:snapToGrid w:val="0"/>
                <w:color w:val="000000"/>
                <w:spacing w:val="-16"/>
                <w:kern w:val="21"/>
                <w:sz w:val="21"/>
                <w:szCs w:val="21"/>
              </w:rPr>
              <w:fldChar w:fldCharType="end"/>
            </w:r>
          </w:p>
        </w:tc>
        <w:tc>
          <w:tcPr>
            <w:tcW w:w="1079" w:type="dxa"/>
            <w:noWrap w:val="0"/>
            <w:tcMar>
              <w:left w:w="28" w:type="dxa"/>
              <w:right w:w="28" w:type="dxa"/>
            </w:tcMar>
            <w:vAlign w:val="center"/>
          </w:tcPr>
          <w:p w14:paraId="67428777">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t>变化量</w:t>
            </w:r>
          </w:p>
          <w:p w14:paraId="26D5E9EB">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spacing w:val="-6"/>
                <w:kern w:val="21"/>
                <w:sz w:val="21"/>
                <w:szCs w:val="21"/>
              </w:rPr>
            </w:pPr>
            <w:r>
              <w:rPr>
                <w:rFonts w:hint="default" w:ascii="Times New Roman" w:hAnsi="Times New Roman" w:eastAsia="宋体" w:cs="Times New Roman"/>
                <w:b w:val="0"/>
                <w:bCs w:val="0"/>
                <w:snapToGrid w:val="0"/>
                <w:color w:val="000000"/>
                <w:spacing w:val="-6"/>
                <w:kern w:val="21"/>
                <w:sz w:val="21"/>
                <w:szCs w:val="21"/>
              </w:rPr>
              <w:fldChar w:fldCharType="begin"/>
            </w:r>
            <w:r>
              <w:rPr>
                <w:rFonts w:hint="default" w:ascii="Times New Roman" w:hAnsi="Times New Roman" w:eastAsia="宋体" w:cs="Times New Roman"/>
                <w:b w:val="0"/>
                <w:bCs w:val="0"/>
                <w:snapToGrid w:val="0"/>
                <w:color w:val="000000"/>
                <w:spacing w:val="-6"/>
                <w:kern w:val="21"/>
                <w:sz w:val="21"/>
                <w:szCs w:val="21"/>
              </w:rPr>
              <w:instrText xml:space="preserve"> = 7 \* GB3 \* MERGEFORMAT </w:instrText>
            </w:r>
            <w:r>
              <w:rPr>
                <w:rFonts w:hint="default" w:ascii="Times New Roman" w:hAnsi="Times New Roman" w:eastAsia="宋体" w:cs="Times New Roman"/>
                <w:b w:val="0"/>
                <w:bCs w:val="0"/>
                <w:snapToGrid w:val="0"/>
                <w:color w:val="000000"/>
                <w:spacing w:val="-6"/>
                <w:kern w:val="21"/>
                <w:sz w:val="21"/>
                <w:szCs w:val="21"/>
              </w:rPr>
              <w:fldChar w:fldCharType="separate"/>
            </w:r>
            <w:r>
              <w:rPr>
                <w:rFonts w:hint="default" w:ascii="Times New Roman" w:hAnsi="Times New Roman" w:eastAsia="宋体" w:cs="Times New Roman"/>
                <w:b w:val="0"/>
                <w:bCs w:val="0"/>
                <w:kern w:val="2"/>
                <w:sz w:val="21"/>
                <w:szCs w:val="21"/>
              </w:rPr>
              <w:t>⑦</w:t>
            </w:r>
            <w:r>
              <w:rPr>
                <w:rFonts w:hint="default" w:ascii="Times New Roman" w:hAnsi="Times New Roman" w:eastAsia="宋体" w:cs="Times New Roman"/>
                <w:b w:val="0"/>
                <w:bCs w:val="0"/>
                <w:snapToGrid w:val="0"/>
                <w:color w:val="000000"/>
                <w:spacing w:val="-6"/>
                <w:kern w:val="21"/>
                <w:sz w:val="21"/>
                <w:szCs w:val="21"/>
              </w:rPr>
              <w:fldChar w:fldCharType="end"/>
            </w:r>
          </w:p>
        </w:tc>
      </w:tr>
      <w:tr w14:paraId="79ED7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388" w:type="dxa"/>
            <w:vMerge w:val="restart"/>
            <w:noWrap w:val="0"/>
            <w:vAlign w:val="center"/>
          </w:tcPr>
          <w:p w14:paraId="26548AFE">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snapToGrid w:val="0"/>
                <w:color w:val="000000"/>
                <w:kern w:val="21"/>
                <w:sz w:val="21"/>
                <w:szCs w:val="21"/>
              </w:rPr>
              <w:t>废气</w:t>
            </w:r>
          </w:p>
        </w:tc>
        <w:tc>
          <w:tcPr>
            <w:tcW w:w="1710" w:type="dxa"/>
            <w:noWrap w:val="0"/>
            <w:vAlign w:val="center"/>
          </w:tcPr>
          <w:p w14:paraId="2BA5BF4D">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lang w:val="en-US" w:eastAsia="zh-CN"/>
              </w:rPr>
            </w:pPr>
            <w:r>
              <w:rPr>
                <w:rFonts w:hint="default" w:ascii="Times New Roman" w:hAnsi="Times New Roman" w:eastAsia="宋体" w:cs="Times New Roman"/>
                <w:b w:val="0"/>
                <w:bCs w:val="0"/>
                <w:snapToGrid w:val="0"/>
                <w:color w:val="000000"/>
                <w:kern w:val="21"/>
                <w:sz w:val="21"/>
                <w:szCs w:val="21"/>
                <w:lang w:val="en-US" w:eastAsia="zh-CN"/>
              </w:rPr>
              <w:t>颗粒物</w:t>
            </w:r>
          </w:p>
        </w:tc>
        <w:tc>
          <w:tcPr>
            <w:tcW w:w="1631" w:type="dxa"/>
            <w:noWrap w:val="0"/>
            <w:vAlign w:val="center"/>
          </w:tcPr>
          <w:p w14:paraId="29E017B5">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lang w:val="en-US" w:eastAsia="zh-CN"/>
              </w:rPr>
            </w:pPr>
            <w:r>
              <w:rPr>
                <w:rFonts w:hint="eastAsia" w:ascii="Times New Roman" w:cs="Times New Roman"/>
                <w:b w:val="0"/>
                <w:bCs w:val="0"/>
                <w:snapToGrid w:val="0"/>
                <w:color w:val="000000"/>
                <w:kern w:val="21"/>
                <w:sz w:val="21"/>
                <w:szCs w:val="21"/>
                <w:lang w:val="en-US" w:eastAsia="zh-CN"/>
              </w:rPr>
              <w:t>0.0007</w:t>
            </w:r>
          </w:p>
        </w:tc>
        <w:tc>
          <w:tcPr>
            <w:tcW w:w="1282" w:type="dxa"/>
            <w:noWrap w:val="0"/>
            <w:vAlign w:val="center"/>
          </w:tcPr>
          <w:p w14:paraId="3A8E77C0">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lang w:val="en-US" w:eastAsia="zh-CN"/>
              </w:rPr>
            </w:pPr>
            <w:r>
              <w:rPr>
                <w:rFonts w:hint="default" w:ascii="Times New Roman" w:hAnsi="Times New Roman" w:eastAsia="宋体" w:cs="Times New Roman"/>
                <w:b w:val="0"/>
                <w:bCs w:val="0"/>
                <w:snapToGrid w:val="0"/>
                <w:color w:val="000000"/>
                <w:kern w:val="21"/>
                <w:sz w:val="21"/>
                <w:szCs w:val="21"/>
                <w:lang w:val="en-US" w:eastAsia="zh-CN"/>
              </w:rPr>
              <w:t>0</w:t>
            </w:r>
          </w:p>
        </w:tc>
        <w:tc>
          <w:tcPr>
            <w:tcW w:w="1709" w:type="dxa"/>
            <w:noWrap w:val="0"/>
            <w:vAlign w:val="center"/>
          </w:tcPr>
          <w:p w14:paraId="6CF04D5F">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lang w:val="en-US" w:eastAsia="zh-CN"/>
              </w:rPr>
            </w:pPr>
            <w:r>
              <w:rPr>
                <w:rFonts w:hint="default" w:ascii="Times New Roman" w:hAnsi="Times New Roman" w:eastAsia="宋体" w:cs="Times New Roman"/>
                <w:b w:val="0"/>
                <w:bCs w:val="0"/>
                <w:snapToGrid w:val="0"/>
                <w:color w:val="000000"/>
                <w:kern w:val="21"/>
                <w:sz w:val="21"/>
                <w:szCs w:val="21"/>
                <w:lang w:val="en-US" w:eastAsia="zh-CN"/>
              </w:rPr>
              <w:t>0</w:t>
            </w:r>
          </w:p>
        </w:tc>
        <w:tc>
          <w:tcPr>
            <w:tcW w:w="1567" w:type="dxa"/>
            <w:noWrap w:val="0"/>
            <w:vAlign w:val="center"/>
          </w:tcPr>
          <w:p w14:paraId="23C18D2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2"/>
                <w:sz w:val="21"/>
                <w:szCs w:val="21"/>
                <w:u w:val="none"/>
                <w:lang w:val="en-US" w:eastAsia="zh-CN" w:bidi="ar-SA"/>
              </w:rPr>
            </w:pPr>
            <w:r>
              <w:rPr>
                <w:rFonts w:hint="eastAsia" w:cs="Times New Roman"/>
                <w:b w:val="0"/>
                <w:bCs w:val="0"/>
                <w:i w:val="0"/>
                <w:iCs w:val="0"/>
                <w:color w:val="000000"/>
                <w:kern w:val="0"/>
                <w:sz w:val="21"/>
                <w:szCs w:val="21"/>
                <w:u w:val="none"/>
                <w:lang w:val="en-US" w:eastAsia="zh-CN" w:bidi="ar"/>
              </w:rPr>
              <w:t>0.0058</w:t>
            </w:r>
          </w:p>
        </w:tc>
        <w:tc>
          <w:tcPr>
            <w:tcW w:w="1620" w:type="dxa"/>
            <w:noWrap w:val="0"/>
            <w:vAlign w:val="center"/>
          </w:tcPr>
          <w:p w14:paraId="7C0A6322">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lang w:val="en-US" w:eastAsia="zh-CN"/>
              </w:rPr>
            </w:pPr>
            <w:r>
              <w:rPr>
                <w:rFonts w:hint="default" w:ascii="Times New Roman" w:hAnsi="Times New Roman" w:eastAsia="宋体" w:cs="Times New Roman"/>
                <w:b w:val="0"/>
                <w:bCs w:val="0"/>
                <w:snapToGrid w:val="0"/>
                <w:color w:val="000000"/>
                <w:kern w:val="21"/>
                <w:sz w:val="21"/>
                <w:szCs w:val="21"/>
                <w:lang w:val="en-US" w:eastAsia="zh-CN"/>
              </w:rPr>
              <w:t>0</w:t>
            </w:r>
          </w:p>
        </w:tc>
        <w:tc>
          <w:tcPr>
            <w:tcW w:w="1869" w:type="dxa"/>
            <w:noWrap w:val="0"/>
            <w:vAlign w:val="center"/>
          </w:tcPr>
          <w:p w14:paraId="6764B82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0.0065</w:t>
            </w:r>
          </w:p>
        </w:tc>
        <w:tc>
          <w:tcPr>
            <w:tcW w:w="1079" w:type="dxa"/>
            <w:noWrap w:val="0"/>
            <w:vAlign w:val="center"/>
          </w:tcPr>
          <w:p w14:paraId="395A2C4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cs="Times New Roman"/>
                <w:color w:val="000000"/>
                <w:szCs w:val="21"/>
              </w:rPr>
              <w:t>+</w:t>
            </w:r>
            <w:r>
              <w:rPr>
                <w:rFonts w:hint="eastAsia" w:cs="Times New Roman"/>
                <w:color w:val="000000"/>
                <w:szCs w:val="21"/>
                <w:lang w:val="en-US" w:eastAsia="zh-CN"/>
              </w:rPr>
              <w:t>0.0058</w:t>
            </w:r>
          </w:p>
        </w:tc>
      </w:tr>
      <w:tr w14:paraId="4502B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restart"/>
            <w:noWrap w:val="0"/>
            <w:vAlign w:val="center"/>
          </w:tcPr>
          <w:p w14:paraId="0D0228CB">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snapToGrid w:val="0"/>
                <w:color w:val="000000"/>
                <w:kern w:val="21"/>
                <w:sz w:val="21"/>
                <w:szCs w:val="21"/>
              </w:rPr>
              <w:t>废水</w:t>
            </w:r>
          </w:p>
        </w:tc>
        <w:tc>
          <w:tcPr>
            <w:tcW w:w="1710" w:type="dxa"/>
            <w:noWrap w:val="0"/>
            <w:vAlign w:val="center"/>
          </w:tcPr>
          <w:p w14:paraId="328FE409">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lang w:val="en-US" w:eastAsia="zh-CN"/>
              </w:rPr>
            </w:pPr>
            <w:r>
              <w:rPr>
                <w:rFonts w:hint="default" w:ascii="Times New Roman" w:hAnsi="Times New Roman" w:eastAsia="宋体" w:cs="Times New Roman"/>
                <w:b w:val="0"/>
                <w:bCs w:val="0"/>
                <w:snapToGrid w:val="0"/>
                <w:color w:val="000000"/>
                <w:kern w:val="21"/>
                <w:sz w:val="21"/>
                <w:szCs w:val="21"/>
                <w:lang w:val="en-US" w:eastAsia="zh-CN"/>
              </w:rPr>
              <w:t>COD</w:t>
            </w:r>
          </w:p>
        </w:tc>
        <w:tc>
          <w:tcPr>
            <w:tcW w:w="1631" w:type="dxa"/>
            <w:noWrap w:val="0"/>
            <w:vAlign w:val="center"/>
          </w:tcPr>
          <w:p w14:paraId="5C8EC0F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0.0</w:t>
            </w:r>
            <w:r>
              <w:rPr>
                <w:rFonts w:hint="eastAsia" w:cs="Times New Roman"/>
                <w:b w:val="0"/>
                <w:bCs w:val="0"/>
                <w:i w:val="0"/>
                <w:iCs w:val="0"/>
                <w:color w:val="000000"/>
                <w:kern w:val="0"/>
                <w:sz w:val="21"/>
                <w:szCs w:val="21"/>
                <w:u w:val="none"/>
                <w:lang w:val="en-US" w:eastAsia="zh-CN" w:bidi="ar"/>
              </w:rPr>
              <w:t>4</w:t>
            </w:r>
          </w:p>
        </w:tc>
        <w:tc>
          <w:tcPr>
            <w:tcW w:w="1282" w:type="dxa"/>
            <w:noWrap w:val="0"/>
            <w:vAlign w:val="center"/>
          </w:tcPr>
          <w:p w14:paraId="41C1A2A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709" w:type="dxa"/>
            <w:noWrap w:val="0"/>
            <w:vAlign w:val="center"/>
          </w:tcPr>
          <w:p w14:paraId="0B5A3D9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567" w:type="dxa"/>
            <w:noWrap w:val="0"/>
            <w:vAlign w:val="center"/>
          </w:tcPr>
          <w:p w14:paraId="26F8147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0.02</w:t>
            </w:r>
            <w:r>
              <w:rPr>
                <w:rFonts w:hint="eastAsia" w:cs="Times New Roman"/>
                <w:b w:val="0"/>
                <w:bCs w:val="0"/>
                <w:i w:val="0"/>
                <w:iCs w:val="0"/>
                <w:color w:val="000000"/>
                <w:kern w:val="0"/>
                <w:sz w:val="21"/>
                <w:szCs w:val="21"/>
                <w:u w:val="none"/>
                <w:lang w:val="en-US" w:eastAsia="zh-CN" w:bidi="ar"/>
              </w:rPr>
              <w:t>8</w:t>
            </w:r>
          </w:p>
        </w:tc>
        <w:tc>
          <w:tcPr>
            <w:tcW w:w="1620" w:type="dxa"/>
            <w:noWrap w:val="0"/>
            <w:vAlign w:val="center"/>
          </w:tcPr>
          <w:p w14:paraId="7124A53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869" w:type="dxa"/>
            <w:noWrap w:val="0"/>
            <w:vAlign w:val="center"/>
          </w:tcPr>
          <w:p w14:paraId="398C0D8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0.06</w:t>
            </w:r>
            <w:r>
              <w:rPr>
                <w:rFonts w:hint="eastAsia" w:cs="Times New Roman"/>
                <w:b w:val="0"/>
                <w:bCs w:val="0"/>
                <w:i w:val="0"/>
                <w:iCs w:val="0"/>
                <w:color w:val="000000"/>
                <w:kern w:val="0"/>
                <w:sz w:val="21"/>
                <w:szCs w:val="21"/>
                <w:u w:val="none"/>
                <w:lang w:val="en-US" w:eastAsia="zh-CN" w:bidi="ar"/>
              </w:rPr>
              <w:t>8</w:t>
            </w:r>
          </w:p>
        </w:tc>
        <w:tc>
          <w:tcPr>
            <w:tcW w:w="1079" w:type="dxa"/>
            <w:noWrap w:val="0"/>
            <w:vAlign w:val="center"/>
          </w:tcPr>
          <w:p w14:paraId="765E05E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0.02</w:t>
            </w:r>
            <w:r>
              <w:rPr>
                <w:rFonts w:hint="eastAsia" w:cs="Times New Roman"/>
                <w:b w:val="0"/>
                <w:bCs w:val="0"/>
                <w:i w:val="0"/>
                <w:iCs w:val="0"/>
                <w:color w:val="000000"/>
                <w:kern w:val="0"/>
                <w:sz w:val="21"/>
                <w:szCs w:val="21"/>
                <w:u w:val="none"/>
                <w:lang w:val="en-US" w:eastAsia="zh-CN" w:bidi="ar"/>
              </w:rPr>
              <w:t>8</w:t>
            </w:r>
          </w:p>
        </w:tc>
      </w:tr>
      <w:tr w14:paraId="54F09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continue"/>
            <w:noWrap w:val="0"/>
            <w:vAlign w:val="center"/>
          </w:tcPr>
          <w:p w14:paraId="55C81150">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p>
        </w:tc>
        <w:tc>
          <w:tcPr>
            <w:tcW w:w="1710" w:type="dxa"/>
            <w:noWrap w:val="0"/>
            <w:vAlign w:val="center"/>
          </w:tcPr>
          <w:p w14:paraId="0871A5E3">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lang w:val="en-US" w:eastAsia="zh-CN"/>
              </w:rPr>
            </w:pPr>
            <w:r>
              <w:rPr>
                <w:rFonts w:hint="default" w:ascii="Times New Roman" w:hAnsi="Times New Roman" w:eastAsia="宋体" w:cs="Times New Roman"/>
                <w:b w:val="0"/>
                <w:bCs w:val="0"/>
                <w:snapToGrid w:val="0"/>
                <w:color w:val="000000"/>
                <w:kern w:val="21"/>
                <w:sz w:val="21"/>
                <w:szCs w:val="21"/>
                <w:lang w:val="en-US" w:eastAsia="zh-CN"/>
              </w:rPr>
              <w:t>氨氮</w:t>
            </w:r>
          </w:p>
        </w:tc>
        <w:tc>
          <w:tcPr>
            <w:tcW w:w="1631" w:type="dxa"/>
            <w:noWrap w:val="0"/>
            <w:vAlign w:val="center"/>
          </w:tcPr>
          <w:p w14:paraId="07539D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0.00</w:t>
            </w:r>
            <w:r>
              <w:rPr>
                <w:rFonts w:hint="eastAsia" w:cs="Times New Roman"/>
                <w:b w:val="0"/>
                <w:bCs w:val="0"/>
                <w:i w:val="0"/>
                <w:iCs w:val="0"/>
                <w:color w:val="000000"/>
                <w:kern w:val="0"/>
                <w:sz w:val="21"/>
                <w:szCs w:val="21"/>
                <w:u w:val="none"/>
                <w:lang w:val="en-US" w:eastAsia="zh-CN" w:bidi="ar"/>
              </w:rPr>
              <w:t>2</w:t>
            </w:r>
          </w:p>
        </w:tc>
        <w:tc>
          <w:tcPr>
            <w:tcW w:w="1282" w:type="dxa"/>
            <w:noWrap w:val="0"/>
            <w:vAlign w:val="center"/>
          </w:tcPr>
          <w:p w14:paraId="7290DD3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709" w:type="dxa"/>
            <w:noWrap w:val="0"/>
            <w:vAlign w:val="center"/>
          </w:tcPr>
          <w:p w14:paraId="277799B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567" w:type="dxa"/>
            <w:noWrap w:val="0"/>
            <w:vAlign w:val="center"/>
          </w:tcPr>
          <w:p w14:paraId="58A3445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0.0014</w:t>
            </w:r>
          </w:p>
        </w:tc>
        <w:tc>
          <w:tcPr>
            <w:tcW w:w="1620" w:type="dxa"/>
            <w:noWrap w:val="0"/>
            <w:vAlign w:val="center"/>
          </w:tcPr>
          <w:p w14:paraId="1FED929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869" w:type="dxa"/>
            <w:noWrap w:val="0"/>
            <w:vAlign w:val="center"/>
          </w:tcPr>
          <w:p w14:paraId="70ACE51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0.003</w:t>
            </w:r>
            <w:r>
              <w:rPr>
                <w:rFonts w:hint="eastAsia" w:cs="Times New Roman"/>
                <w:b w:val="0"/>
                <w:bCs w:val="0"/>
                <w:i w:val="0"/>
                <w:iCs w:val="0"/>
                <w:color w:val="000000"/>
                <w:kern w:val="0"/>
                <w:sz w:val="21"/>
                <w:szCs w:val="21"/>
                <w:u w:val="none"/>
                <w:lang w:val="en-US" w:eastAsia="zh-CN" w:bidi="ar"/>
              </w:rPr>
              <w:t>4</w:t>
            </w:r>
          </w:p>
        </w:tc>
        <w:tc>
          <w:tcPr>
            <w:tcW w:w="1079" w:type="dxa"/>
            <w:noWrap w:val="0"/>
            <w:vAlign w:val="center"/>
          </w:tcPr>
          <w:p w14:paraId="4ACAA70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0.0014</w:t>
            </w:r>
          </w:p>
        </w:tc>
      </w:tr>
      <w:tr w14:paraId="7A373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restart"/>
            <w:noWrap w:val="0"/>
            <w:vAlign w:val="center"/>
          </w:tcPr>
          <w:p w14:paraId="5909D0D2">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snapToGrid w:val="0"/>
                <w:color w:val="000000"/>
                <w:kern w:val="21"/>
                <w:sz w:val="21"/>
                <w:szCs w:val="21"/>
              </w:rPr>
              <w:t>一般工业</w:t>
            </w:r>
          </w:p>
          <w:p w14:paraId="4AC1D290">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snapToGrid w:val="0"/>
                <w:color w:val="000000"/>
                <w:kern w:val="21"/>
                <w:sz w:val="21"/>
                <w:szCs w:val="21"/>
              </w:rPr>
              <w:t>固体废物</w:t>
            </w:r>
          </w:p>
        </w:tc>
        <w:tc>
          <w:tcPr>
            <w:tcW w:w="1710" w:type="dxa"/>
            <w:noWrap w:val="0"/>
            <w:vAlign w:val="center"/>
          </w:tcPr>
          <w:p w14:paraId="1DAF4F1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生活垃圾</w:t>
            </w:r>
          </w:p>
        </w:tc>
        <w:tc>
          <w:tcPr>
            <w:tcW w:w="1631" w:type="dxa"/>
            <w:noWrap w:val="0"/>
            <w:vAlign w:val="center"/>
          </w:tcPr>
          <w:p w14:paraId="7728EC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9.375</w:t>
            </w:r>
          </w:p>
        </w:tc>
        <w:tc>
          <w:tcPr>
            <w:tcW w:w="1282" w:type="dxa"/>
            <w:noWrap w:val="0"/>
            <w:vAlign w:val="center"/>
          </w:tcPr>
          <w:p w14:paraId="4436FB7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709" w:type="dxa"/>
            <w:noWrap w:val="0"/>
            <w:vAlign w:val="center"/>
          </w:tcPr>
          <w:p w14:paraId="65A1509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567" w:type="dxa"/>
            <w:noWrap w:val="0"/>
            <w:vAlign w:val="center"/>
          </w:tcPr>
          <w:p w14:paraId="3BC3B85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3.125</w:t>
            </w:r>
          </w:p>
        </w:tc>
        <w:tc>
          <w:tcPr>
            <w:tcW w:w="1620" w:type="dxa"/>
            <w:noWrap w:val="0"/>
            <w:vAlign w:val="center"/>
          </w:tcPr>
          <w:p w14:paraId="4699C3E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869" w:type="dxa"/>
            <w:noWrap w:val="0"/>
            <w:vAlign w:val="center"/>
          </w:tcPr>
          <w:p w14:paraId="2A942DD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12.5</w:t>
            </w:r>
          </w:p>
        </w:tc>
        <w:tc>
          <w:tcPr>
            <w:tcW w:w="1079" w:type="dxa"/>
            <w:noWrap w:val="0"/>
            <w:vAlign w:val="center"/>
          </w:tcPr>
          <w:p w14:paraId="65BF688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3.125</w:t>
            </w:r>
          </w:p>
        </w:tc>
      </w:tr>
      <w:tr w14:paraId="2B235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continue"/>
            <w:noWrap w:val="0"/>
            <w:vAlign w:val="center"/>
          </w:tcPr>
          <w:p w14:paraId="2DD3B0BD">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p>
        </w:tc>
        <w:tc>
          <w:tcPr>
            <w:tcW w:w="1710" w:type="dxa"/>
            <w:noWrap w:val="0"/>
            <w:vAlign w:val="center"/>
          </w:tcPr>
          <w:p w14:paraId="5A1B890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废毛巾</w:t>
            </w:r>
          </w:p>
        </w:tc>
        <w:tc>
          <w:tcPr>
            <w:tcW w:w="1631" w:type="dxa"/>
            <w:noWrap w:val="0"/>
            <w:vAlign w:val="center"/>
          </w:tcPr>
          <w:p w14:paraId="6F2316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0.03</w:t>
            </w:r>
          </w:p>
        </w:tc>
        <w:tc>
          <w:tcPr>
            <w:tcW w:w="1282" w:type="dxa"/>
            <w:noWrap w:val="0"/>
            <w:vAlign w:val="center"/>
          </w:tcPr>
          <w:p w14:paraId="0913BC0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709" w:type="dxa"/>
            <w:noWrap w:val="0"/>
            <w:vAlign w:val="center"/>
          </w:tcPr>
          <w:p w14:paraId="0D9D1A5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567" w:type="dxa"/>
            <w:noWrap w:val="0"/>
            <w:vAlign w:val="center"/>
          </w:tcPr>
          <w:p w14:paraId="2E68E45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0.15</w:t>
            </w:r>
          </w:p>
        </w:tc>
        <w:tc>
          <w:tcPr>
            <w:tcW w:w="1620" w:type="dxa"/>
            <w:noWrap w:val="0"/>
            <w:vAlign w:val="center"/>
          </w:tcPr>
          <w:p w14:paraId="6083FAF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869" w:type="dxa"/>
            <w:noWrap w:val="0"/>
            <w:vAlign w:val="center"/>
          </w:tcPr>
          <w:p w14:paraId="6A2E9EB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0.18</w:t>
            </w:r>
          </w:p>
        </w:tc>
        <w:tc>
          <w:tcPr>
            <w:tcW w:w="1079" w:type="dxa"/>
            <w:noWrap w:val="0"/>
            <w:vAlign w:val="center"/>
          </w:tcPr>
          <w:p w14:paraId="5D51A9E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+0.15</w:t>
            </w:r>
          </w:p>
        </w:tc>
      </w:tr>
      <w:tr w14:paraId="08D08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continue"/>
            <w:noWrap w:val="0"/>
            <w:vAlign w:val="center"/>
          </w:tcPr>
          <w:p w14:paraId="66E9F739">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p>
        </w:tc>
        <w:tc>
          <w:tcPr>
            <w:tcW w:w="1710" w:type="dxa"/>
            <w:noWrap w:val="0"/>
            <w:vAlign w:val="center"/>
          </w:tcPr>
          <w:p w14:paraId="4D47B38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不合格品</w:t>
            </w:r>
          </w:p>
        </w:tc>
        <w:tc>
          <w:tcPr>
            <w:tcW w:w="1631" w:type="dxa"/>
            <w:noWrap w:val="0"/>
            <w:vAlign w:val="center"/>
          </w:tcPr>
          <w:p w14:paraId="59C5AD3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25</w:t>
            </w:r>
          </w:p>
        </w:tc>
        <w:tc>
          <w:tcPr>
            <w:tcW w:w="1282" w:type="dxa"/>
            <w:noWrap w:val="0"/>
            <w:vAlign w:val="center"/>
          </w:tcPr>
          <w:p w14:paraId="226E70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709" w:type="dxa"/>
            <w:noWrap w:val="0"/>
            <w:vAlign w:val="center"/>
          </w:tcPr>
          <w:p w14:paraId="491A2D3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567" w:type="dxa"/>
            <w:noWrap w:val="0"/>
            <w:vAlign w:val="center"/>
          </w:tcPr>
          <w:p w14:paraId="0C5D440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81</w:t>
            </w:r>
          </w:p>
        </w:tc>
        <w:tc>
          <w:tcPr>
            <w:tcW w:w="1620" w:type="dxa"/>
            <w:noWrap w:val="0"/>
            <w:vAlign w:val="center"/>
          </w:tcPr>
          <w:p w14:paraId="759E261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869" w:type="dxa"/>
            <w:noWrap w:val="0"/>
            <w:vAlign w:val="center"/>
          </w:tcPr>
          <w:p w14:paraId="065B788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106</w:t>
            </w:r>
          </w:p>
        </w:tc>
        <w:tc>
          <w:tcPr>
            <w:tcW w:w="1079" w:type="dxa"/>
            <w:noWrap w:val="0"/>
            <w:vAlign w:val="center"/>
          </w:tcPr>
          <w:p w14:paraId="486AC43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+81</w:t>
            </w:r>
          </w:p>
        </w:tc>
      </w:tr>
      <w:tr w14:paraId="3B1F7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continue"/>
            <w:noWrap w:val="0"/>
            <w:vAlign w:val="center"/>
          </w:tcPr>
          <w:p w14:paraId="00707368">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p>
        </w:tc>
        <w:tc>
          <w:tcPr>
            <w:tcW w:w="1710" w:type="dxa"/>
            <w:noWrap w:val="0"/>
            <w:vAlign w:val="center"/>
          </w:tcPr>
          <w:p w14:paraId="7462181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废包装材料</w:t>
            </w:r>
          </w:p>
        </w:tc>
        <w:tc>
          <w:tcPr>
            <w:tcW w:w="1631" w:type="dxa"/>
            <w:noWrap w:val="0"/>
            <w:vAlign w:val="center"/>
          </w:tcPr>
          <w:p w14:paraId="513E774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30</w:t>
            </w:r>
          </w:p>
        </w:tc>
        <w:tc>
          <w:tcPr>
            <w:tcW w:w="1282" w:type="dxa"/>
            <w:noWrap w:val="0"/>
            <w:vAlign w:val="center"/>
          </w:tcPr>
          <w:p w14:paraId="1BC8F31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709" w:type="dxa"/>
            <w:noWrap w:val="0"/>
            <w:vAlign w:val="center"/>
          </w:tcPr>
          <w:p w14:paraId="33D451D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567" w:type="dxa"/>
            <w:noWrap w:val="0"/>
            <w:vAlign w:val="center"/>
          </w:tcPr>
          <w:p w14:paraId="72C17FC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120</w:t>
            </w:r>
          </w:p>
        </w:tc>
        <w:tc>
          <w:tcPr>
            <w:tcW w:w="1620" w:type="dxa"/>
            <w:noWrap w:val="0"/>
            <w:vAlign w:val="center"/>
          </w:tcPr>
          <w:p w14:paraId="070C1E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869" w:type="dxa"/>
            <w:noWrap w:val="0"/>
            <w:vAlign w:val="center"/>
          </w:tcPr>
          <w:p w14:paraId="001F1D9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150</w:t>
            </w:r>
          </w:p>
        </w:tc>
        <w:tc>
          <w:tcPr>
            <w:tcW w:w="1079" w:type="dxa"/>
            <w:noWrap w:val="0"/>
            <w:vAlign w:val="center"/>
          </w:tcPr>
          <w:p w14:paraId="68980CE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ascii="Times New Roman" w:hAnsi="Times New Roman" w:eastAsia="宋体" w:cs="Times New Roman"/>
                <w:b w:val="0"/>
                <w:bCs w:val="0"/>
                <w:i w:val="0"/>
                <w:iCs w:val="0"/>
                <w:color w:val="000000"/>
                <w:kern w:val="0"/>
                <w:sz w:val="21"/>
                <w:szCs w:val="21"/>
                <w:u w:val="none"/>
                <w:lang w:val="en-US" w:eastAsia="zh-CN" w:bidi="ar"/>
              </w:rPr>
              <w:t>+</w:t>
            </w:r>
            <w:r>
              <w:rPr>
                <w:rFonts w:hint="default" w:ascii="Times New Roman" w:hAnsi="Times New Roman" w:eastAsia="宋体" w:cs="Times New Roman"/>
                <w:b w:val="0"/>
                <w:bCs w:val="0"/>
                <w:i w:val="0"/>
                <w:iCs w:val="0"/>
                <w:color w:val="000000"/>
                <w:kern w:val="0"/>
                <w:sz w:val="21"/>
                <w:szCs w:val="21"/>
                <w:u w:val="none"/>
                <w:lang w:val="en-US" w:eastAsia="zh-CN" w:bidi="ar"/>
              </w:rPr>
              <w:t>12</w:t>
            </w:r>
            <w:r>
              <w:rPr>
                <w:rFonts w:hint="eastAsia" w:cs="Times New Roman"/>
                <w:b w:val="0"/>
                <w:bCs w:val="0"/>
                <w:i w:val="0"/>
                <w:iCs w:val="0"/>
                <w:color w:val="000000"/>
                <w:kern w:val="0"/>
                <w:sz w:val="21"/>
                <w:szCs w:val="21"/>
                <w:u w:val="none"/>
                <w:lang w:val="en-US" w:eastAsia="zh-CN" w:bidi="ar"/>
              </w:rPr>
              <w:t>0</w:t>
            </w:r>
          </w:p>
        </w:tc>
      </w:tr>
      <w:tr w14:paraId="6E1D1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continue"/>
            <w:noWrap w:val="0"/>
            <w:vAlign w:val="center"/>
          </w:tcPr>
          <w:p w14:paraId="085E60C9">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p>
        </w:tc>
        <w:tc>
          <w:tcPr>
            <w:tcW w:w="1710" w:type="dxa"/>
            <w:noWrap w:val="0"/>
            <w:vAlign w:val="center"/>
          </w:tcPr>
          <w:p w14:paraId="55231FA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杂质</w:t>
            </w:r>
          </w:p>
        </w:tc>
        <w:tc>
          <w:tcPr>
            <w:tcW w:w="1631" w:type="dxa"/>
            <w:noWrap w:val="0"/>
            <w:vAlign w:val="center"/>
          </w:tcPr>
          <w:p w14:paraId="298B9E2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0.06</w:t>
            </w:r>
          </w:p>
        </w:tc>
        <w:tc>
          <w:tcPr>
            <w:tcW w:w="1282" w:type="dxa"/>
            <w:noWrap w:val="0"/>
            <w:vAlign w:val="center"/>
          </w:tcPr>
          <w:p w14:paraId="69CB5FA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709" w:type="dxa"/>
            <w:noWrap w:val="0"/>
            <w:vAlign w:val="center"/>
          </w:tcPr>
          <w:p w14:paraId="36447F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567" w:type="dxa"/>
            <w:noWrap w:val="0"/>
            <w:vAlign w:val="center"/>
          </w:tcPr>
          <w:p w14:paraId="6D8191C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0.3</w:t>
            </w:r>
          </w:p>
        </w:tc>
        <w:tc>
          <w:tcPr>
            <w:tcW w:w="1620" w:type="dxa"/>
            <w:noWrap w:val="0"/>
            <w:vAlign w:val="center"/>
          </w:tcPr>
          <w:p w14:paraId="66543AC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869" w:type="dxa"/>
            <w:noWrap w:val="0"/>
            <w:vAlign w:val="center"/>
          </w:tcPr>
          <w:p w14:paraId="18377D0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0.36</w:t>
            </w:r>
          </w:p>
        </w:tc>
        <w:tc>
          <w:tcPr>
            <w:tcW w:w="1079" w:type="dxa"/>
            <w:noWrap w:val="0"/>
            <w:vAlign w:val="center"/>
          </w:tcPr>
          <w:p w14:paraId="07A5BC8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+0.3</w:t>
            </w:r>
          </w:p>
        </w:tc>
      </w:tr>
      <w:tr w14:paraId="50759C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continue"/>
            <w:noWrap w:val="0"/>
            <w:vAlign w:val="center"/>
          </w:tcPr>
          <w:p w14:paraId="3BF56FC6">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p>
        </w:tc>
        <w:tc>
          <w:tcPr>
            <w:tcW w:w="1710" w:type="dxa"/>
            <w:noWrap w:val="0"/>
            <w:vAlign w:val="center"/>
          </w:tcPr>
          <w:p w14:paraId="51CF581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废油物</w:t>
            </w:r>
          </w:p>
        </w:tc>
        <w:tc>
          <w:tcPr>
            <w:tcW w:w="1631" w:type="dxa"/>
            <w:noWrap w:val="0"/>
            <w:vAlign w:val="center"/>
          </w:tcPr>
          <w:p w14:paraId="60DA972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0.05</w:t>
            </w:r>
          </w:p>
        </w:tc>
        <w:tc>
          <w:tcPr>
            <w:tcW w:w="1282" w:type="dxa"/>
            <w:noWrap w:val="0"/>
            <w:vAlign w:val="center"/>
          </w:tcPr>
          <w:p w14:paraId="5E4D987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709" w:type="dxa"/>
            <w:noWrap w:val="0"/>
            <w:vAlign w:val="center"/>
          </w:tcPr>
          <w:p w14:paraId="18B9D9A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567" w:type="dxa"/>
            <w:noWrap w:val="0"/>
            <w:vAlign w:val="center"/>
          </w:tcPr>
          <w:p w14:paraId="1ADCD6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0.3</w:t>
            </w:r>
          </w:p>
        </w:tc>
        <w:tc>
          <w:tcPr>
            <w:tcW w:w="1620" w:type="dxa"/>
            <w:noWrap w:val="0"/>
            <w:vAlign w:val="center"/>
          </w:tcPr>
          <w:p w14:paraId="2767D32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869" w:type="dxa"/>
            <w:noWrap w:val="0"/>
            <w:vAlign w:val="center"/>
          </w:tcPr>
          <w:p w14:paraId="389DE83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0.35</w:t>
            </w:r>
          </w:p>
        </w:tc>
        <w:tc>
          <w:tcPr>
            <w:tcW w:w="1079" w:type="dxa"/>
            <w:noWrap w:val="0"/>
            <w:vAlign w:val="center"/>
          </w:tcPr>
          <w:p w14:paraId="6C7DD27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+0.3</w:t>
            </w:r>
          </w:p>
        </w:tc>
      </w:tr>
      <w:tr w14:paraId="576C4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continue"/>
            <w:noWrap w:val="0"/>
            <w:vAlign w:val="center"/>
          </w:tcPr>
          <w:p w14:paraId="073B9D6B">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p>
        </w:tc>
        <w:tc>
          <w:tcPr>
            <w:tcW w:w="1710" w:type="dxa"/>
            <w:noWrap w:val="0"/>
            <w:vAlign w:val="center"/>
          </w:tcPr>
          <w:p w14:paraId="6CC4164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过筛物料</w:t>
            </w:r>
          </w:p>
        </w:tc>
        <w:tc>
          <w:tcPr>
            <w:tcW w:w="1631" w:type="dxa"/>
            <w:noWrap w:val="0"/>
            <w:vAlign w:val="center"/>
          </w:tcPr>
          <w:p w14:paraId="325417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0.5</w:t>
            </w:r>
          </w:p>
        </w:tc>
        <w:tc>
          <w:tcPr>
            <w:tcW w:w="1282" w:type="dxa"/>
            <w:noWrap w:val="0"/>
            <w:vAlign w:val="center"/>
          </w:tcPr>
          <w:p w14:paraId="6F44F7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709" w:type="dxa"/>
            <w:noWrap w:val="0"/>
            <w:vAlign w:val="center"/>
          </w:tcPr>
          <w:p w14:paraId="7BA036B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567" w:type="dxa"/>
            <w:noWrap w:val="0"/>
            <w:vAlign w:val="center"/>
          </w:tcPr>
          <w:p w14:paraId="6D2B0D8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1.45</w:t>
            </w:r>
          </w:p>
        </w:tc>
        <w:tc>
          <w:tcPr>
            <w:tcW w:w="1620" w:type="dxa"/>
            <w:noWrap w:val="0"/>
            <w:vAlign w:val="center"/>
          </w:tcPr>
          <w:p w14:paraId="31AEEB6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869" w:type="dxa"/>
            <w:noWrap w:val="0"/>
            <w:vAlign w:val="center"/>
          </w:tcPr>
          <w:p w14:paraId="3BAFE8D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1.95</w:t>
            </w:r>
          </w:p>
        </w:tc>
        <w:tc>
          <w:tcPr>
            <w:tcW w:w="1079" w:type="dxa"/>
            <w:noWrap w:val="0"/>
            <w:vAlign w:val="center"/>
          </w:tcPr>
          <w:p w14:paraId="509B2E4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+1.45</w:t>
            </w:r>
          </w:p>
        </w:tc>
      </w:tr>
      <w:tr w14:paraId="2ECE8E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continue"/>
            <w:noWrap w:val="0"/>
            <w:vAlign w:val="center"/>
          </w:tcPr>
          <w:p w14:paraId="4F2957FF">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p>
        </w:tc>
        <w:tc>
          <w:tcPr>
            <w:tcW w:w="1710" w:type="dxa"/>
            <w:noWrap w:val="0"/>
            <w:vAlign w:val="center"/>
          </w:tcPr>
          <w:p w14:paraId="4AEE5CD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除尘器收集粉尘</w:t>
            </w:r>
          </w:p>
        </w:tc>
        <w:tc>
          <w:tcPr>
            <w:tcW w:w="1631" w:type="dxa"/>
            <w:noWrap w:val="0"/>
            <w:vAlign w:val="center"/>
          </w:tcPr>
          <w:p w14:paraId="4EE6B9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0</w:t>
            </w:r>
          </w:p>
        </w:tc>
        <w:tc>
          <w:tcPr>
            <w:tcW w:w="1282" w:type="dxa"/>
            <w:noWrap w:val="0"/>
            <w:vAlign w:val="center"/>
          </w:tcPr>
          <w:p w14:paraId="2E8570A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709" w:type="dxa"/>
            <w:noWrap w:val="0"/>
            <w:vAlign w:val="center"/>
          </w:tcPr>
          <w:p w14:paraId="37F4074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567" w:type="dxa"/>
            <w:noWrap w:val="0"/>
            <w:vAlign w:val="center"/>
          </w:tcPr>
          <w:p w14:paraId="000E819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0.0513</w:t>
            </w:r>
          </w:p>
        </w:tc>
        <w:tc>
          <w:tcPr>
            <w:tcW w:w="1620" w:type="dxa"/>
            <w:noWrap w:val="0"/>
            <w:vAlign w:val="center"/>
          </w:tcPr>
          <w:p w14:paraId="16CFEC4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869" w:type="dxa"/>
            <w:noWrap w:val="0"/>
            <w:vAlign w:val="center"/>
          </w:tcPr>
          <w:p w14:paraId="1330097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0.0513</w:t>
            </w:r>
          </w:p>
        </w:tc>
        <w:tc>
          <w:tcPr>
            <w:tcW w:w="1079" w:type="dxa"/>
            <w:noWrap w:val="0"/>
            <w:vAlign w:val="center"/>
          </w:tcPr>
          <w:p w14:paraId="28F1FFF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ascii="Times New Roman" w:hAnsi="Times New Roman" w:eastAsia="宋体" w:cs="Times New Roman"/>
                <w:b w:val="0"/>
                <w:bCs w:val="0"/>
                <w:i w:val="0"/>
                <w:iCs w:val="0"/>
                <w:color w:val="000000"/>
                <w:kern w:val="0"/>
                <w:sz w:val="21"/>
                <w:szCs w:val="21"/>
                <w:u w:val="none"/>
                <w:lang w:val="en-US" w:eastAsia="zh-CN" w:bidi="ar"/>
              </w:rPr>
              <w:t>+</w:t>
            </w:r>
            <w:r>
              <w:rPr>
                <w:rFonts w:hint="eastAsia" w:cs="Times New Roman"/>
                <w:b w:val="0"/>
                <w:bCs w:val="0"/>
                <w:i w:val="0"/>
                <w:iCs w:val="0"/>
                <w:color w:val="000000"/>
                <w:kern w:val="0"/>
                <w:sz w:val="21"/>
                <w:szCs w:val="21"/>
                <w:u w:val="none"/>
                <w:lang w:val="en-US" w:eastAsia="zh-CN" w:bidi="ar"/>
              </w:rPr>
              <w:t>0.0513</w:t>
            </w:r>
          </w:p>
        </w:tc>
      </w:tr>
      <w:tr w14:paraId="56E83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continue"/>
            <w:noWrap w:val="0"/>
            <w:vAlign w:val="center"/>
          </w:tcPr>
          <w:p w14:paraId="1E1A500F">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p>
        </w:tc>
        <w:tc>
          <w:tcPr>
            <w:tcW w:w="1710" w:type="dxa"/>
            <w:noWrap w:val="0"/>
            <w:vAlign w:val="center"/>
          </w:tcPr>
          <w:p w14:paraId="0595B42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地面清扫粉尘</w:t>
            </w:r>
          </w:p>
        </w:tc>
        <w:tc>
          <w:tcPr>
            <w:tcW w:w="1631" w:type="dxa"/>
            <w:noWrap w:val="0"/>
            <w:vAlign w:val="center"/>
          </w:tcPr>
          <w:p w14:paraId="215728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0.006</w:t>
            </w:r>
          </w:p>
        </w:tc>
        <w:tc>
          <w:tcPr>
            <w:tcW w:w="1282" w:type="dxa"/>
            <w:noWrap w:val="0"/>
            <w:vAlign w:val="center"/>
          </w:tcPr>
          <w:p w14:paraId="51A5DF2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709" w:type="dxa"/>
            <w:noWrap w:val="0"/>
            <w:vAlign w:val="center"/>
          </w:tcPr>
          <w:p w14:paraId="6AF0A91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567" w:type="dxa"/>
            <w:noWrap w:val="0"/>
            <w:vAlign w:val="center"/>
          </w:tcPr>
          <w:p w14:paraId="58E8FB6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0.028</w:t>
            </w:r>
          </w:p>
        </w:tc>
        <w:tc>
          <w:tcPr>
            <w:tcW w:w="1620" w:type="dxa"/>
            <w:noWrap w:val="0"/>
            <w:vAlign w:val="center"/>
          </w:tcPr>
          <w:p w14:paraId="33DABD5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869" w:type="dxa"/>
            <w:noWrap w:val="0"/>
            <w:vAlign w:val="center"/>
          </w:tcPr>
          <w:p w14:paraId="50F3344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0.034</w:t>
            </w:r>
          </w:p>
        </w:tc>
        <w:tc>
          <w:tcPr>
            <w:tcW w:w="1079" w:type="dxa"/>
            <w:noWrap w:val="0"/>
            <w:vAlign w:val="center"/>
          </w:tcPr>
          <w:p w14:paraId="2C096C5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+0.028</w:t>
            </w:r>
          </w:p>
        </w:tc>
      </w:tr>
      <w:tr w14:paraId="5A265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continue"/>
            <w:noWrap w:val="0"/>
            <w:vAlign w:val="center"/>
          </w:tcPr>
          <w:p w14:paraId="58C6D950">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p>
        </w:tc>
        <w:tc>
          <w:tcPr>
            <w:tcW w:w="1710" w:type="dxa"/>
            <w:noWrap w:val="0"/>
            <w:vAlign w:val="center"/>
          </w:tcPr>
          <w:p w14:paraId="28EB12E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eastAsia" w:cs="Times New Roman"/>
                <w:b w:val="0"/>
                <w:bCs w:val="0"/>
                <w:i w:val="0"/>
                <w:iCs w:val="0"/>
                <w:color w:val="000000"/>
                <w:kern w:val="0"/>
                <w:sz w:val="21"/>
                <w:szCs w:val="21"/>
                <w:u w:val="none"/>
                <w:lang w:val="en-US" w:eastAsia="zh-CN" w:bidi="ar"/>
              </w:rPr>
              <w:t>废布袋</w:t>
            </w:r>
          </w:p>
        </w:tc>
        <w:tc>
          <w:tcPr>
            <w:tcW w:w="1631" w:type="dxa"/>
            <w:noWrap w:val="0"/>
            <w:vAlign w:val="center"/>
          </w:tcPr>
          <w:p w14:paraId="16789B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0</w:t>
            </w:r>
          </w:p>
        </w:tc>
        <w:tc>
          <w:tcPr>
            <w:tcW w:w="1282" w:type="dxa"/>
            <w:noWrap w:val="0"/>
            <w:vAlign w:val="center"/>
          </w:tcPr>
          <w:p w14:paraId="73CB953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709" w:type="dxa"/>
            <w:noWrap w:val="0"/>
            <w:vAlign w:val="center"/>
          </w:tcPr>
          <w:p w14:paraId="24F28D5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567" w:type="dxa"/>
            <w:noWrap w:val="0"/>
            <w:vAlign w:val="center"/>
          </w:tcPr>
          <w:p w14:paraId="33204E3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0.05</w:t>
            </w:r>
          </w:p>
        </w:tc>
        <w:tc>
          <w:tcPr>
            <w:tcW w:w="1620" w:type="dxa"/>
            <w:noWrap w:val="0"/>
            <w:vAlign w:val="center"/>
          </w:tcPr>
          <w:p w14:paraId="1B340DF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869" w:type="dxa"/>
            <w:noWrap w:val="0"/>
            <w:vAlign w:val="center"/>
          </w:tcPr>
          <w:p w14:paraId="7FD44F8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0.05</w:t>
            </w:r>
          </w:p>
        </w:tc>
        <w:tc>
          <w:tcPr>
            <w:tcW w:w="1079" w:type="dxa"/>
            <w:noWrap w:val="0"/>
            <w:vAlign w:val="center"/>
          </w:tcPr>
          <w:p w14:paraId="19E153E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+0.05</w:t>
            </w:r>
          </w:p>
        </w:tc>
      </w:tr>
      <w:tr w14:paraId="1DF40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vMerge w:val="continue"/>
            <w:noWrap w:val="0"/>
            <w:vAlign w:val="center"/>
          </w:tcPr>
          <w:p w14:paraId="46ECC28C">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val="0"/>
                <w:bCs w:val="0"/>
                <w:snapToGrid w:val="0"/>
                <w:color w:val="000000"/>
                <w:kern w:val="21"/>
                <w:sz w:val="21"/>
                <w:szCs w:val="21"/>
              </w:rPr>
            </w:pPr>
          </w:p>
        </w:tc>
        <w:tc>
          <w:tcPr>
            <w:tcW w:w="1710" w:type="dxa"/>
            <w:noWrap w:val="0"/>
            <w:vAlign w:val="center"/>
          </w:tcPr>
          <w:p w14:paraId="19CC33F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snapToGrid w:val="0"/>
                <w:color w:val="000000"/>
                <w:kern w:val="21"/>
                <w:sz w:val="21"/>
                <w:szCs w:val="21"/>
                <w:lang w:val="en-US" w:eastAsia="zh-CN"/>
              </w:rPr>
            </w:pPr>
            <w:r>
              <w:rPr>
                <w:rFonts w:hint="eastAsia" w:cs="Times New Roman"/>
                <w:b w:val="0"/>
                <w:bCs w:val="0"/>
                <w:snapToGrid w:val="0"/>
                <w:color w:val="000000"/>
                <w:kern w:val="21"/>
                <w:sz w:val="21"/>
                <w:szCs w:val="21"/>
                <w:lang w:val="en-US" w:eastAsia="zh-CN"/>
              </w:rPr>
              <w:t>污泥</w:t>
            </w:r>
          </w:p>
        </w:tc>
        <w:tc>
          <w:tcPr>
            <w:tcW w:w="1631" w:type="dxa"/>
            <w:noWrap w:val="0"/>
            <w:vAlign w:val="center"/>
          </w:tcPr>
          <w:p w14:paraId="3410AAE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0.05</w:t>
            </w:r>
          </w:p>
        </w:tc>
        <w:tc>
          <w:tcPr>
            <w:tcW w:w="1282" w:type="dxa"/>
            <w:noWrap w:val="0"/>
            <w:vAlign w:val="center"/>
          </w:tcPr>
          <w:p w14:paraId="602441B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709" w:type="dxa"/>
            <w:noWrap w:val="0"/>
            <w:vAlign w:val="center"/>
          </w:tcPr>
          <w:p w14:paraId="76A8FCD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567" w:type="dxa"/>
            <w:noWrap w:val="0"/>
            <w:vAlign w:val="center"/>
          </w:tcPr>
          <w:p w14:paraId="70435B2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0.12</w:t>
            </w:r>
          </w:p>
        </w:tc>
        <w:tc>
          <w:tcPr>
            <w:tcW w:w="1620" w:type="dxa"/>
            <w:noWrap w:val="0"/>
            <w:vAlign w:val="center"/>
          </w:tcPr>
          <w:p w14:paraId="03356E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w:t>
            </w:r>
          </w:p>
        </w:tc>
        <w:tc>
          <w:tcPr>
            <w:tcW w:w="1869" w:type="dxa"/>
            <w:noWrap w:val="0"/>
            <w:vAlign w:val="center"/>
          </w:tcPr>
          <w:p w14:paraId="231AFD3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lang w:val="en-US"/>
              </w:rPr>
            </w:pPr>
            <w:r>
              <w:rPr>
                <w:rFonts w:hint="eastAsia" w:cs="Times New Roman"/>
                <w:b w:val="0"/>
                <w:bCs w:val="0"/>
                <w:i w:val="0"/>
                <w:iCs w:val="0"/>
                <w:color w:val="000000"/>
                <w:kern w:val="0"/>
                <w:sz w:val="21"/>
                <w:szCs w:val="21"/>
                <w:u w:val="none"/>
                <w:lang w:val="en-US" w:eastAsia="zh-CN" w:bidi="ar"/>
              </w:rPr>
              <w:t>0.17</w:t>
            </w:r>
          </w:p>
        </w:tc>
        <w:tc>
          <w:tcPr>
            <w:tcW w:w="1079" w:type="dxa"/>
            <w:noWrap w:val="0"/>
            <w:vAlign w:val="center"/>
          </w:tcPr>
          <w:p w14:paraId="2E857DC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snapToGrid w:val="0"/>
                <w:color w:val="000000"/>
                <w:kern w:val="21"/>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w:t>
            </w:r>
            <w:r>
              <w:rPr>
                <w:rFonts w:hint="eastAsia" w:cs="Times New Roman"/>
                <w:b w:val="0"/>
                <w:bCs w:val="0"/>
                <w:i w:val="0"/>
                <w:iCs w:val="0"/>
                <w:color w:val="000000"/>
                <w:kern w:val="0"/>
                <w:sz w:val="21"/>
                <w:szCs w:val="21"/>
                <w:u w:val="none"/>
                <w:lang w:val="en-US" w:eastAsia="zh-CN" w:bidi="ar"/>
              </w:rPr>
              <w:t>0.12</w:t>
            </w:r>
          </w:p>
        </w:tc>
      </w:tr>
      <w:tr w14:paraId="1A6C2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8" w:type="dxa"/>
            <w:noWrap w:val="0"/>
            <w:vAlign w:val="center"/>
          </w:tcPr>
          <w:p w14:paraId="42012BC4">
            <w:pPr>
              <w:pStyle w:val="53"/>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eastAsia" w:ascii="Times New Roman" w:hAnsi="Times New Roman" w:eastAsia="宋体" w:cs="Times New Roman"/>
                <w:b w:val="0"/>
                <w:bCs w:val="0"/>
                <w:snapToGrid w:val="0"/>
                <w:color w:val="000000"/>
                <w:kern w:val="21"/>
                <w:sz w:val="21"/>
                <w:szCs w:val="21"/>
                <w:lang w:val="en-US" w:eastAsia="zh-CN"/>
              </w:rPr>
            </w:pPr>
            <w:r>
              <w:rPr>
                <w:rFonts w:hint="eastAsia" w:ascii="Times New Roman" w:hAnsi="Times New Roman" w:eastAsia="宋体" w:cs="Times New Roman"/>
                <w:b w:val="0"/>
                <w:bCs w:val="0"/>
                <w:snapToGrid w:val="0"/>
                <w:color w:val="000000"/>
                <w:kern w:val="21"/>
                <w:sz w:val="21"/>
                <w:szCs w:val="21"/>
                <w:lang w:val="en-US" w:eastAsia="zh-CN"/>
              </w:rPr>
              <w:t>危险废物</w:t>
            </w:r>
          </w:p>
        </w:tc>
        <w:tc>
          <w:tcPr>
            <w:tcW w:w="1710" w:type="dxa"/>
            <w:noWrap w:val="0"/>
            <w:vAlign w:val="center"/>
          </w:tcPr>
          <w:p w14:paraId="6BE517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废紫外灯管</w:t>
            </w:r>
          </w:p>
        </w:tc>
        <w:tc>
          <w:tcPr>
            <w:tcW w:w="1631" w:type="dxa"/>
            <w:noWrap w:val="0"/>
            <w:vAlign w:val="center"/>
          </w:tcPr>
          <w:p w14:paraId="521D6AC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282" w:type="dxa"/>
            <w:noWrap w:val="0"/>
            <w:vAlign w:val="center"/>
          </w:tcPr>
          <w:p w14:paraId="487A396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709" w:type="dxa"/>
            <w:noWrap w:val="0"/>
            <w:vAlign w:val="center"/>
          </w:tcPr>
          <w:p w14:paraId="3FAE1DC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567" w:type="dxa"/>
            <w:noWrap w:val="0"/>
            <w:vAlign w:val="center"/>
          </w:tcPr>
          <w:p w14:paraId="197CB96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0.032</w:t>
            </w:r>
          </w:p>
        </w:tc>
        <w:tc>
          <w:tcPr>
            <w:tcW w:w="1620" w:type="dxa"/>
            <w:noWrap w:val="0"/>
            <w:vAlign w:val="center"/>
          </w:tcPr>
          <w:p w14:paraId="706CDA9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w:t>
            </w:r>
          </w:p>
        </w:tc>
        <w:tc>
          <w:tcPr>
            <w:tcW w:w="1869" w:type="dxa"/>
            <w:noWrap w:val="0"/>
            <w:vAlign w:val="center"/>
          </w:tcPr>
          <w:p w14:paraId="126CCEE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0.032</w:t>
            </w:r>
          </w:p>
        </w:tc>
        <w:tc>
          <w:tcPr>
            <w:tcW w:w="1079" w:type="dxa"/>
            <w:noWrap w:val="0"/>
            <w:vAlign w:val="center"/>
          </w:tcPr>
          <w:p w14:paraId="1492032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+0.032</w:t>
            </w:r>
          </w:p>
        </w:tc>
      </w:tr>
    </w:tbl>
    <w:p w14:paraId="4742F5D9">
      <w:pPr>
        <w:pStyle w:val="53"/>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18B13CF6">
      <w:pPr>
        <w:rPr>
          <w:rFonts w:hint="eastAsia"/>
        </w:rPr>
        <w:sectPr>
          <w:footerReference r:id="rId8" w:type="default"/>
          <w:pgSz w:w="16838" w:h="11905" w:orient="landscape"/>
          <w:pgMar w:top="1531" w:right="1701" w:bottom="1531" w:left="1701" w:header="851" w:footer="850" w:gutter="0"/>
          <w:pgBorders>
            <w:top w:val="none" w:sz="0" w:space="0"/>
            <w:left w:val="none" w:sz="0" w:space="0"/>
            <w:bottom w:val="none" w:sz="0" w:space="0"/>
            <w:right w:val="none" w:sz="0" w:space="0"/>
          </w:pgBorders>
          <w:cols w:space="720" w:num="1"/>
          <w:rtlGutter w:val="0"/>
          <w:docGrid w:linePitch="312" w:charSpace="0"/>
        </w:sectPr>
      </w:pPr>
    </w:p>
    <w:p w14:paraId="06C37C78">
      <w:pPr>
        <w:jc w:val="both"/>
        <w:rPr>
          <w:rFonts w:hint="default"/>
          <w:sz w:val="28"/>
          <w:szCs w:val="28"/>
          <w:lang w:val="en-US" w:eastAsia="zh-CN"/>
        </w:rPr>
      </w:pPr>
    </w:p>
    <w:sectPr>
      <w:footerReference r:id="rId9" w:type="default"/>
      <w:pgSz w:w="11905" w:h="16838"/>
      <w:pgMar w:top="1701" w:right="1531" w:bottom="1701" w:left="1531" w:header="851" w:footer="850" w:gutter="0"/>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8B89E">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8D998">
    <w:pPr>
      <w:pStyle w:val="19"/>
      <w:framePr w:wrap="around" w:vAnchor="text" w:hAnchor="margin" w:xAlign="center" w:y="1"/>
      <w:rPr>
        <w:rStyle w:val="32"/>
      </w:rPr>
    </w:pPr>
    <w:r>
      <w:fldChar w:fldCharType="begin"/>
    </w:r>
    <w:r>
      <w:rPr>
        <w:rStyle w:val="32"/>
      </w:rPr>
      <w:instrText xml:space="preserve">PAGE  </w:instrText>
    </w:r>
    <w:r>
      <w:fldChar w:fldCharType="end"/>
    </w:r>
  </w:p>
  <w:p w14:paraId="0E845C55">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906F2">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EAA6E5">
                          <w:pPr>
                            <w:pStyle w:val="1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wJpWMsBAACdAwAADgAAAGRycy9lMm9Eb2MueG1srVPNjtMwEL4j8Q6W&#10;79RpV6A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XlJieMWJ375/u3y49fl51ey&#10;rG5W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cCaVjLAQAAnQMAAA4AAAAAAAAAAQAgAAAAHgEAAGRycy9lMm9E&#10;b2MueG1sUEsFBgAAAAAGAAYAWQEAAFsFAAAAAA==&#10;">
              <v:fill on="f" focussize="0,0"/>
              <v:stroke on="f"/>
              <v:imagedata o:title=""/>
              <o:lock v:ext="edit" aspectratio="f"/>
              <v:textbox inset="0mm,0mm,0mm,0mm" style="mso-fit-shape-to-text:t;">
                <w:txbxContent>
                  <w:p w14:paraId="49EAA6E5">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A2EE1">
    <w:pPr>
      <w:pStyle w:val="19"/>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A1C276">
                          <w:pPr>
                            <w:pStyle w:val="19"/>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6mBNuzAEAAJ0DAAAOAAAAAAAAAAEAIAAAAB4BAABkcnMvZTJv&#10;RG9jLnhtbFBLBQYAAAAABgAGAFkBAABcBQAAAAA=&#10;">
              <v:fill on="f" focussize="0,0"/>
              <v:stroke on="f"/>
              <v:imagedata o:title=""/>
              <o:lock v:ext="edit" aspectratio="f"/>
              <v:textbox inset="0mm,0mm,0mm,0mm" style="mso-fit-shape-to-text:t;">
                <w:txbxContent>
                  <w:p w14:paraId="7BA1C276">
                    <w:pPr>
                      <w:pStyle w:val="19"/>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795AE">
    <w:pPr>
      <w:pStyle w:val="19"/>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2CA6CC">
                          <w:pPr>
                            <w:pStyle w:val="19"/>
                          </w:pPr>
                          <w:r>
                            <w:fldChar w:fldCharType="begin"/>
                          </w:r>
                          <w:r>
                            <w:instrText xml:space="preserve"> PAGE  \* MERGEFORMAT </w:instrText>
                          </w:r>
                          <w:r>
                            <w:fldChar w:fldCharType="separate"/>
                          </w:r>
                          <w:r>
                            <w:t>8</w:t>
                          </w:r>
                          <w:r>
                            <w:fldChar w:fldCharType="end"/>
                          </w:r>
                        </w:p>
                      </w:txbxContent>
                    </wps:txbx>
                    <wps:bodyPr wrap="none" lIns="0" tIns="0" rIns="0" bIns="0" upright="0">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2C2ODzAEAAJ0DAAAOAAAAAAAAAAEAIAAAAB4BAABkcnMvZTJv&#10;RG9jLnhtbFBLBQYAAAAABgAGAFkBAABcBQAAAAA=&#10;">
              <v:fill on="f" focussize="0,0"/>
              <v:stroke on="f"/>
              <v:imagedata o:title=""/>
              <o:lock v:ext="edit" aspectratio="f"/>
              <v:textbox inset="0mm,0mm,0mm,0mm" style="mso-fit-shape-to-text:t;">
                <w:txbxContent>
                  <w:p w14:paraId="202CA6CC">
                    <w:pPr>
                      <w:pStyle w:val="19"/>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003D9">
    <w:pPr>
      <w:pStyle w:val="19"/>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DFC349">
                          <w:pPr>
                            <w:pStyle w:val="19"/>
                          </w:pPr>
                          <w:r>
                            <w:fldChar w:fldCharType="begin"/>
                          </w:r>
                          <w:r>
                            <w:instrText xml:space="preserve"> PAGE  \* MERGEFORMAT </w:instrText>
                          </w:r>
                          <w:r>
                            <w:fldChar w:fldCharType="separate"/>
                          </w:r>
                          <w:r>
                            <w:t>9</w:t>
                          </w:r>
                          <w:r>
                            <w:fldChar w:fldCharType="end"/>
                          </w:r>
                        </w:p>
                      </w:txbxContent>
                    </wps:txbx>
                    <wps:bodyPr wrap="none" lIns="0" tIns="0" rIns="0" bIns="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2+AcsBAACdAwAADgAAAGRycy9lMm9Eb2MueG1srVPNjtMwEL4j8Q6W&#10;79RpV6A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cG5O25x4pfv3y4/fl1+fiXL&#10;6uZllqgPUGPmfcDcNLzxAy7O7Ad0ZuaDijZ/kRPBOAp8vgosh0REfrRerdcVhgTG5gvis4fnIUJ6&#10;K70l2WhoxAkWYfnpPaQxdU7J1Zy/08aUKRr3lwMxs4fl3sces5WG/TAR2vv2jHx6HH5DHe46Jead&#10;Q23znsxGnI39bBxD1IeuLFKuB+H1MWETpbdcYYSdCuPUCrtpw/Ja/HkvWQ9/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vtvgHLAQAAnQMAAA4AAAAAAAAAAQAgAAAAHgEAAGRycy9lMm9E&#10;b2MueG1sUEsFBgAAAAAGAAYAWQEAAFsFAAAAAA==&#10;">
              <v:fill on="f" focussize="0,0"/>
              <v:stroke on="f"/>
              <v:imagedata o:title=""/>
              <o:lock v:ext="edit" aspectratio="f"/>
              <v:textbox inset="0mm,0mm,0mm,0mm" style="mso-fit-shape-to-text:t;">
                <w:txbxContent>
                  <w:p w14:paraId="33DFC349">
                    <w:pPr>
                      <w:pStyle w:val="19"/>
                    </w:pPr>
                    <w:r>
                      <w:fldChar w:fldCharType="begin"/>
                    </w:r>
                    <w:r>
                      <w:instrText xml:space="preserve"> PAGE  \* MERGEFORMAT </w:instrText>
                    </w:r>
                    <w:r>
                      <w:fldChar w:fldCharType="separate"/>
                    </w:r>
                    <w:r>
                      <w:t>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BD605">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B6F21B"/>
    <w:multiLevelType w:val="singleLevel"/>
    <w:tmpl w:val="A4B6F21B"/>
    <w:lvl w:ilvl="0" w:tentative="0">
      <w:start w:val="1"/>
      <w:numFmt w:val="decimal"/>
      <w:suff w:val="nothing"/>
      <w:lvlText w:val="%1、"/>
      <w:lvlJc w:val="left"/>
    </w:lvl>
  </w:abstractNum>
  <w:abstractNum w:abstractNumId="1">
    <w:nsid w:val="B2EEF6D9"/>
    <w:multiLevelType w:val="singleLevel"/>
    <w:tmpl w:val="B2EEF6D9"/>
    <w:lvl w:ilvl="0" w:tentative="0">
      <w:start w:val="1"/>
      <w:numFmt w:val="decimal"/>
      <w:suff w:val="nothing"/>
      <w:lvlText w:val="%1、"/>
      <w:lvlJc w:val="left"/>
    </w:lvl>
  </w:abstractNum>
  <w:abstractNum w:abstractNumId="2">
    <w:nsid w:val="C68944D3"/>
    <w:multiLevelType w:val="singleLevel"/>
    <w:tmpl w:val="C68944D3"/>
    <w:lvl w:ilvl="0" w:tentative="0">
      <w:start w:val="1"/>
      <w:numFmt w:val="decimal"/>
      <w:suff w:val="nothing"/>
      <w:lvlText w:val="（%1）"/>
      <w:lvlJc w:val="left"/>
    </w:lvl>
  </w:abstractNum>
  <w:abstractNum w:abstractNumId="3">
    <w:nsid w:val="F3590C4B"/>
    <w:multiLevelType w:val="singleLevel"/>
    <w:tmpl w:val="F3590C4B"/>
    <w:lvl w:ilvl="0" w:tentative="0">
      <w:start w:val="2"/>
      <w:numFmt w:val="decimal"/>
      <w:suff w:val="nothing"/>
      <w:lvlText w:val="（%1）"/>
      <w:lvlJc w:val="left"/>
    </w:lvl>
  </w:abstractNum>
  <w:abstractNum w:abstractNumId="4">
    <w:nsid w:val="1BDA8E9C"/>
    <w:multiLevelType w:val="singleLevel"/>
    <w:tmpl w:val="1BDA8E9C"/>
    <w:lvl w:ilvl="0" w:tentative="0">
      <w:start w:val="2"/>
      <w:numFmt w:val="chineseCounting"/>
      <w:suff w:val="nothing"/>
      <w:lvlText w:val="（%1）"/>
      <w:lvlJc w:val="left"/>
      <w:rPr>
        <w:rFonts w:hint="eastAsia"/>
      </w:rPr>
    </w:lvl>
  </w:abstractNum>
  <w:abstractNum w:abstractNumId="5">
    <w:nsid w:val="7885A959"/>
    <w:multiLevelType w:val="singleLevel"/>
    <w:tmpl w:val="7885A959"/>
    <w:lvl w:ilvl="0" w:tentative="0">
      <w:start w:val="1"/>
      <w:numFmt w:val="decimal"/>
      <w:suff w:val="nothing"/>
      <w:lvlText w:val="（%1）"/>
      <w:lvlJc w:val="left"/>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0ZjIwYTQ3ZmJmODk4ZDI0OTZlN2YyN2E0MzA5YTUifQ=="/>
    <w:docVar w:name="KSO_WPS_MARK_KEY" w:val="d61515c8-3d8b-4534-a0e0-89e5223885c1"/>
  </w:docVars>
  <w:rsids>
    <w:rsidRoot w:val="00172A27"/>
    <w:rsid w:val="000060B3"/>
    <w:rsid w:val="0004364B"/>
    <w:rsid w:val="00061B1F"/>
    <w:rsid w:val="000733C4"/>
    <w:rsid w:val="00074783"/>
    <w:rsid w:val="0008070B"/>
    <w:rsid w:val="000810AC"/>
    <w:rsid w:val="00081A02"/>
    <w:rsid w:val="00082231"/>
    <w:rsid w:val="00090581"/>
    <w:rsid w:val="00092D38"/>
    <w:rsid w:val="0009377B"/>
    <w:rsid w:val="000A20C9"/>
    <w:rsid w:val="000B058F"/>
    <w:rsid w:val="000B4467"/>
    <w:rsid w:val="000B4DB9"/>
    <w:rsid w:val="000C09AC"/>
    <w:rsid w:val="000C767F"/>
    <w:rsid w:val="000D5A44"/>
    <w:rsid w:val="000E3ED2"/>
    <w:rsid w:val="0012103C"/>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57DA"/>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5BBA"/>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07BC"/>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87FBC"/>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26344"/>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656B29"/>
    <w:rsid w:val="02697903"/>
    <w:rsid w:val="029F3D9D"/>
    <w:rsid w:val="02AF080C"/>
    <w:rsid w:val="02E3014B"/>
    <w:rsid w:val="02EA50DF"/>
    <w:rsid w:val="02F542BA"/>
    <w:rsid w:val="02F96569"/>
    <w:rsid w:val="034E65EF"/>
    <w:rsid w:val="03630ADB"/>
    <w:rsid w:val="03D251BA"/>
    <w:rsid w:val="03EA7B21"/>
    <w:rsid w:val="0474257B"/>
    <w:rsid w:val="04984670"/>
    <w:rsid w:val="0544113D"/>
    <w:rsid w:val="056E6DBF"/>
    <w:rsid w:val="05952161"/>
    <w:rsid w:val="059576B4"/>
    <w:rsid w:val="05F83EAE"/>
    <w:rsid w:val="063E7D85"/>
    <w:rsid w:val="06660862"/>
    <w:rsid w:val="07293586"/>
    <w:rsid w:val="07295285"/>
    <w:rsid w:val="07636392"/>
    <w:rsid w:val="076E3F95"/>
    <w:rsid w:val="07770C56"/>
    <w:rsid w:val="08460438"/>
    <w:rsid w:val="08AD56C8"/>
    <w:rsid w:val="091A6C9B"/>
    <w:rsid w:val="091F2FC5"/>
    <w:rsid w:val="092217DD"/>
    <w:rsid w:val="093A7294"/>
    <w:rsid w:val="09487671"/>
    <w:rsid w:val="0A263993"/>
    <w:rsid w:val="0A2D3AC2"/>
    <w:rsid w:val="0A846448"/>
    <w:rsid w:val="0AA755DF"/>
    <w:rsid w:val="0B1136F3"/>
    <w:rsid w:val="0B120D44"/>
    <w:rsid w:val="0B387F25"/>
    <w:rsid w:val="0BD27BF6"/>
    <w:rsid w:val="0C157DE1"/>
    <w:rsid w:val="0C3B3C7D"/>
    <w:rsid w:val="0C6E79A1"/>
    <w:rsid w:val="0C786164"/>
    <w:rsid w:val="0CAB2EAE"/>
    <w:rsid w:val="0CEC7C07"/>
    <w:rsid w:val="0D621C7D"/>
    <w:rsid w:val="0DB93D54"/>
    <w:rsid w:val="0E73034D"/>
    <w:rsid w:val="0E7D6585"/>
    <w:rsid w:val="0F13775A"/>
    <w:rsid w:val="0F1E690F"/>
    <w:rsid w:val="0F3F7DC2"/>
    <w:rsid w:val="0F5F45FE"/>
    <w:rsid w:val="0F9A112B"/>
    <w:rsid w:val="0FB62DE1"/>
    <w:rsid w:val="0FC71759"/>
    <w:rsid w:val="10307BFB"/>
    <w:rsid w:val="106D2F64"/>
    <w:rsid w:val="10AC2793"/>
    <w:rsid w:val="10B2296F"/>
    <w:rsid w:val="10B63710"/>
    <w:rsid w:val="10CC1127"/>
    <w:rsid w:val="10F10820"/>
    <w:rsid w:val="111C2F7A"/>
    <w:rsid w:val="11485186"/>
    <w:rsid w:val="11665CA1"/>
    <w:rsid w:val="11AB3E0C"/>
    <w:rsid w:val="1237624B"/>
    <w:rsid w:val="12D6126A"/>
    <w:rsid w:val="13951726"/>
    <w:rsid w:val="13C57B93"/>
    <w:rsid w:val="14396509"/>
    <w:rsid w:val="14DD2C3C"/>
    <w:rsid w:val="15023F36"/>
    <w:rsid w:val="15545B0C"/>
    <w:rsid w:val="156A080E"/>
    <w:rsid w:val="16087E1D"/>
    <w:rsid w:val="163E3362"/>
    <w:rsid w:val="165F5EE8"/>
    <w:rsid w:val="16E768D5"/>
    <w:rsid w:val="16EC48BB"/>
    <w:rsid w:val="17053601"/>
    <w:rsid w:val="17676CF4"/>
    <w:rsid w:val="176D73C9"/>
    <w:rsid w:val="17701D14"/>
    <w:rsid w:val="17735226"/>
    <w:rsid w:val="17A133F8"/>
    <w:rsid w:val="18595EE1"/>
    <w:rsid w:val="189F624C"/>
    <w:rsid w:val="19183602"/>
    <w:rsid w:val="193B5472"/>
    <w:rsid w:val="198031FD"/>
    <w:rsid w:val="1A1C66C0"/>
    <w:rsid w:val="1A42393B"/>
    <w:rsid w:val="1A8F6320"/>
    <w:rsid w:val="1AAD45DE"/>
    <w:rsid w:val="1AB8095B"/>
    <w:rsid w:val="1B046F80"/>
    <w:rsid w:val="1B3267B5"/>
    <w:rsid w:val="1B3E4C43"/>
    <w:rsid w:val="1B40161D"/>
    <w:rsid w:val="1B441859"/>
    <w:rsid w:val="1B5217DB"/>
    <w:rsid w:val="1B6606B1"/>
    <w:rsid w:val="1B7F5984"/>
    <w:rsid w:val="1C237EF5"/>
    <w:rsid w:val="1C5E7925"/>
    <w:rsid w:val="1CA85625"/>
    <w:rsid w:val="1CFD070F"/>
    <w:rsid w:val="1D0E06AA"/>
    <w:rsid w:val="1D182C76"/>
    <w:rsid w:val="1D465018"/>
    <w:rsid w:val="1D5F6196"/>
    <w:rsid w:val="1D6132A5"/>
    <w:rsid w:val="1D8E56D5"/>
    <w:rsid w:val="1D953188"/>
    <w:rsid w:val="1DA21AD4"/>
    <w:rsid w:val="1DB10E44"/>
    <w:rsid w:val="1E7A43DA"/>
    <w:rsid w:val="1E7F0598"/>
    <w:rsid w:val="1EE71898"/>
    <w:rsid w:val="1FD83A9F"/>
    <w:rsid w:val="1FE7539E"/>
    <w:rsid w:val="202371CF"/>
    <w:rsid w:val="20671BE0"/>
    <w:rsid w:val="20963CB8"/>
    <w:rsid w:val="20A81A1B"/>
    <w:rsid w:val="20B07FB6"/>
    <w:rsid w:val="20B646FB"/>
    <w:rsid w:val="20CA2F01"/>
    <w:rsid w:val="20F52A96"/>
    <w:rsid w:val="213B74B1"/>
    <w:rsid w:val="2150785E"/>
    <w:rsid w:val="215A2310"/>
    <w:rsid w:val="2185038F"/>
    <w:rsid w:val="21DE318A"/>
    <w:rsid w:val="21EF5B80"/>
    <w:rsid w:val="22576990"/>
    <w:rsid w:val="22A40CE0"/>
    <w:rsid w:val="22F47480"/>
    <w:rsid w:val="23695C6D"/>
    <w:rsid w:val="23C369D4"/>
    <w:rsid w:val="23DE1C48"/>
    <w:rsid w:val="240210CD"/>
    <w:rsid w:val="24903170"/>
    <w:rsid w:val="24BF09F7"/>
    <w:rsid w:val="24E72569"/>
    <w:rsid w:val="24FF5D67"/>
    <w:rsid w:val="252D53FE"/>
    <w:rsid w:val="25A21720"/>
    <w:rsid w:val="25A97CFA"/>
    <w:rsid w:val="25EC2D81"/>
    <w:rsid w:val="26307CC2"/>
    <w:rsid w:val="27257320"/>
    <w:rsid w:val="277057A2"/>
    <w:rsid w:val="277604EA"/>
    <w:rsid w:val="28491774"/>
    <w:rsid w:val="28E026ED"/>
    <w:rsid w:val="29206EB8"/>
    <w:rsid w:val="29416FB2"/>
    <w:rsid w:val="29595666"/>
    <w:rsid w:val="29833820"/>
    <w:rsid w:val="29874881"/>
    <w:rsid w:val="29B24BC0"/>
    <w:rsid w:val="29E325E0"/>
    <w:rsid w:val="29E853EC"/>
    <w:rsid w:val="2A290E9D"/>
    <w:rsid w:val="2A452503"/>
    <w:rsid w:val="2AA70EBD"/>
    <w:rsid w:val="2BA936A8"/>
    <w:rsid w:val="2C066AE0"/>
    <w:rsid w:val="2C315A5A"/>
    <w:rsid w:val="2C4B1C25"/>
    <w:rsid w:val="2CE63DF8"/>
    <w:rsid w:val="2D1E00CF"/>
    <w:rsid w:val="2D391D94"/>
    <w:rsid w:val="2D850411"/>
    <w:rsid w:val="2D9E56F5"/>
    <w:rsid w:val="2DC66E76"/>
    <w:rsid w:val="2DC8572C"/>
    <w:rsid w:val="2DFA71DA"/>
    <w:rsid w:val="2E2B1F4D"/>
    <w:rsid w:val="2E667F96"/>
    <w:rsid w:val="2E8226AB"/>
    <w:rsid w:val="2E917220"/>
    <w:rsid w:val="2F977D56"/>
    <w:rsid w:val="2FD065E6"/>
    <w:rsid w:val="2FD96870"/>
    <w:rsid w:val="304D2ECC"/>
    <w:rsid w:val="30580BC9"/>
    <w:rsid w:val="311E2ED7"/>
    <w:rsid w:val="315619EE"/>
    <w:rsid w:val="315C449C"/>
    <w:rsid w:val="31B82709"/>
    <w:rsid w:val="31D05482"/>
    <w:rsid w:val="32400B34"/>
    <w:rsid w:val="329E6876"/>
    <w:rsid w:val="32AB3F34"/>
    <w:rsid w:val="32AD37E5"/>
    <w:rsid w:val="330A1ACB"/>
    <w:rsid w:val="333015F2"/>
    <w:rsid w:val="334B6320"/>
    <w:rsid w:val="33512240"/>
    <w:rsid w:val="33D934D4"/>
    <w:rsid w:val="33FE2F6A"/>
    <w:rsid w:val="340E07E5"/>
    <w:rsid w:val="34136CAD"/>
    <w:rsid w:val="34235BF7"/>
    <w:rsid w:val="34357B6A"/>
    <w:rsid w:val="35074C9E"/>
    <w:rsid w:val="351F745D"/>
    <w:rsid w:val="358C5FA8"/>
    <w:rsid w:val="35C15DF1"/>
    <w:rsid w:val="35CD6D50"/>
    <w:rsid w:val="35D87A93"/>
    <w:rsid w:val="35F96044"/>
    <w:rsid w:val="36074A7F"/>
    <w:rsid w:val="36315173"/>
    <w:rsid w:val="36923549"/>
    <w:rsid w:val="36B75FBF"/>
    <w:rsid w:val="36BD0C45"/>
    <w:rsid w:val="372252A6"/>
    <w:rsid w:val="37E00298"/>
    <w:rsid w:val="37E66CE8"/>
    <w:rsid w:val="37F433B3"/>
    <w:rsid w:val="3853404B"/>
    <w:rsid w:val="38B302F9"/>
    <w:rsid w:val="38DC6DC2"/>
    <w:rsid w:val="38F12CD3"/>
    <w:rsid w:val="38F94775"/>
    <w:rsid w:val="38FB47CF"/>
    <w:rsid w:val="39263A88"/>
    <w:rsid w:val="392971ED"/>
    <w:rsid w:val="39325651"/>
    <w:rsid w:val="3937182D"/>
    <w:rsid w:val="39E43BA3"/>
    <w:rsid w:val="3A38677D"/>
    <w:rsid w:val="3A872856"/>
    <w:rsid w:val="3B031DF5"/>
    <w:rsid w:val="3B3763D1"/>
    <w:rsid w:val="3C2F6E1E"/>
    <w:rsid w:val="3C4F64BA"/>
    <w:rsid w:val="3C6B2839"/>
    <w:rsid w:val="3CDA245A"/>
    <w:rsid w:val="3D1D086B"/>
    <w:rsid w:val="3D1E06B7"/>
    <w:rsid w:val="3D8B14FA"/>
    <w:rsid w:val="3D912ADA"/>
    <w:rsid w:val="3E2131C9"/>
    <w:rsid w:val="3EAD3F6A"/>
    <w:rsid w:val="3EDA0523"/>
    <w:rsid w:val="3F2424EA"/>
    <w:rsid w:val="3F8D208D"/>
    <w:rsid w:val="407A6407"/>
    <w:rsid w:val="412F4BBB"/>
    <w:rsid w:val="4200449D"/>
    <w:rsid w:val="423A3BCC"/>
    <w:rsid w:val="424E57D2"/>
    <w:rsid w:val="428264AA"/>
    <w:rsid w:val="42B26C49"/>
    <w:rsid w:val="433A6FE6"/>
    <w:rsid w:val="43480868"/>
    <w:rsid w:val="4350713C"/>
    <w:rsid w:val="436653E0"/>
    <w:rsid w:val="43C4431A"/>
    <w:rsid w:val="444B064E"/>
    <w:rsid w:val="44842B40"/>
    <w:rsid w:val="44974253"/>
    <w:rsid w:val="44B951CC"/>
    <w:rsid w:val="44CD14E0"/>
    <w:rsid w:val="44F20B0B"/>
    <w:rsid w:val="451C6FC0"/>
    <w:rsid w:val="452E5F4C"/>
    <w:rsid w:val="45612018"/>
    <w:rsid w:val="458946E9"/>
    <w:rsid w:val="45A47C0E"/>
    <w:rsid w:val="462753A7"/>
    <w:rsid w:val="463B3C24"/>
    <w:rsid w:val="464B503B"/>
    <w:rsid w:val="46577FD6"/>
    <w:rsid w:val="46D955A7"/>
    <w:rsid w:val="47133957"/>
    <w:rsid w:val="475B1F20"/>
    <w:rsid w:val="47A07E0C"/>
    <w:rsid w:val="4870272E"/>
    <w:rsid w:val="495245DA"/>
    <w:rsid w:val="498E3384"/>
    <w:rsid w:val="49BC5628"/>
    <w:rsid w:val="49C81882"/>
    <w:rsid w:val="49DC7715"/>
    <w:rsid w:val="4A023139"/>
    <w:rsid w:val="4A042D5B"/>
    <w:rsid w:val="4A7B576F"/>
    <w:rsid w:val="4ABC3DAB"/>
    <w:rsid w:val="4ACC4633"/>
    <w:rsid w:val="4AF561A9"/>
    <w:rsid w:val="4B422C7A"/>
    <w:rsid w:val="4B9745A8"/>
    <w:rsid w:val="4BBA5C42"/>
    <w:rsid w:val="4C4A0649"/>
    <w:rsid w:val="4C7E5ECA"/>
    <w:rsid w:val="4C876AA5"/>
    <w:rsid w:val="4CB95B0A"/>
    <w:rsid w:val="4CCC1EC1"/>
    <w:rsid w:val="4CD56399"/>
    <w:rsid w:val="4D0E00FB"/>
    <w:rsid w:val="4D176606"/>
    <w:rsid w:val="4D726B58"/>
    <w:rsid w:val="4D8D781A"/>
    <w:rsid w:val="4DEC4FB0"/>
    <w:rsid w:val="4E075D8A"/>
    <w:rsid w:val="4E6A1A52"/>
    <w:rsid w:val="4E9155CC"/>
    <w:rsid w:val="4EA824BA"/>
    <w:rsid w:val="4EB2355E"/>
    <w:rsid w:val="4EC00FAD"/>
    <w:rsid w:val="4F954AAC"/>
    <w:rsid w:val="4F9843DC"/>
    <w:rsid w:val="4F9852D8"/>
    <w:rsid w:val="4FC62A8C"/>
    <w:rsid w:val="4FE20F0D"/>
    <w:rsid w:val="4FE51552"/>
    <w:rsid w:val="50504C4B"/>
    <w:rsid w:val="509C6E7C"/>
    <w:rsid w:val="50AD05F4"/>
    <w:rsid w:val="50D774F1"/>
    <w:rsid w:val="5162104E"/>
    <w:rsid w:val="51802646"/>
    <w:rsid w:val="51F562DE"/>
    <w:rsid w:val="52885CD5"/>
    <w:rsid w:val="532C190B"/>
    <w:rsid w:val="53A039CC"/>
    <w:rsid w:val="53A1505A"/>
    <w:rsid w:val="53A17D41"/>
    <w:rsid w:val="54063E08"/>
    <w:rsid w:val="543437E8"/>
    <w:rsid w:val="54B263E3"/>
    <w:rsid w:val="54E64B55"/>
    <w:rsid w:val="54F73313"/>
    <w:rsid w:val="54F80955"/>
    <w:rsid w:val="555170A7"/>
    <w:rsid w:val="556830F9"/>
    <w:rsid w:val="556C6596"/>
    <w:rsid w:val="5587536D"/>
    <w:rsid w:val="559B174B"/>
    <w:rsid w:val="55CE0CF4"/>
    <w:rsid w:val="562403AC"/>
    <w:rsid w:val="56252C91"/>
    <w:rsid w:val="56B22A9C"/>
    <w:rsid w:val="57A211ED"/>
    <w:rsid w:val="57B72A76"/>
    <w:rsid w:val="57C3426C"/>
    <w:rsid w:val="57CE1F93"/>
    <w:rsid w:val="585C0985"/>
    <w:rsid w:val="587E2854"/>
    <w:rsid w:val="588743D1"/>
    <w:rsid w:val="5887701A"/>
    <w:rsid w:val="598955C9"/>
    <w:rsid w:val="59C0439F"/>
    <w:rsid w:val="59C44A54"/>
    <w:rsid w:val="5A104EED"/>
    <w:rsid w:val="5ABE2233"/>
    <w:rsid w:val="5B5D7AC8"/>
    <w:rsid w:val="5BDF5D95"/>
    <w:rsid w:val="5BE249A7"/>
    <w:rsid w:val="5BFE7528"/>
    <w:rsid w:val="5C34219A"/>
    <w:rsid w:val="5D5174B0"/>
    <w:rsid w:val="5E2467F1"/>
    <w:rsid w:val="5F1A2B43"/>
    <w:rsid w:val="5F1B7E58"/>
    <w:rsid w:val="5F5C5FB8"/>
    <w:rsid w:val="5F816B3B"/>
    <w:rsid w:val="5F9A43FD"/>
    <w:rsid w:val="5FA675EE"/>
    <w:rsid w:val="5FB837BB"/>
    <w:rsid w:val="604D65BF"/>
    <w:rsid w:val="60CC405A"/>
    <w:rsid w:val="617671DA"/>
    <w:rsid w:val="61E215D8"/>
    <w:rsid w:val="621B3775"/>
    <w:rsid w:val="62364782"/>
    <w:rsid w:val="627A6191"/>
    <w:rsid w:val="62892629"/>
    <w:rsid w:val="629F5F85"/>
    <w:rsid w:val="62E722A5"/>
    <w:rsid w:val="6394356A"/>
    <w:rsid w:val="63960BF2"/>
    <w:rsid w:val="63C61B2C"/>
    <w:rsid w:val="63D40BE9"/>
    <w:rsid w:val="64093C1D"/>
    <w:rsid w:val="64102431"/>
    <w:rsid w:val="641E0770"/>
    <w:rsid w:val="64A5243A"/>
    <w:rsid w:val="64C8677E"/>
    <w:rsid w:val="64D95A08"/>
    <w:rsid w:val="64E55DB6"/>
    <w:rsid w:val="64F531DE"/>
    <w:rsid w:val="65373578"/>
    <w:rsid w:val="65723C79"/>
    <w:rsid w:val="658713A2"/>
    <w:rsid w:val="66266960"/>
    <w:rsid w:val="671F124A"/>
    <w:rsid w:val="67472D0B"/>
    <w:rsid w:val="677A33C6"/>
    <w:rsid w:val="681F6961"/>
    <w:rsid w:val="68263540"/>
    <w:rsid w:val="682D4AF8"/>
    <w:rsid w:val="68610A2F"/>
    <w:rsid w:val="68805514"/>
    <w:rsid w:val="68BD3E39"/>
    <w:rsid w:val="68D02DD1"/>
    <w:rsid w:val="68E84E5B"/>
    <w:rsid w:val="69316E2F"/>
    <w:rsid w:val="694E000D"/>
    <w:rsid w:val="694E2071"/>
    <w:rsid w:val="697604C3"/>
    <w:rsid w:val="69766163"/>
    <w:rsid w:val="697A3B33"/>
    <w:rsid w:val="69D44760"/>
    <w:rsid w:val="69DB4550"/>
    <w:rsid w:val="69E02C01"/>
    <w:rsid w:val="6A520EC7"/>
    <w:rsid w:val="6ADD7165"/>
    <w:rsid w:val="6AF87E20"/>
    <w:rsid w:val="6B322639"/>
    <w:rsid w:val="6B70490E"/>
    <w:rsid w:val="6B9244E0"/>
    <w:rsid w:val="6B997E7B"/>
    <w:rsid w:val="6BBA7620"/>
    <w:rsid w:val="6BE93867"/>
    <w:rsid w:val="6C636C38"/>
    <w:rsid w:val="6CC54110"/>
    <w:rsid w:val="6DB34098"/>
    <w:rsid w:val="6DB545B6"/>
    <w:rsid w:val="6DE02FB4"/>
    <w:rsid w:val="6E1C5AEB"/>
    <w:rsid w:val="6E1C6B72"/>
    <w:rsid w:val="6E514CED"/>
    <w:rsid w:val="6EB563D5"/>
    <w:rsid w:val="6EC84AE9"/>
    <w:rsid w:val="6ED92677"/>
    <w:rsid w:val="6F101C89"/>
    <w:rsid w:val="6F225983"/>
    <w:rsid w:val="6FA732BD"/>
    <w:rsid w:val="6FFC5590"/>
    <w:rsid w:val="6FFD3563"/>
    <w:rsid w:val="706D1DD0"/>
    <w:rsid w:val="70710623"/>
    <w:rsid w:val="70856B87"/>
    <w:rsid w:val="70D527EE"/>
    <w:rsid w:val="715B5300"/>
    <w:rsid w:val="718C1A9B"/>
    <w:rsid w:val="71D27F8A"/>
    <w:rsid w:val="720804EB"/>
    <w:rsid w:val="72222328"/>
    <w:rsid w:val="72553024"/>
    <w:rsid w:val="73122968"/>
    <w:rsid w:val="731F5D5E"/>
    <w:rsid w:val="73C51AD5"/>
    <w:rsid w:val="741E793C"/>
    <w:rsid w:val="743441C2"/>
    <w:rsid w:val="745E3944"/>
    <w:rsid w:val="746268F5"/>
    <w:rsid w:val="74685607"/>
    <w:rsid w:val="755B3733"/>
    <w:rsid w:val="755C57EC"/>
    <w:rsid w:val="756103A4"/>
    <w:rsid w:val="759407F3"/>
    <w:rsid w:val="75F509B5"/>
    <w:rsid w:val="7635099D"/>
    <w:rsid w:val="764549FD"/>
    <w:rsid w:val="76482F5B"/>
    <w:rsid w:val="76522B87"/>
    <w:rsid w:val="766308F1"/>
    <w:rsid w:val="769F7133"/>
    <w:rsid w:val="76BA6F68"/>
    <w:rsid w:val="76F340CD"/>
    <w:rsid w:val="77762421"/>
    <w:rsid w:val="77AB53CA"/>
    <w:rsid w:val="77B56B1F"/>
    <w:rsid w:val="780F09F4"/>
    <w:rsid w:val="78387B4C"/>
    <w:rsid w:val="783960FD"/>
    <w:rsid w:val="785B002D"/>
    <w:rsid w:val="78A90480"/>
    <w:rsid w:val="7A364017"/>
    <w:rsid w:val="7A492EC6"/>
    <w:rsid w:val="7A6D3D0B"/>
    <w:rsid w:val="7A8265E1"/>
    <w:rsid w:val="7A8F4AFF"/>
    <w:rsid w:val="7A9A68F8"/>
    <w:rsid w:val="7AB57E55"/>
    <w:rsid w:val="7AC15EF1"/>
    <w:rsid w:val="7B215BFC"/>
    <w:rsid w:val="7B5B4FD1"/>
    <w:rsid w:val="7B686D42"/>
    <w:rsid w:val="7B841746"/>
    <w:rsid w:val="7C1A245E"/>
    <w:rsid w:val="7C6C5AC7"/>
    <w:rsid w:val="7CC6544B"/>
    <w:rsid w:val="7CED7332"/>
    <w:rsid w:val="7D0239FF"/>
    <w:rsid w:val="7D5E40CD"/>
    <w:rsid w:val="7D6B466E"/>
    <w:rsid w:val="7D6C712A"/>
    <w:rsid w:val="7D800E88"/>
    <w:rsid w:val="7DCD56F2"/>
    <w:rsid w:val="7DF612B7"/>
    <w:rsid w:val="7E231437"/>
    <w:rsid w:val="7EA5274C"/>
    <w:rsid w:val="7EF2571C"/>
    <w:rsid w:val="7F001CE7"/>
    <w:rsid w:val="7FBC0125"/>
    <w:rsid w:val="7FE47E50"/>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iPriority="39"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99" w:semiHidden="0" w:name="caption" w:locked="1"/>
    <w:lsdException w:unhideWhenUsed="0" w:uiPriority="0" w:semiHidden="0" w:name="table of figures" w:locked="1"/>
    <w:lsdException w:unhideWhenUsed="0" w:uiPriority="0" w:semiHidden="0" w:name="envelope address" w:locked="1"/>
    <w:lsdException w:qFormat="1" w:unhideWhenUsed="0" w:uiPriority="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name="Salutation" w:locked="1"/>
    <w:lsdException w:qFormat="1" w:unhideWhenUsed="0" w:uiPriority="0" w:semiHidden="0" w:name="Date"/>
    <w:lsdException w:qFormat="1"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99"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4"/>
    <w:basedOn w:val="1"/>
    <w:next w:val="1"/>
    <w:qFormat/>
    <w:locked/>
    <w:uiPriority w:val="0"/>
    <w:pPr>
      <w:keepNext/>
      <w:keepLines/>
      <w:spacing w:before="280" w:after="290" w:line="376" w:lineRule="auto"/>
      <w:outlineLvl w:val="3"/>
    </w:pPr>
    <w:rPr>
      <w:rFonts w:ascii="Cambria" w:hAnsi="Cambria"/>
      <w:b/>
      <w:bCs/>
      <w:sz w:val="28"/>
      <w:szCs w:val="28"/>
    </w:rPr>
  </w:style>
  <w:style w:type="character" w:default="1" w:styleId="30">
    <w:name w:val="Default Paragraph Font"/>
    <w:semiHidden/>
    <w:qFormat/>
    <w:uiPriority w:val="0"/>
  </w:style>
  <w:style w:type="table" w:default="1" w:styleId="2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locked/>
    <w:uiPriority w:val="0"/>
    <w:pPr>
      <w:ind w:firstLine="420" w:firstLineChars="200"/>
    </w:pPr>
    <w:rPr>
      <w:sz w:val="24"/>
      <w:szCs w:val="20"/>
    </w:rPr>
  </w:style>
  <w:style w:type="paragraph" w:styleId="6">
    <w:name w:val="Body Text 2"/>
    <w:basedOn w:val="1"/>
    <w:next w:val="1"/>
    <w:qFormat/>
    <w:locked/>
    <w:uiPriority w:val="99"/>
    <w:pPr>
      <w:spacing w:after="120" w:line="480" w:lineRule="auto"/>
    </w:pPr>
  </w:style>
  <w:style w:type="paragraph" w:styleId="7">
    <w:name w:val="caption"/>
    <w:basedOn w:val="1"/>
    <w:next w:val="1"/>
    <w:qFormat/>
    <w:locked/>
    <w:uiPriority w:val="99"/>
    <w:pPr>
      <w:spacing w:before="120" w:after="100" w:afterAutospacing="1" w:line="360" w:lineRule="auto"/>
      <w:jc w:val="center"/>
    </w:pPr>
    <w:rPr>
      <w:rFonts w:ascii="黑体" w:hAnsi="黑体" w:eastAsia="黑体" w:cs="宋体"/>
      <w:sz w:val="24"/>
    </w:rPr>
  </w:style>
  <w:style w:type="paragraph" w:styleId="8">
    <w:name w:val="annotation text"/>
    <w:basedOn w:val="1"/>
    <w:link w:val="38"/>
    <w:semiHidden/>
    <w:qFormat/>
    <w:uiPriority w:val="0"/>
    <w:pPr>
      <w:jc w:val="left"/>
    </w:pPr>
    <w:rPr>
      <w:kern w:val="0"/>
      <w:sz w:val="24"/>
      <w:szCs w:val="20"/>
    </w:rPr>
  </w:style>
  <w:style w:type="paragraph" w:styleId="9">
    <w:name w:val="Salutation"/>
    <w:basedOn w:val="1"/>
    <w:next w:val="1"/>
    <w:semiHidden/>
    <w:qFormat/>
    <w:locked/>
    <w:uiPriority w:val="0"/>
    <w:pPr>
      <w:pBdr>
        <w:top w:val="single" w:color="auto" w:sz="4" w:space="1"/>
      </w:pBdr>
      <w:adjustRightInd w:val="0"/>
      <w:spacing w:line="360" w:lineRule="atLeast"/>
      <w:jc w:val="left"/>
      <w:textAlignment w:val="baseline"/>
    </w:pPr>
    <w:rPr>
      <w:kern w:val="0"/>
      <w:szCs w:val="20"/>
    </w:rPr>
  </w:style>
  <w:style w:type="paragraph" w:styleId="10">
    <w:name w:val="Body Text"/>
    <w:basedOn w:val="1"/>
    <w:next w:val="11"/>
    <w:link w:val="39"/>
    <w:qFormat/>
    <w:uiPriority w:val="0"/>
    <w:pPr>
      <w:widowControl/>
      <w:snapToGrid w:val="0"/>
      <w:spacing w:before="60" w:after="160" w:line="259" w:lineRule="auto"/>
      <w:ind w:right="113"/>
    </w:pPr>
    <w:rPr>
      <w:kern w:val="0"/>
      <w:sz w:val="18"/>
      <w:szCs w:val="20"/>
    </w:rPr>
  </w:style>
  <w:style w:type="paragraph" w:customStyle="1" w:styleId="11">
    <w:name w:val="xl27"/>
    <w:basedOn w:val="1"/>
    <w:next w:val="12"/>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kern w:val="0"/>
      <w:sz w:val="16"/>
      <w:szCs w:val="16"/>
      <w:lang w:eastAsia="zh-TW"/>
    </w:rPr>
  </w:style>
  <w:style w:type="paragraph" w:customStyle="1" w:styleId="12">
    <w:name w:val="A正文"/>
    <w:basedOn w:val="1"/>
    <w:next w:val="10"/>
    <w:qFormat/>
    <w:uiPriority w:val="0"/>
    <w:pPr>
      <w:widowControl/>
      <w:overflowPunct w:val="0"/>
      <w:autoSpaceDE w:val="0"/>
      <w:autoSpaceDN w:val="0"/>
      <w:jc w:val="left"/>
      <w:textAlignment w:val="baseline"/>
    </w:pPr>
  </w:style>
  <w:style w:type="paragraph" w:styleId="13">
    <w:name w:val="Body Text Indent"/>
    <w:basedOn w:val="1"/>
    <w:next w:val="1"/>
    <w:link w:val="40"/>
    <w:qFormat/>
    <w:uiPriority w:val="0"/>
    <w:pPr>
      <w:spacing w:after="120"/>
      <w:ind w:left="420" w:leftChars="200"/>
    </w:pPr>
    <w:rPr>
      <w:kern w:val="0"/>
      <w:sz w:val="24"/>
      <w:szCs w:val="20"/>
    </w:rPr>
  </w:style>
  <w:style w:type="paragraph" w:styleId="14">
    <w:name w:val="Plain Text"/>
    <w:basedOn w:val="1"/>
    <w:qFormat/>
    <w:locked/>
    <w:uiPriority w:val="0"/>
    <w:rPr>
      <w:rFonts w:ascii="宋体" w:hAnsi="Courier New"/>
      <w:szCs w:val="21"/>
    </w:rPr>
  </w:style>
  <w:style w:type="paragraph" w:styleId="15">
    <w:name w:val="Date"/>
    <w:basedOn w:val="1"/>
    <w:next w:val="1"/>
    <w:link w:val="41"/>
    <w:qFormat/>
    <w:uiPriority w:val="0"/>
    <w:pPr>
      <w:ind w:left="100" w:leftChars="2500"/>
    </w:pPr>
    <w:rPr>
      <w:kern w:val="0"/>
      <w:sz w:val="24"/>
      <w:szCs w:val="20"/>
    </w:rPr>
  </w:style>
  <w:style w:type="paragraph" w:styleId="16">
    <w:name w:val="Body Text Indent 2"/>
    <w:basedOn w:val="1"/>
    <w:next w:val="17"/>
    <w:qFormat/>
    <w:locked/>
    <w:uiPriority w:val="0"/>
    <w:pPr>
      <w:spacing w:line="360" w:lineRule="auto"/>
      <w:ind w:firstLine="480" w:firstLineChars="200"/>
    </w:pPr>
    <w:rPr>
      <w:color w:val="000000"/>
      <w:sz w:val="24"/>
    </w:rPr>
  </w:style>
  <w:style w:type="paragraph" w:styleId="17">
    <w:name w:val="Body Text First Indent 2"/>
    <w:basedOn w:val="13"/>
    <w:next w:val="1"/>
    <w:qFormat/>
    <w:locked/>
    <w:uiPriority w:val="0"/>
    <w:pPr>
      <w:ind w:firstLine="420" w:firstLineChars="200"/>
    </w:pPr>
    <w:rPr>
      <w:kern w:val="2"/>
      <w:sz w:val="21"/>
      <w:szCs w:val="24"/>
    </w:rPr>
  </w:style>
  <w:style w:type="paragraph" w:styleId="18">
    <w:name w:val="Balloon Text"/>
    <w:basedOn w:val="1"/>
    <w:link w:val="42"/>
    <w:semiHidden/>
    <w:qFormat/>
    <w:uiPriority w:val="0"/>
    <w:rPr>
      <w:kern w:val="0"/>
      <w:sz w:val="18"/>
      <w:szCs w:val="20"/>
    </w:rPr>
  </w:style>
  <w:style w:type="paragraph" w:styleId="19">
    <w:name w:val="footer"/>
    <w:basedOn w:val="1"/>
    <w:link w:val="43"/>
    <w:qFormat/>
    <w:uiPriority w:val="99"/>
    <w:pPr>
      <w:tabs>
        <w:tab w:val="center" w:pos="4153"/>
        <w:tab w:val="right" w:pos="8306"/>
      </w:tabs>
      <w:snapToGrid w:val="0"/>
      <w:jc w:val="left"/>
    </w:pPr>
    <w:rPr>
      <w:kern w:val="0"/>
      <w:sz w:val="18"/>
      <w:szCs w:val="20"/>
    </w:rPr>
  </w:style>
  <w:style w:type="paragraph" w:styleId="20">
    <w:name w:val="envelope return"/>
    <w:basedOn w:val="1"/>
    <w:semiHidden/>
    <w:qFormat/>
    <w:locked/>
    <w:uiPriority w:val="0"/>
    <w:pPr>
      <w:snapToGrid w:val="0"/>
    </w:pPr>
    <w:rPr>
      <w:rFonts w:ascii="Arial" w:hAnsi="Arial" w:cs="Arial"/>
    </w:rPr>
  </w:style>
  <w:style w:type="paragraph" w:styleId="21">
    <w:name w:val="header"/>
    <w:basedOn w:val="1"/>
    <w:next w:val="10"/>
    <w:link w:val="44"/>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index heading"/>
    <w:basedOn w:val="1"/>
    <w:next w:val="23"/>
    <w:qFormat/>
    <w:locked/>
    <w:uiPriority w:val="0"/>
    <w:rPr>
      <w:rFonts w:ascii="Arial" w:hAnsi="Arial"/>
      <w:b/>
    </w:rPr>
  </w:style>
  <w:style w:type="paragraph" w:styleId="23">
    <w:name w:val="index 1"/>
    <w:basedOn w:val="1"/>
    <w:next w:val="1"/>
    <w:qFormat/>
    <w:locked/>
    <w:uiPriority w:val="0"/>
  </w:style>
  <w:style w:type="paragraph" w:styleId="24">
    <w:name w:val="toc 9"/>
    <w:basedOn w:val="1"/>
    <w:next w:val="1"/>
    <w:unhideWhenUsed/>
    <w:qFormat/>
    <w:locked/>
    <w:uiPriority w:val="39"/>
    <w:pPr>
      <w:wordWrap w:val="0"/>
      <w:ind w:left="2975"/>
      <w:jc w:val="both"/>
    </w:pPr>
    <w:rPr>
      <w:rFonts w:ascii="Times New Roman" w:hAnsi="Times New Roman" w:eastAsia="宋体" w:cs="Times New Roman"/>
      <w:sz w:val="21"/>
      <w:szCs w:val="22"/>
      <w:lang w:val="en-US" w:eastAsia="zh-CN" w:bidi="ar-SA"/>
    </w:rPr>
  </w:style>
  <w:style w:type="paragraph" w:styleId="25">
    <w:name w:val="Normal (Web)"/>
    <w:basedOn w:val="1"/>
    <w:link w:val="45"/>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8"/>
    <w:next w:val="8"/>
    <w:link w:val="46"/>
    <w:semiHidden/>
    <w:qFormat/>
    <w:uiPriority w:val="0"/>
    <w:rPr>
      <w:b/>
      <w:sz w:val="24"/>
      <w:szCs w:val="20"/>
    </w:rPr>
  </w:style>
  <w:style w:type="paragraph" w:styleId="27">
    <w:name w:val="Body Text First Indent"/>
    <w:basedOn w:val="10"/>
    <w:next w:val="1"/>
    <w:unhideWhenUsed/>
    <w:qFormat/>
    <w:locked/>
    <w:uiPriority w:val="0"/>
    <w:pPr>
      <w:ind w:firstLine="420" w:firstLineChars="100"/>
    </w:p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0"/>
    <w:rPr>
      <w:b/>
    </w:rPr>
  </w:style>
  <w:style w:type="character" w:styleId="32">
    <w:name w:val="page number"/>
    <w:qFormat/>
    <w:locked/>
    <w:uiPriority w:val="0"/>
  </w:style>
  <w:style w:type="character" w:styleId="33">
    <w:name w:val="Hyperlink"/>
    <w:basedOn w:val="30"/>
    <w:qFormat/>
    <w:locked/>
    <w:uiPriority w:val="0"/>
    <w:rPr>
      <w:color w:val="0000FF"/>
      <w:u w:val="single"/>
    </w:rPr>
  </w:style>
  <w:style w:type="character" w:styleId="34">
    <w:name w:val="annotation reference"/>
    <w:basedOn w:val="30"/>
    <w:semiHidden/>
    <w:qFormat/>
    <w:uiPriority w:val="0"/>
    <w:rPr>
      <w:sz w:val="21"/>
    </w:rPr>
  </w:style>
  <w:style w:type="paragraph" w:customStyle="1" w:styleId="35">
    <w:name w:val="表格内容"/>
    <w:basedOn w:val="36"/>
    <w:next w:val="1"/>
    <w:qFormat/>
    <w:uiPriority w:val="0"/>
    <w:pPr>
      <w:wordWrap w:val="0"/>
      <w:overflowPunct w:val="0"/>
      <w:adjustRightInd/>
      <w:spacing w:line="240" w:lineRule="auto"/>
      <w:ind w:firstLine="0" w:firstLineChars="0"/>
      <w:jc w:val="left"/>
      <w:textAlignment w:val="baseline"/>
    </w:pPr>
    <w:rPr>
      <w:rFonts w:ascii="Times New Roman" w:hAnsi="Times New Roman"/>
      <w:b w:val="0"/>
      <w:sz w:val="21"/>
    </w:rPr>
  </w:style>
  <w:style w:type="paragraph" w:customStyle="1" w:styleId="36">
    <w:name w:val="表格标题"/>
    <w:basedOn w:val="27"/>
    <w:next w:val="1"/>
    <w:qFormat/>
    <w:uiPriority w:val="0"/>
    <w:pPr>
      <w:ind w:firstLine="0" w:firstLineChars="0"/>
      <w:jc w:val="center"/>
    </w:pPr>
    <w:rPr>
      <w:rFonts w:ascii="Times New Roman" w:hAnsi="Times New Roman" w:eastAsia="宋体"/>
      <w:b/>
      <w:sz w:val="24"/>
      <w:szCs w:val="21"/>
    </w:rPr>
  </w:style>
  <w:style w:type="paragraph" w:customStyle="1" w:styleId="37">
    <w:name w:val="标号正文"/>
    <w:basedOn w:val="1"/>
    <w:next w:val="1"/>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character" w:customStyle="1" w:styleId="38">
    <w:name w:val="批注文字 Char"/>
    <w:link w:val="8"/>
    <w:qFormat/>
    <w:locked/>
    <w:uiPriority w:val="0"/>
    <w:rPr>
      <w:rFonts w:ascii="Times New Roman" w:hAnsi="Times New Roman" w:eastAsia="宋体"/>
      <w:sz w:val="24"/>
    </w:rPr>
  </w:style>
  <w:style w:type="character" w:customStyle="1" w:styleId="39">
    <w:name w:val="正文文本 Char"/>
    <w:link w:val="10"/>
    <w:qFormat/>
    <w:locked/>
    <w:uiPriority w:val="0"/>
    <w:rPr>
      <w:sz w:val="18"/>
    </w:rPr>
  </w:style>
  <w:style w:type="character" w:customStyle="1" w:styleId="40">
    <w:name w:val="正文文本缩进 Char"/>
    <w:link w:val="13"/>
    <w:semiHidden/>
    <w:qFormat/>
    <w:locked/>
    <w:uiPriority w:val="0"/>
    <w:rPr>
      <w:rFonts w:ascii="Times New Roman" w:hAnsi="Times New Roman" w:eastAsia="宋体"/>
      <w:sz w:val="24"/>
    </w:rPr>
  </w:style>
  <w:style w:type="character" w:customStyle="1" w:styleId="41">
    <w:name w:val="日期 Char"/>
    <w:link w:val="15"/>
    <w:qFormat/>
    <w:locked/>
    <w:uiPriority w:val="0"/>
    <w:rPr>
      <w:rFonts w:ascii="Times New Roman" w:hAnsi="Times New Roman" w:eastAsia="宋体"/>
      <w:sz w:val="24"/>
    </w:rPr>
  </w:style>
  <w:style w:type="character" w:customStyle="1" w:styleId="42">
    <w:name w:val="批注框文本 Char"/>
    <w:link w:val="18"/>
    <w:semiHidden/>
    <w:qFormat/>
    <w:locked/>
    <w:uiPriority w:val="0"/>
    <w:rPr>
      <w:rFonts w:ascii="Times New Roman" w:hAnsi="Times New Roman" w:eastAsia="宋体"/>
      <w:sz w:val="18"/>
    </w:rPr>
  </w:style>
  <w:style w:type="character" w:customStyle="1" w:styleId="43">
    <w:name w:val="页脚 Char"/>
    <w:link w:val="19"/>
    <w:qFormat/>
    <w:locked/>
    <w:uiPriority w:val="99"/>
    <w:rPr>
      <w:sz w:val="18"/>
    </w:rPr>
  </w:style>
  <w:style w:type="character" w:customStyle="1" w:styleId="44">
    <w:name w:val="页眉 Char"/>
    <w:link w:val="21"/>
    <w:qFormat/>
    <w:locked/>
    <w:uiPriority w:val="0"/>
    <w:rPr>
      <w:sz w:val="18"/>
    </w:rPr>
  </w:style>
  <w:style w:type="character" w:customStyle="1" w:styleId="45">
    <w:name w:val="普通(网站) Char"/>
    <w:link w:val="25"/>
    <w:qFormat/>
    <w:locked/>
    <w:uiPriority w:val="0"/>
    <w:rPr>
      <w:rFonts w:ascii="宋体" w:hAnsi="宋体" w:eastAsia="宋体"/>
      <w:sz w:val="24"/>
    </w:rPr>
  </w:style>
  <w:style w:type="character" w:customStyle="1" w:styleId="46">
    <w:name w:val="批注主题 Char"/>
    <w:link w:val="26"/>
    <w:semiHidden/>
    <w:qFormat/>
    <w:locked/>
    <w:uiPriority w:val="0"/>
    <w:rPr>
      <w:rFonts w:ascii="Times New Roman" w:hAnsi="Times New Roman" w:eastAsia="宋体"/>
      <w:b/>
      <w:kern w:val="2"/>
      <w:sz w:val="24"/>
    </w:rPr>
  </w:style>
  <w:style w:type="paragraph" w:customStyle="1" w:styleId="47">
    <w:name w:val="Default"/>
    <w:basedOn w:val="48"/>
    <w:next w:val="17"/>
    <w:qFormat/>
    <w:uiPriority w:val="0"/>
    <w:pPr>
      <w:autoSpaceDE w:val="0"/>
      <w:autoSpaceDN w:val="0"/>
    </w:pPr>
    <w:rPr>
      <w:rFonts w:ascii="Times New Roman" w:hAnsi="Times New Roman" w:eastAsia="宋体" w:cs="Times New Roman"/>
      <w:color w:val="000000"/>
      <w:sz w:val="24"/>
      <w:szCs w:val="24"/>
    </w:rPr>
  </w:style>
  <w:style w:type="paragraph" w:customStyle="1" w:styleId="48">
    <w:name w:val="纯文本1"/>
    <w:basedOn w:val="1"/>
    <w:qFormat/>
    <w:uiPriority w:val="0"/>
    <w:pPr>
      <w:adjustRightInd w:val="0"/>
    </w:pPr>
    <w:rPr>
      <w:rFonts w:ascii="宋体" w:hAnsi="Courier New"/>
      <w:szCs w:val="20"/>
    </w:rPr>
  </w:style>
  <w:style w:type="paragraph" w:customStyle="1" w:styleId="49">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character" w:customStyle="1" w:styleId="50">
    <w:name w:val="页脚 字符"/>
    <w:qFormat/>
    <w:uiPriority w:val="99"/>
  </w:style>
  <w:style w:type="character" w:customStyle="1" w:styleId="51">
    <w:name w:val="正文文本 字符1"/>
    <w:semiHidden/>
    <w:qFormat/>
    <w:uiPriority w:val="0"/>
    <w:rPr>
      <w:rFonts w:ascii="Times New Roman" w:hAnsi="Times New Roman" w:eastAsia="宋体"/>
      <w:sz w:val="24"/>
    </w:rPr>
  </w:style>
  <w:style w:type="character" w:customStyle="1" w:styleId="52">
    <w:name w:val="表格 Char"/>
    <w:link w:val="53"/>
    <w:qFormat/>
    <w:locked/>
    <w:uiPriority w:val="0"/>
    <w:rPr>
      <w:rFonts w:ascii="宋体"/>
      <w:sz w:val="21"/>
    </w:rPr>
  </w:style>
  <w:style w:type="paragraph" w:customStyle="1" w:styleId="53">
    <w:name w:val="表格"/>
    <w:basedOn w:val="1"/>
    <w:next w:val="1"/>
    <w:link w:val="52"/>
    <w:qFormat/>
    <w:uiPriority w:val="0"/>
    <w:pPr>
      <w:adjustRightInd w:val="0"/>
      <w:snapToGrid w:val="0"/>
      <w:spacing w:beforeLines="10" w:afterLines="10" w:line="259" w:lineRule="auto"/>
      <w:jc w:val="center"/>
    </w:pPr>
    <w:rPr>
      <w:rFonts w:ascii="宋体"/>
      <w:kern w:val="0"/>
      <w:szCs w:val="20"/>
    </w:rPr>
  </w:style>
  <w:style w:type="character" w:customStyle="1" w:styleId="54">
    <w:name w:val="日期 字符"/>
    <w:semiHidden/>
    <w:qFormat/>
    <w:uiPriority w:val="0"/>
    <w:rPr>
      <w:rFonts w:ascii="Times New Roman" w:hAnsi="Times New Roman" w:eastAsia="宋体"/>
      <w:sz w:val="24"/>
    </w:rPr>
  </w:style>
  <w:style w:type="character" w:customStyle="1" w:styleId="55">
    <w:name w:val="批注文字 字符1"/>
    <w:semiHidden/>
    <w:qFormat/>
    <w:uiPriority w:val="0"/>
    <w:rPr>
      <w:rFonts w:ascii="Times New Roman" w:hAnsi="Times New Roman" w:eastAsia="宋体"/>
      <w:sz w:val="24"/>
    </w:rPr>
  </w:style>
  <w:style w:type="paragraph" w:customStyle="1" w:styleId="5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8">
    <w:name w:val="li_正文"/>
    <w:basedOn w:val="1"/>
    <w:qFormat/>
    <w:uiPriority w:val="0"/>
    <w:pPr>
      <w:tabs>
        <w:tab w:val="left" w:pos="2340"/>
        <w:tab w:val="left" w:pos="4320"/>
      </w:tabs>
      <w:ind w:firstLine="530" w:firstLineChars="200"/>
      <w:jc w:val="left"/>
    </w:pPr>
    <w:rPr>
      <w:rFonts w:ascii="Calibri" w:hAnsi="Calibri"/>
      <w:sz w:val="28"/>
      <w:szCs w:val="28"/>
    </w:rPr>
  </w:style>
  <w:style w:type="paragraph" w:customStyle="1" w:styleId="59">
    <w:name w:val="报告书正文"/>
    <w:basedOn w:val="1"/>
    <w:qFormat/>
    <w:uiPriority w:val="0"/>
    <w:pPr>
      <w:autoSpaceDE w:val="0"/>
      <w:autoSpaceDN w:val="0"/>
      <w:spacing w:line="520" w:lineRule="exact"/>
      <w:ind w:firstLine="200" w:firstLineChars="200"/>
    </w:pPr>
    <w:rPr>
      <w:sz w:val="28"/>
      <w:szCs w:val="28"/>
    </w:rPr>
  </w:style>
  <w:style w:type="paragraph" w:customStyle="1" w:styleId="60">
    <w:name w:val="！正文"/>
    <w:basedOn w:val="1"/>
    <w:qFormat/>
    <w:uiPriority w:val="0"/>
    <w:pPr>
      <w:ind w:firstLine="480"/>
    </w:pPr>
  </w:style>
  <w:style w:type="paragraph" w:customStyle="1" w:styleId="61">
    <w:name w:val="无间隔1"/>
    <w:basedOn w:val="1"/>
    <w:qFormat/>
    <w:uiPriority w:val="0"/>
    <w:rPr>
      <w:szCs w:val="21"/>
    </w:rPr>
  </w:style>
  <w:style w:type="paragraph" w:customStyle="1" w:styleId="62">
    <w:name w:val="无间隔3"/>
    <w:basedOn w:val="1"/>
    <w:qFormat/>
    <w:uiPriority w:val="0"/>
    <w:pPr>
      <w:widowControl/>
      <w:jc w:val="left"/>
    </w:pPr>
    <w:rPr>
      <w:rFonts w:ascii="Cambria" w:hAnsi="Cambria"/>
      <w:kern w:val="0"/>
      <w:sz w:val="22"/>
      <w:szCs w:val="22"/>
    </w:rPr>
  </w:style>
  <w:style w:type="paragraph" w:customStyle="1" w:styleId="63">
    <w:name w:val="表格正文"/>
    <w:basedOn w:val="5"/>
    <w:next w:val="1"/>
    <w:qFormat/>
    <w:uiPriority w:val="0"/>
    <w:pPr>
      <w:widowControl/>
      <w:spacing w:line="240" w:lineRule="auto"/>
      <w:ind w:firstLine="0" w:firstLineChars="0"/>
      <w:jc w:val="center"/>
    </w:pPr>
    <w:rPr>
      <w:sz w:val="21"/>
    </w:rPr>
  </w:style>
  <w:style w:type="paragraph" w:customStyle="1" w:styleId="64">
    <w:name w:val="表标题"/>
    <w:basedOn w:val="1"/>
    <w:next w:val="35"/>
    <w:qFormat/>
    <w:uiPriority w:val="0"/>
    <w:pPr>
      <w:jc w:val="center"/>
    </w:pPr>
    <w:rPr>
      <w:rFonts w:eastAsia="黑体"/>
    </w:rPr>
  </w:style>
  <w:style w:type="paragraph" w:customStyle="1" w:styleId="65">
    <w:name w:val="*正文"/>
    <w:qFormat/>
    <w:uiPriority w:val="0"/>
    <w:pPr>
      <w:spacing w:line="360" w:lineRule="auto"/>
      <w:ind w:firstLine="200" w:firstLineChars="200"/>
      <w:jc w:val="both"/>
      <w:textAlignment w:val="baseline"/>
    </w:pPr>
    <w:rPr>
      <w:rFonts w:ascii="Times New Roman" w:hAnsi="Times New Roman" w:eastAsia="宋体" w:cs="Times New Roman"/>
      <w:color w:val="000000"/>
      <w:sz w:val="24"/>
      <w:szCs w:val="22"/>
      <w:lang w:val="en-US" w:eastAsia="zh-CN" w:bidi="ar-SA"/>
    </w:rPr>
  </w:style>
  <w:style w:type="character" w:customStyle="1" w:styleId="66">
    <w:name w:val="font41"/>
    <w:qFormat/>
    <w:uiPriority w:val="0"/>
    <w:rPr>
      <w:rFonts w:hint="default" w:ascii="Times New Roman" w:hAnsi="Times New Roman" w:cs="Times New Roman"/>
      <w:color w:val="000000"/>
      <w:sz w:val="21"/>
      <w:szCs w:val="21"/>
      <w:u w:val="none"/>
      <w:vertAlign w:val="subscript"/>
    </w:rPr>
  </w:style>
  <w:style w:type="character" w:customStyle="1" w:styleId="67">
    <w:name w:val="font31"/>
    <w:qFormat/>
    <w:uiPriority w:val="0"/>
    <w:rPr>
      <w:rFonts w:hint="default" w:ascii="Times New Roman" w:hAnsi="Times New Roman" w:cs="Times New Roman"/>
      <w:color w:val="000000"/>
      <w:sz w:val="21"/>
      <w:szCs w:val="21"/>
      <w:u w:val="none"/>
    </w:rPr>
  </w:style>
  <w:style w:type="paragraph" w:customStyle="1" w:styleId="68">
    <w:name w:val="表格 普通文字"/>
    <w:basedOn w:val="1"/>
    <w:qFormat/>
    <w:uiPriority w:val="0"/>
    <w:pPr>
      <w:spacing w:line="500" w:lineRule="exact"/>
      <w:ind w:firstLine="200" w:firstLineChars="200"/>
      <w:jc w:val="center"/>
    </w:pPr>
    <w:rPr>
      <w:rFonts w:ascii="Arial" w:hAnsi="Arial" w:eastAsia="仿宋_GB2312"/>
      <w:kern w:val="0"/>
      <w:sz w:val="20"/>
      <w:szCs w:val="21"/>
    </w:rPr>
  </w:style>
  <w:style w:type="paragraph" w:customStyle="1" w:styleId="69">
    <w:name w:val="正文61"/>
    <w:basedOn w:val="1"/>
    <w:qFormat/>
    <w:uiPriority w:val="0"/>
    <w:pPr>
      <w:snapToGrid w:val="0"/>
      <w:spacing w:line="360" w:lineRule="auto"/>
      <w:ind w:firstLine="200" w:firstLineChars="200"/>
    </w:pPr>
    <w:rPr>
      <w:szCs w:val="20"/>
    </w:rPr>
  </w:style>
  <w:style w:type="paragraph" w:customStyle="1" w:styleId="70">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71">
    <w:name w:val="+正文"/>
    <w:basedOn w:val="1"/>
    <w:qFormat/>
    <w:uiPriority w:val="0"/>
    <w:pPr>
      <w:spacing w:line="360" w:lineRule="auto"/>
      <w:ind w:firstLine="200" w:firstLineChars="200"/>
    </w:pPr>
    <w:rPr>
      <w:sz w:val="24"/>
      <w:szCs w:val="28"/>
    </w:rPr>
  </w:style>
  <w:style w:type="paragraph" w:customStyle="1" w:styleId="72">
    <w:name w:val="表样式1"/>
    <w:basedOn w:val="1"/>
    <w:qFormat/>
    <w:uiPriority w:val="0"/>
    <w:pPr>
      <w:snapToGrid w:val="0"/>
      <w:jc w:val="center"/>
    </w:pPr>
    <w:rPr>
      <w:color w:val="000000"/>
      <w:szCs w:val="21"/>
    </w:rPr>
  </w:style>
  <w:style w:type="paragraph" w:customStyle="1" w:styleId="73">
    <w:name w:val="Table Paragraph"/>
    <w:basedOn w:val="1"/>
    <w:qFormat/>
    <w:uiPriority w:val="0"/>
    <w:pPr>
      <w:keepNext w:val="0"/>
      <w:keepLines w:val="0"/>
      <w:widowControl w:val="0"/>
      <w:suppressLineNumbers w:val="0"/>
      <w:spacing w:before="0" w:beforeAutospacing="0" w:after="0" w:afterAutospacing="0" w:line="360" w:lineRule="auto"/>
      <w:ind w:left="0" w:right="0"/>
      <w:jc w:val="both"/>
    </w:pPr>
    <w:rPr>
      <w:rFonts w:hint="default" w:ascii="Times New Roman" w:hAnsi="Times New Roman" w:eastAsia="宋体" w:cs="Times New Roman"/>
      <w:kern w:val="2"/>
      <w:sz w:val="24"/>
      <w:szCs w:val="24"/>
      <w:lang w:val="en-US" w:eastAsia="zh-CN" w:bidi="ar"/>
    </w:rPr>
  </w:style>
  <w:style w:type="paragraph" w:customStyle="1" w:styleId="74">
    <w:name w:val="表格文字2"/>
    <w:basedOn w:val="1"/>
    <w:qFormat/>
    <w:uiPriority w:val="0"/>
    <w:pPr>
      <w:keepNext w:val="0"/>
      <w:keepLines w:val="0"/>
      <w:widowControl w:val="0"/>
      <w:suppressLineNumbers w:val="0"/>
      <w:adjustRightInd w:val="0"/>
      <w:snapToGrid w:val="0"/>
      <w:spacing w:before="0" w:beforeAutospacing="0" w:after="0" w:afterAutospacing="0"/>
      <w:ind w:left="0" w:right="0" w:firstLine="0" w:firstLineChars="0"/>
      <w:jc w:val="center"/>
      <w:textAlignment w:val="baseline"/>
    </w:pPr>
    <w:rPr>
      <w:rFonts w:hint="default" w:ascii="Times New Roman" w:hAnsi="Times New Roman" w:cs="Times New Roman"/>
      <w:kern w:val="0"/>
      <w:sz w:val="21"/>
      <w:szCs w:val="21"/>
      <w:lang w:val="en-US" w:eastAsia="zh-CN" w:bidi="ar"/>
    </w:rPr>
  </w:style>
  <w:style w:type="paragraph" w:customStyle="1" w:styleId="75">
    <w:name w:val="表格文字"/>
    <w:basedOn w:val="1"/>
    <w:qFormat/>
    <w:uiPriority w:val="0"/>
    <w:pPr>
      <w:keepNext w:val="0"/>
      <w:keepLines w:val="0"/>
      <w:widowControl w:val="0"/>
      <w:suppressLineNumbers w:val="0"/>
      <w:spacing w:before="0" w:beforeAutospacing="0" w:after="0" w:afterAutospacing="0" w:line="240" w:lineRule="auto"/>
      <w:ind w:left="0" w:right="0" w:firstLine="0" w:firstLineChars="0"/>
      <w:jc w:val="center"/>
    </w:pPr>
    <w:rPr>
      <w:rFonts w:hint="default" w:ascii="Times New Roman" w:hAnsi="Times New Roman" w:eastAsia="宋体" w:cs="Times New Roman"/>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wmf"/><Relationship Id="rId25" Type="http://schemas.openxmlformats.org/officeDocument/2006/relationships/oleObject" Target="embeddings/oleObject1.bin"/><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4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86</Pages>
  <Words>20357</Words>
  <Characters>21216</Characters>
  <Lines>1</Lines>
  <Paragraphs>1</Paragraphs>
  <TotalTime>18</TotalTime>
  <ScaleCrop>false</ScaleCrop>
  <LinksUpToDate>false</LinksUpToDate>
  <CharactersWithSpaces>21328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2025-01-07T03:15:00Z</dcterms:created>
  <dc:creator>lhj</dc:creator>
  <cp:lastModifiedBy>17</cp:lastModifiedBy>
  <cp:lastPrinted>2025-04-08T08:58:00Z</cp:lastPrinted>
  <dcterms:modified xsi:type="dcterms:W3CDTF">2025-04-22T09:07:50Z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6263D60AA55C4334BEA3FD3EB73D41B0_13</vt:lpwstr>
  </property>
  <property fmtid="{D5CDD505-2E9C-101B-9397-08002B2CF9AE}" pid="4" name="KSOTemplateDocerSaveRecord">
    <vt:lpwstr>eyJoZGlkIjoiM2VlMGI0ODU0MTc1MDRkZTVmYTI2Y2RkZjg0YTA2ZTAiLCJ1c2VySWQiOiI1NTUyMjg2OTQifQ==</vt:lpwstr>
  </property>
</Properties>
</file>