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ascii="宋体" w:hAnsi="宋体" w:eastAsia="宋体" w:cs="宋体"/>
          <w:color w:val="000000"/>
          <w:kern w:val="0"/>
          <w:szCs w:val="32"/>
          <w:lang w:val="en-US" w:eastAsia="zh-CN"/>
        </w:rPr>
      </w:pPr>
    </w:p>
    <w:tbl>
      <w:tblPr>
        <w:tblStyle w:val="2"/>
        <w:tblW w:w="8910" w:type="dxa"/>
        <w:tblInd w:w="93" w:type="dxa"/>
        <w:tblLayout w:type="fixed"/>
        <w:tblCellMar>
          <w:top w:w="0" w:type="dxa"/>
          <w:left w:w="108" w:type="dxa"/>
          <w:bottom w:w="0" w:type="dxa"/>
          <w:right w:w="108" w:type="dxa"/>
        </w:tblCellMar>
      </w:tblPr>
      <w:tblGrid>
        <w:gridCol w:w="765"/>
        <w:gridCol w:w="649"/>
        <w:gridCol w:w="651"/>
        <w:gridCol w:w="1196"/>
        <w:gridCol w:w="649"/>
        <w:gridCol w:w="872"/>
        <w:gridCol w:w="777"/>
        <w:gridCol w:w="954"/>
        <w:gridCol w:w="722"/>
        <w:gridCol w:w="727"/>
        <w:gridCol w:w="948"/>
      </w:tblGrid>
      <w:tr>
        <w:tblPrEx>
          <w:tblCellMar>
            <w:top w:w="0" w:type="dxa"/>
            <w:left w:w="108" w:type="dxa"/>
            <w:bottom w:w="0" w:type="dxa"/>
            <w:right w:w="108" w:type="dxa"/>
          </w:tblCellMar>
        </w:tblPrEx>
        <w:trPr>
          <w:trHeight w:val="600" w:hRule="atLeast"/>
        </w:trPr>
        <w:tc>
          <w:tcPr>
            <w:tcW w:w="8910" w:type="dxa"/>
            <w:gridSpan w:val="11"/>
            <w:tcBorders>
              <w:top w:val="nil"/>
              <w:left w:val="nil"/>
              <w:bottom w:val="nil"/>
              <w:right w:val="nil"/>
            </w:tcBorders>
            <w:vAlign w:val="center"/>
          </w:tcPr>
          <w:p>
            <w:pPr>
              <w:widowControl/>
              <w:jc w:val="center"/>
              <w:textAlignment w:val="center"/>
              <w:rPr>
                <w:rFonts w:ascii="宋体" w:hAnsi="宋体" w:eastAsia="宋体" w:cs="宋体"/>
                <w:color w:val="000000"/>
                <w:szCs w:val="32"/>
              </w:rPr>
            </w:pPr>
            <w:r>
              <w:rPr>
                <w:rFonts w:hint="eastAsia" w:ascii="宋体" w:hAnsi="宋体" w:eastAsia="宋体" w:cs="宋体"/>
                <w:b/>
                <w:bCs/>
                <w:color w:val="000000"/>
                <w:kern w:val="0"/>
                <w:szCs w:val="32"/>
                <w:lang w:val="en-US" w:eastAsia="zh-CN"/>
              </w:rPr>
              <w:t>旅游发展基金补助地方项目资金</w:t>
            </w:r>
            <w:r>
              <w:rPr>
                <w:rFonts w:hint="eastAsia" w:ascii="宋体" w:hAnsi="宋体" w:eastAsia="宋体" w:cs="宋体"/>
                <w:b/>
                <w:bCs/>
                <w:color w:val="000000"/>
                <w:kern w:val="0"/>
                <w:szCs w:val="32"/>
              </w:rPr>
              <w:t>整体绩效目标自评表</w:t>
            </w:r>
            <w:r>
              <w:rPr>
                <w:rFonts w:hint="eastAsia" w:ascii="宋体" w:hAnsi="宋体" w:eastAsia="宋体" w:cs="宋体"/>
                <w:color w:val="000000"/>
                <w:kern w:val="0"/>
                <w:szCs w:val="32"/>
              </w:rPr>
              <w:t xml:space="preserve"> </w:t>
            </w:r>
          </w:p>
        </w:tc>
      </w:tr>
      <w:tr>
        <w:tblPrEx>
          <w:tblCellMar>
            <w:top w:w="0" w:type="dxa"/>
            <w:left w:w="108" w:type="dxa"/>
            <w:bottom w:w="0" w:type="dxa"/>
            <w:right w:w="108" w:type="dxa"/>
          </w:tblCellMar>
        </w:tblPrEx>
        <w:trPr>
          <w:trHeight w:val="432" w:hRule="atLeast"/>
        </w:trPr>
        <w:tc>
          <w:tcPr>
            <w:tcW w:w="8910" w:type="dxa"/>
            <w:gridSpan w:val="11"/>
            <w:tcBorders>
              <w:top w:val="nil"/>
              <w:left w:val="nil"/>
              <w:bottom w:val="single" w:color="000000" w:sz="4" w:space="0"/>
              <w:right w:val="nil"/>
            </w:tcBorders>
          </w:tcPr>
          <w:p>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rPr>
              <w:t>（202</w:t>
            </w:r>
            <w:r>
              <w:rPr>
                <w:rFonts w:hint="eastAsia" w:ascii="宋体" w:hAnsi="宋体" w:eastAsia="宋体" w:cs="宋体"/>
                <w:color w:val="000000"/>
                <w:kern w:val="0"/>
                <w:sz w:val="22"/>
                <w:szCs w:val="22"/>
                <w:lang w:val="en-US" w:eastAsia="zh-CN"/>
              </w:rPr>
              <w:t>4</w:t>
            </w:r>
            <w:r>
              <w:rPr>
                <w:rFonts w:hint="eastAsia" w:ascii="宋体" w:hAnsi="宋体" w:eastAsia="宋体" w:cs="宋体"/>
                <w:color w:val="000000"/>
                <w:kern w:val="0"/>
                <w:sz w:val="22"/>
                <w:szCs w:val="22"/>
              </w:rPr>
              <w:t>年度）</w:t>
            </w:r>
          </w:p>
        </w:tc>
      </w:tr>
      <w:tr>
        <w:tblPrEx>
          <w:tblCellMar>
            <w:top w:w="0" w:type="dxa"/>
            <w:left w:w="108" w:type="dxa"/>
            <w:bottom w:w="0" w:type="dxa"/>
            <w:right w:w="108" w:type="dxa"/>
          </w:tblCellMar>
        </w:tblPrEx>
        <w:trPr>
          <w:trHeight w:val="559" w:hRule="atLeast"/>
        </w:trPr>
        <w:tc>
          <w:tcPr>
            <w:tcW w:w="2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转移支付（项目）名称</w:t>
            </w:r>
          </w:p>
        </w:tc>
        <w:tc>
          <w:tcPr>
            <w:tcW w:w="6845"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旅游发展基金补助地方项目资金</w:t>
            </w:r>
          </w:p>
        </w:tc>
      </w:tr>
      <w:tr>
        <w:tblPrEx>
          <w:tblCellMar>
            <w:top w:w="0" w:type="dxa"/>
            <w:left w:w="108" w:type="dxa"/>
            <w:bottom w:w="0" w:type="dxa"/>
            <w:right w:w="108" w:type="dxa"/>
          </w:tblCellMar>
        </w:tblPrEx>
        <w:trPr>
          <w:trHeight w:val="402" w:hRule="atLeast"/>
        </w:trPr>
        <w:tc>
          <w:tcPr>
            <w:tcW w:w="2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区级主管部门</w:t>
            </w:r>
          </w:p>
        </w:tc>
        <w:tc>
          <w:tcPr>
            <w:tcW w:w="6845"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相山区文化旅游体育局</w:t>
            </w:r>
          </w:p>
        </w:tc>
      </w:tr>
      <w:tr>
        <w:tblPrEx>
          <w:tblCellMar>
            <w:top w:w="0" w:type="dxa"/>
            <w:left w:w="108" w:type="dxa"/>
            <w:bottom w:w="0" w:type="dxa"/>
            <w:right w:w="108" w:type="dxa"/>
          </w:tblCellMar>
        </w:tblPrEx>
        <w:trPr>
          <w:trHeight w:val="402" w:hRule="atLeast"/>
        </w:trPr>
        <w:tc>
          <w:tcPr>
            <w:tcW w:w="206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项目资金（万元）</w:t>
            </w:r>
          </w:p>
        </w:tc>
        <w:tc>
          <w:tcPr>
            <w:tcW w:w="11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rPr>
            </w:pPr>
          </w:p>
        </w:tc>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年初预算数</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全年预算数（A）</w:t>
            </w:r>
          </w:p>
        </w:tc>
        <w:tc>
          <w:tcPr>
            <w:tcW w:w="1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全年执行数（B）</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分值</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预算执行率（B/A)</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得分</w:t>
            </w:r>
          </w:p>
        </w:tc>
      </w:tr>
      <w:tr>
        <w:tblPrEx>
          <w:tblCellMar>
            <w:top w:w="0" w:type="dxa"/>
            <w:left w:w="108" w:type="dxa"/>
            <w:bottom w:w="0" w:type="dxa"/>
            <w:right w:w="108" w:type="dxa"/>
          </w:tblCellMar>
        </w:tblPrEx>
        <w:trPr>
          <w:trHeight w:val="402" w:hRule="atLeast"/>
        </w:trPr>
        <w:tc>
          <w:tcPr>
            <w:tcW w:w="206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年度资金总额：</w:t>
            </w:r>
          </w:p>
        </w:tc>
        <w:tc>
          <w:tcPr>
            <w:tcW w:w="64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24.5</w:t>
            </w: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24.5</w:t>
            </w:r>
          </w:p>
        </w:tc>
        <w:tc>
          <w:tcPr>
            <w:tcW w:w="17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3</w:t>
            </w:r>
          </w:p>
        </w:tc>
        <w:tc>
          <w:tcPr>
            <w:tcW w:w="7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等线" w:hAnsi="等线" w:eastAsia="等线" w:cs="等线"/>
                <w:color w:val="000000"/>
                <w:sz w:val="20"/>
                <w:lang w:val="en-US" w:eastAsia="zh-CN"/>
              </w:rPr>
            </w:pPr>
            <w:r>
              <w:rPr>
                <w:rFonts w:hint="eastAsia" w:ascii="宋体" w:hAnsi="宋体" w:eastAsia="宋体" w:cs="宋体"/>
                <w:color w:val="000000"/>
                <w:sz w:val="20"/>
                <w:lang w:val="en-US" w:eastAsia="zh-CN"/>
              </w:rPr>
              <w:t>10</w:t>
            </w: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12.2%</w:t>
            </w:r>
          </w:p>
        </w:tc>
        <w:tc>
          <w:tcPr>
            <w:tcW w:w="94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1.2</w:t>
            </w:r>
          </w:p>
        </w:tc>
      </w:tr>
      <w:tr>
        <w:tblPrEx>
          <w:tblCellMar>
            <w:top w:w="0" w:type="dxa"/>
            <w:left w:w="108" w:type="dxa"/>
            <w:bottom w:w="0" w:type="dxa"/>
            <w:right w:w="108" w:type="dxa"/>
          </w:tblCellMar>
        </w:tblPrEx>
        <w:trPr>
          <w:trHeight w:val="402" w:hRule="atLeast"/>
        </w:trPr>
        <w:tc>
          <w:tcPr>
            <w:tcW w:w="206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 xml:space="preserve"> </w:t>
            </w:r>
            <w:r>
              <w:rPr>
                <w:rStyle w:val="4"/>
                <w:rFonts w:hint="default"/>
              </w:rPr>
              <w:t>其中：中央资金</w:t>
            </w:r>
          </w:p>
        </w:tc>
        <w:tc>
          <w:tcPr>
            <w:tcW w:w="64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20"/>
                <w:lang w:val="en-US" w:eastAsia="zh-CN"/>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lang w:val="en-US" w:eastAsia="zh-CN"/>
              </w:rPr>
            </w:pPr>
          </w:p>
        </w:tc>
        <w:tc>
          <w:tcPr>
            <w:tcW w:w="17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lang w:val="en-US" w:eastAsia="zh-CN"/>
              </w:rPr>
            </w:pPr>
          </w:p>
        </w:tc>
        <w:tc>
          <w:tcPr>
            <w:tcW w:w="7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等线" w:hAnsi="等线" w:eastAsia="等线" w:cs="等线"/>
                <w:color w:val="000000"/>
                <w:sz w:val="20"/>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c>
          <w:tcPr>
            <w:tcW w:w="9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20"/>
              </w:rPr>
            </w:pPr>
          </w:p>
        </w:tc>
      </w:tr>
      <w:tr>
        <w:tblPrEx>
          <w:tblCellMar>
            <w:top w:w="0" w:type="dxa"/>
            <w:left w:w="108" w:type="dxa"/>
            <w:bottom w:w="0" w:type="dxa"/>
            <w:right w:w="108" w:type="dxa"/>
          </w:tblCellMar>
        </w:tblPrEx>
        <w:trPr>
          <w:trHeight w:val="402" w:hRule="atLeast"/>
        </w:trPr>
        <w:tc>
          <w:tcPr>
            <w:tcW w:w="206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 xml:space="preserve"> </w:t>
            </w:r>
            <w:r>
              <w:rPr>
                <w:rStyle w:val="4"/>
                <w:rFonts w:hint="default"/>
              </w:rPr>
              <w:t xml:space="preserve">      省级资金</w:t>
            </w:r>
          </w:p>
        </w:tc>
        <w:tc>
          <w:tcPr>
            <w:tcW w:w="6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24.5</w:t>
            </w: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24.5</w:t>
            </w:r>
          </w:p>
        </w:tc>
        <w:tc>
          <w:tcPr>
            <w:tcW w:w="17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lang w:val="en-US" w:eastAsia="zh-CN"/>
              </w:rPr>
            </w:pPr>
          </w:p>
        </w:tc>
        <w:tc>
          <w:tcPr>
            <w:tcW w:w="7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c>
          <w:tcPr>
            <w:tcW w:w="9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20"/>
              </w:rPr>
            </w:pPr>
          </w:p>
        </w:tc>
      </w:tr>
      <w:tr>
        <w:tblPrEx>
          <w:tblCellMar>
            <w:top w:w="0" w:type="dxa"/>
            <w:left w:w="108" w:type="dxa"/>
            <w:bottom w:w="0" w:type="dxa"/>
            <w:right w:w="108" w:type="dxa"/>
          </w:tblCellMar>
        </w:tblPrEx>
        <w:trPr>
          <w:trHeight w:val="402" w:hRule="atLeast"/>
        </w:trPr>
        <w:tc>
          <w:tcPr>
            <w:tcW w:w="206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 xml:space="preserve">       县级资金</w:t>
            </w:r>
          </w:p>
        </w:tc>
        <w:tc>
          <w:tcPr>
            <w:tcW w:w="64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c>
          <w:tcPr>
            <w:tcW w:w="17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c>
          <w:tcPr>
            <w:tcW w:w="722" w:type="dxa"/>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20"/>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c>
          <w:tcPr>
            <w:tcW w:w="9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20"/>
              </w:rPr>
            </w:pPr>
          </w:p>
        </w:tc>
      </w:tr>
      <w:tr>
        <w:tblPrEx>
          <w:tblCellMar>
            <w:top w:w="0" w:type="dxa"/>
            <w:left w:w="108" w:type="dxa"/>
            <w:bottom w:w="0" w:type="dxa"/>
            <w:right w:w="108" w:type="dxa"/>
          </w:tblCellMar>
        </w:tblPrEx>
        <w:trPr>
          <w:trHeight w:val="402" w:hRule="atLeast"/>
        </w:trPr>
        <w:tc>
          <w:tcPr>
            <w:tcW w:w="206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w:t>
            </w:r>
            <w:r>
              <w:rPr>
                <w:rStyle w:val="4"/>
                <w:rFonts w:hint="default"/>
              </w:rPr>
              <w:t xml:space="preserve">  其他资金</w:t>
            </w:r>
          </w:p>
        </w:tc>
        <w:tc>
          <w:tcPr>
            <w:tcW w:w="64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c>
          <w:tcPr>
            <w:tcW w:w="17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c>
          <w:tcPr>
            <w:tcW w:w="722" w:type="dxa"/>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20"/>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c>
          <w:tcPr>
            <w:tcW w:w="9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20"/>
              </w:rPr>
            </w:pPr>
          </w:p>
        </w:tc>
      </w:tr>
      <w:tr>
        <w:tblPrEx>
          <w:tblCellMar>
            <w:top w:w="0" w:type="dxa"/>
            <w:left w:w="108" w:type="dxa"/>
            <w:bottom w:w="0" w:type="dxa"/>
            <w:right w:w="108" w:type="dxa"/>
          </w:tblCellMar>
        </w:tblPrEx>
        <w:trPr>
          <w:trHeight w:val="402" w:hRule="atLeast"/>
        </w:trPr>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年度总体目标</w:t>
            </w:r>
          </w:p>
        </w:tc>
        <w:tc>
          <w:tcPr>
            <w:tcW w:w="401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年初设定目标</w:t>
            </w:r>
          </w:p>
        </w:tc>
        <w:tc>
          <w:tcPr>
            <w:tcW w:w="4128"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全年实际完成情况</w:t>
            </w:r>
          </w:p>
        </w:tc>
      </w:tr>
      <w:tr>
        <w:tblPrEx>
          <w:tblCellMar>
            <w:top w:w="0" w:type="dxa"/>
            <w:left w:w="108" w:type="dxa"/>
            <w:bottom w:w="0" w:type="dxa"/>
            <w:right w:w="108" w:type="dxa"/>
          </w:tblCellMar>
        </w:tblPrEx>
        <w:trPr>
          <w:trHeight w:val="419" w:hRule="atLeast"/>
        </w:trPr>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c>
          <w:tcPr>
            <w:tcW w:w="401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lang w:eastAsia="zh-CN"/>
              </w:rPr>
            </w:pPr>
            <w:r>
              <w:rPr>
                <w:rFonts w:hint="eastAsia" w:ascii="宋体" w:hAnsi="宋体" w:eastAsia="宋体" w:cs="宋体"/>
                <w:color w:val="000000"/>
                <w:sz w:val="20"/>
                <w:lang w:eastAsia="zh-CN"/>
              </w:rPr>
              <w:t>依托文旅资源优势，加强文旅项目建设，丰富文旅业态，旅游景区提质增效与品牌建设、文旅与各产业跨界融合等各项工作扎实推进。</w:t>
            </w:r>
          </w:p>
        </w:tc>
        <w:tc>
          <w:tcPr>
            <w:tcW w:w="4128"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lang w:eastAsia="zh-CN"/>
              </w:rPr>
            </w:pPr>
            <w:r>
              <w:rPr>
                <w:rFonts w:hint="eastAsia" w:ascii="宋体" w:hAnsi="宋体" w:eastAsia="宋体" w:cs="宋体"/>
                <w:color w:val="000000"/>
                <w:sz w:val="20"/>
                <w:lang w:eastAsia="zh-CN"/>
              </w:rPr>
              <w:t>成功举办“皖美相山·杏福黄里”2024相山黄里杏花文化旅游节，成功打造黄里杏花节等区域文旅活动品牌。开展相山区旅游抽样调查工作。成功打造淮北市博物馆、大运河美术馆、安徽果力智能研学旅游基地等省级研学旅游基地，并深挖红色资源，培育钟源阁红色淮海研学基地。渠沟镇郭王村锦鲤文化产业园成为安徽省内领先的观赏鱼类繁育养殖基地，通过文旅与农业的融合，促进乡村旅游发展。举办文化旅游体育商品博览会、大运河文化带非遗展等活动，融入文创、手工及非遗元素，提升游客参与度。</w:t>
            </w:r>
          </w:p>
        </w:tc>
      </w:tr>
      <w:tr>
        <w:tblPrEx>
          <w:tblCellMar>
            <w:top w:w="0" w:type="dxa"/>
            <w:left w:w="108" w:type="dxa"/>
            <w:bottom w:w="0" w:type="dxa"/>
            <w:right w:w="108" w:type="dxa"/>
          </w:tblCellMar>
        </w:tblPrEx>
        <w:trPr>
          <w:trHeight w:val="522" w:hRule="atLeast"/>
        </w:trPr>
        <w:tc>
          <w:tcPr>
            <w:tcW w:w="765"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绩效指标</w:t>
            </w:r>
          </w:p>
        </w:tc>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一级</w:t>
            </w:r>
          </w:p>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指标</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二级指标</w:t>
            </w:r>
          </w:p>
        </w:tc>
        <w:tc>
          <w:tcPr>
            <w:tcW w:w="271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三级指标</w:t>
            </w:r>
          </w:p>
        </w:tc>
        <w:tc>
          <w:tcPr>
            <w:tcW w:w="77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年度指标值</w:t>
            </w:r>
          </w:p>
        </w:tc>
        <w:tc>
          <w:tcPr>
            <w:tcW w:w="95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全年实际完成值</w:t>
            </w:r>
          </w:p>
        </w:tc>
        <w:tc>
          <w:tcPr>
            <w:tcW w:w="722"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分值</w:t>
            </w:r>
          </w:p>
        </w:tc>
        <w:tc>
          <w:tcPr>
            <w:tcW w:w="727"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得分</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未完成原因和改进措施</w:t>
            </w:r>
          </w:p>
        </w:tc>
      </w:tr>
      <w:tr>
        <w:tblPrEx>
          <w:tblCellMar>
            <w:top w:w="0" w:type="dxa"/>
            <w:left w:w="108" w:type="dxa"/>
            <w:bottom w:w="0" w:type="dxa"/>
            <w:right w:w="108" w:type="dxa"/>
          </w:tblCellMar>
        </w:tblPrEx>
        <w:trPr>
          <w:trHeight w:val="90" w:hRule="atLeast"/>
        </w:trPr>
        <w:tc>
          <w:tcPr>
            <w:tcW w:w="76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宋体" w:hAnsi="宋体" w:eastAsia="宋体" w:cs="宋体"/>
                <w:color w:val="000000"/>
                <w:sz w:val="20"/>
              </w:rPr>
            </w:pPr>
          </w:p>
        </w:tc>
        <w:tc>
          <w:tcPr>
            <w:tcW w:w="6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产</w:t>
            </w:r>
          </w:p>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出</w:t>
            </w:r>
          </w:p>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指</w:t>
            </w:r>
          </w:p>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标</w:t>
            </w:r>
          </w:p>
        </w:tc>
        <w:tc>
          <w:tcPr>
            <w:tcW w:w="6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数量指标</w:t>
            </w:r>
          </w:p>
        </w:tc>
        <w:tc>
          <w:tcPr>
            <w:tcW w:w="271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r>
              <w:rPr>
                <w:rFonts w:hint="eastAsia" w:ascii="宋体" w:hAnsi="宋体" w:eastAsia="宋体" w:cs="宋体"/>
                <w:color w:val="000000"/>
                <w:sz w:val="20"/>
                <w:lang w:eastAsia="zh-CN"/>
              </w:rPr>
              <w:t>举办黄里杏花节</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1场</w:t>
            </w:r>
          </w:p>
        </w:tc>
        <w:tc>
          <w:tcPr>
            <w:tcW w:w="9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1场</w:t>
            </w:r>
          </w:p>
        </w:tc>
        <w:tc>
          <w:tcPr>
            <w:tcW w:w="722"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15</w:t>
            </w: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15</w:t>
            </w:r>
          </w:p>
        </w:tc>
        <w:tc>
          <w:tcPr>
            <w:tcW w:w="9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r>
      <w:tr>
        <w:tblPrEx>
          <w:tblCellMar>
            <w:top w:w="0" w:type="dxa"/>
            <w:left w:w="108" w:type="dxa"/>
            <w:bottom w:w="0" w:type="dxa"/>
            <w:right w:w="108" w:type="dxa"/>
          </w:tblCellMar>
        </w:tblPrEx>
        <w:trPr>
          <w:trHeight w:val="310" w:hRule="atLeast"/>
        </w:trPr>
        <w:tc>
          <w:tcPr>
            <w:tcW w:w="76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宋体" w:hAnsi="宋体" w:eastAsia="宋体" w:cs="宋体"/>
                <w:color w:val="000000"/>
                <w:sz w:val="20"/>
              </w:rPr>
            </w:pPr>
          </w:p>
        </w:tc>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c>
          <w:tcPr>
            <w:tcW w:w="6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c>
          <w:tcPr>
            <w:tcW w:w="271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r>
              <w:rPr>
                <w:rFonts w:hint="eastAsia" w:ascii="宋体" w:hAnsi="宋体" w:eastAsia="宋体" w:cs="宋体"/>
                <w:color w:val="000000"/>
                <w:sz w:val="20"/>
                <w:lang w:eastAsia="zh-CN"/>
              </w:rPr>
              <w:t>打造省级研学旅游基地</w:t>
            </w:r>
            <w:r>
              <w:rPr>
                <w:rFonts w:hint="eastAsia" w:ascii="宋体" w:hAnsi="宋体" w:eastAsia="宋体" w:cs="宋体"/>
                <w:color w:val="000000"/>
                <w:sz w:val="20"/>
              </w:rPr>
              <w:t>数</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2个</w:t>
            </w:r>
          </w:p>
        </w:tc>
        <w:tc>
          <w:tcPr>
            <w:tcW w:w="9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3个</w:t>
            </w:r>
          </w:p>
        </w:tc>
        <w:tc>
          <w:tcPr>
            <w:tcW w:w="722"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15</w:t>
            </w: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15</w:t>
            </w:r>
          </w:p>
        </w:tc>
        <w:tc>
          <w:tcPr>
            <w:tcW w:w="9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r>
      <w:tr>
        <w:tblPrEx>
          <w:tblCellMar>
            <w:top w:w="0" w:type="dxa"/>
            <w:left w:w="108" w:type="dxa"/>
            <w:bottom w:w="0" w:type="dxa"/>
            <w:right w:w="108" w:type="dxa"/>
          </w:tblCellMar>
        </w:tblPrEx>
        <w:trPr>
          <w:trHeight w:val="242" w:hRule="atLeast"/>
        </w:trPr>
        <w:tc>
          <w:tcPr>
            <w:tcW w:w="76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宋体" w:hAnsi="宋体" w:eastAsia="宋体" w:cs="宋体"/>
                <w:color w:val="000000"/>
                <w:sz w:val="20"/>
              </w:rPr>
            </w:pPr>
          </w:p>
        </w:tc>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c>
          <w:tcPr>
            <w:tcW w:w="651"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质量指标</w:t>
            </w:r>
          </w:p>
        </w:tc>
        <w:tc>
          <w:tcPr>
            <w:tcW w:w="271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旅游活动举办效果</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较好</w:t>
            </w:r>
          </w:p>
        </w:tc>
        <w:tc>
          <w:tcPr>
            <w:tcW w:w="9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2"/>
                <w:sz w:val="20"/>
                <w:szCs w:val="22"/>
                <w:lang w:val="en-US" w:eastAsia="zh-CN" w:bidi="ar-SA"/>
              </w:rPr>
            </w:pPr>
            <w:r>
              <w:rPr>
                <w:rFonts w:hint="eastAsia" w:ascii="宋体" w:hAnsi="宋体" w:eastAsia="宋体" w:cs="宋体"/>
                <w:color w:val="000000"/>
                <w:sz w:val="20"/>
                <w:lang w:val="en-US" w:eastAsia="zh-CN"/>
              </w:rPr>
              <w:t>较好</w:t>
            </w:r>
          </w:p>
        </w:tc>
        <w:tc>
          <w:tcPr>
            <w:tcW w:w="7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kern w:val="2"/>
                <w:sz w:val="20"/>
                <w:szCs w:val="22"/>
                <w:lang w:val="en-US" w:eastAsia="zh-CN" w:bidi="ar-SA"/>
              </w:rPr>
            </w:pPr>
            <w:r>
              <w:rPr>
                <w:rFonts w:hint="eastAsia" w:ascii="宋体" w:hAnsi="宋体" w:eastAsia="宋体" w:cs="宋体"/>
                <w:color w:val="000000"/>
                <w:sz w:val="20"/>
                <w:lang w:val="en-US" w:eastAsia="zh-CN"/>
              </w:rPr>
              <w:t>10</w:t>
            </w: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2"/>
                <w:sz w:val="20"/>
                <w:szCs w:val="22"/>
                <w:lang w:val="en-US" w:eastAsia="zh-CN" w:bidi="ar-SA"/>
              </w:rPr>
            </w:pPr>
            <w:r>
              <w:rPr>
                <w:rFonts w:hint="eastAsia" w:ascii="宋体" w:hAnsi="宋体" w:eastAsia="宋体" w:cs="宋体"/>
                <w:color w:val="000000"/>
                <w:sz w:val="20"/>
                <w:lang w:val="en-US" w:eastAsia="zh-CN"/>
              </w:rPr>
              <w:t>10</w:t>
            </w:r>
          </w:p>
        </w:tc>
        <w:tc>
          <w:tcPr>
            <w:tcW w:w="9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r>
      <w:tr>
        <w:tblPrEx>
          <w:tblCellMar>
            <w:top w:w="0" w:type="dxa"/>
            <w:left w:w="108" w:type="dxa"/>
            <w:bottom w:w="0" w:type="dxa"/>
            <w:right w:w="108" w:type="dxa"/>
          </w:tblCellMar>
        </w:tblPrEx>
        <w:trPr>
          <w:trHeight w:val="228" w:hRule="atLeast"/>
        </w:trPr>
        <w:tc>
          <w:tcPr>
            <w:tcW w:w="76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宋体" w:hAnsi="宋体" w:eastAsia="宋体" w:cs="宋体"/>
                <w:color w:val="000000"/>
                <w:sz w:val="20"/>
              </w:rPr>
            </w:pPr>
          </w:p>
        </w:tc>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时效指标</w:t>
            </w:r>
          </w:p>
        </w:tc>
        <w:tc>
          <w:tcPr>
            <w:tcW w:w="271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r>
              <w:rPr>
                <w:rFonts w:hint="eastAsia" w:ascii="宋体" w:hAnsi="宋体" w:eastAsia="宋体" w:cs="宋体"/>
                <w:color w:val="000000"/>
                <w:sz w:val="20"/>
                <w:lang w:eastAsia="zh-CN"/>
              </w:rPr>
              <w:t>旅游活动举办及时性</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及时</w:t>
            </w:r>
          </w:p>
        </w:tc>
        <w:tc>
          <w:tcPr>
            <w:tcW w:w="9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2"/>
                <w:sz w:val="20"/>
                <w:szCs w:val="22"/>
                <w:lang w:val="en-US" w:eastAsia="zh-CN" w:bidi="ar-SA"/>
              </w:rPr>
            </w:pPr>
            <w:r>
              <w:rPr>
                <w:rFonts w:hint="eastAsia" w:ascii="宋体" w:hAnsi="宋体" w:eastAsia="宋体" w:cs="宋体"/>
                <w:color w:val="000000"/>
                <w:sz w:val="20"/>
                <w:lang w:eastAsia="zh-CN"/>
              </w:rPr>
              <w:t>及时</w:t>
            </w:r>
          </w:p>
        </w:tc>
        <w:tc>
          <w:tcPr>
            <w:tcW w:w="7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kern w:val="2"/>
                <w:sz w:val="20"/>
                <w:szCs w:val="22"/>
                <w:lang w:val="en-US" w:eastAsia="zh-CN" w:bidi="ar-SA"/>
              </w:rPr>
            </w:pPr>
            <w:r>
              <w:rPr>
                <w:rFonts w:hint="eastAsia" w:ascii="宋体" w:hAnsi="宋体" w:eastAsia="宋体" w:cs="宋体"/>
                <w:color w:val="000000"/>
                <w:sz w:val="20"/>
                <w:lang w:val="en-US" w:eastAsia="zh-CN"/>
              </w:rPr>
              <w:t>10</w:t>
            </w: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0"/>
                <w:szCs w:val="22"/>
                <w:lang w:val="en-US" w:eastAsia="zh-CN" w:bidi="ar-SA"/>
              </w:rPr>
            </w:pPr>
            <w:r>
              <w:rPr>
                <w:rFonts w:hint="eastAsia" w:ascii="宋体" w:hAnsi="宋体" w:eastAsia="宋体" w:cs="宋体"/>
                <w:color w:val="000000"/>
                <w:sz w:val="20"/>
                <w:lang w:val="en-US" w:eastAsia="zh-CN"/>
              </w:rPr>
              <w:t>10</w:t>
            </w:r>
          </w:p>
        </w:tc>
        <w:tc>
          <w:tcPr>
            <w:tcW w:w="9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r>
      <w:tr>
        <w:tblPrEx>
          <w:tblCellMar>
            <w:top w:w="0" w:type="dxa"/>
            <w:left w:w="108" w:type="dxa"/>
            <w:bottom w:w="0" w:type="dxa"/>
            <w:right w:w="108" w:type="dxa"/>
          </w:tblCellMar>
        </w:tblPrEx>
        <w:trPr>
          <w:trHeight w:val="228" w:hRule="atLeast"/>
        </w:trPr>
        <w:tc>
          <w:tcPr>
            <w:tcW w:w="76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宋体" w:hAnsi="宋体" w:eastAsia="宋体" w:cs="宋体"/>
                <w:color w:val="000000"/>
                <w:sz w:val="20"/>
              </w:rPr>
            </w:pPr>
          </w:p>
        </w:tc>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成本指标</w:t>
            </w:r>
          </w:p>
        </w:tc>
        <w:tc>
          <w:tcPr>
            <w:tcW w:w="271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lang w:eastAsia="zh-CN"/>
              </w:rPr>
            </w:pP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0"/>
                <w:lang w:val="en-US" w:eastAsia="zh-CN"/>
              </w:rPr>
            </w:pPr>
          </w:p>
        </w:tc>
        <w:tc>
          <w:tcPr>
            <w:tcW w:w="95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20"/>
                <w:lang w:val="en-US" w:eastAsia="zh-CN"/>
              </w:rPr>
            </w:pPr>
          </w:p>
        </w:tc>
        <w:tc>
          <w:tcPr>
            <w:tcW w:w="722"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20"/>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0"/>
                <w:lang w:val="en-US" w:eastAsia="zh-CN"/>
              </w:rPr>
            </w:pPr>
          </w:p>
        </w:tc>
        <w:tc>
          <w:tcPr>
            <w:tcW w:w="9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r>
      <w:tr>
        <w:tblPrEx>
          <w:tblCellMar>
            <w:top w:w="0" w:type="dxa"/>
            <w:left w:w="108" w:type="dxa"/>
            <w:bottom w:w="0" w:type="dxa"/>
            <w:right w:w="108" w:type="dxa"/>
          </w:tblCellMar>
        </w:tblPrEx>
        <w:trPr>
          <w:trHeight w:val="402" w:hRule="atLeast"/>
        </w:trPr>
        <w:tc>
          <w:tcPr>
            <w:tcW w:w="76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宋体" w:hAnsi="宋体" w:eastAsia="宋体" w:cs="宋体"/>
                <w:color w:val="000000"/>
                <w:sz w:val="20"/>
              </w:rPr>
            </w:pPr>
          </w:p>
        </w:tc>
        <w:tc>
          <w:tcPr>
            <w:tcW w:w="6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效</w:t>
            </w:r>
          </w:p>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益</w:t>
            </w:r>
          </w:p>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指</w:t>
            </w:r>
          </w:p>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标</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经济效益</w:t>
            </w:r>
          </w:p>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指标</w:t>
            </w:r>
          </w:p>
        </w:tc>
        <w:tc>
          <w:tcPr>
            <w:tcW w:w="271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带动辖区旅游消费效果</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较好</w:t>
            </w:r>
          </w:p>
        </w:tc>
        <w:tc>
          <w:tcPr>
            <w:tcW w:w="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rPr>
            </w:pPr>
            <w:r>
              <w:rPr>
                <w:rFonts w:hint="eastAsia" w:ascii="宋体" w:hAnsi="宋体" w:eastAsia="宋体" w:cs="宋体"/>
                <w:color w:val="000000"/>
                <w:sz w:val="20"/>
                <w:lang w:eastAsia="zh-CN"/>
              </w:rPr>
              <w:t>较好</w:t>
            </w:r>
          </w:p>
        </w:tc>
        <w:tc>
          <w:tcPr>
            <w:tcW w:w="722"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10</w:t>
            </w: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10</w:t>
            </w:r>
          </w:p>
        </w:tc>
        <w:tc>
          <w:tcPr>
            <w:tcW w:w="9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r>
      <w:tr>
        <w:tblPrEx>
          <w:tblCellMar>
            <w:top w:w="0" w:type="dxa"/>
            <w:left w:w="108" w:type="dxa"/>
            <w:bottom w:w="0" w:type="dxa"/>
            <w:right w:w="108" w:type="dxa"/>
          </w:tblCellMar>
        </w:tblPrEx>
        <w:trPr>
          <w:trHeight w:val="402" w:hRule="atLeast"/>
        </w:trPr>
        <w:tc>
          <w:tcPr>
            <w:tcW w:w="76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宋体" w:hAnsi="宋体" w:eastAsia="宋体" w:cs="宋体"/>
                <w:color w:val="000000"/>
                <w:sz w:val="20"/>
              </w:rPr>
            </w:pPr>
          </w:p>
        </w:tc>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社会效益</w:t>
            </w:r>
          </w:p>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指标</w:t>
            </w:r>
          </w:p>
        </w:tc>
        <w:tc>
          <w:tcPr>
            <w:tcW w:w="271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lang w:eastAsia="zh-CN"/>
              </w:rPr>
            </w:pPr>
            <w:r>
              <w:rPr>
                <w:rFonts w:hint="eastAsia" w:ascii="宋体" w:hAnsi="宋体" w:eastAsia="宋体" w:cs="宋体"/>
                <w:color w:val="000000"/>
                <w:sz w:val="20"/>
              </w:rPr>
              <w:t>为</w:t>
            </w:r>
            <w:r>
              <w:rPr>
                <w:rFonts w:hint="eastAsia" w:ascii="宋体" w:hAnsi="宋体" w:eastAsia="宋体" w:cs="宋体"/>
                <w:color w:val="000000"/>
                <w:sz w:val="20"/>
                <w:lang w:eastAsia="zh-CN"/>
              </w:rPr>
              <w:t>辖区</w:t>
            </w:r>
            <w:r>
              <w:rPr>
                <w:rFonts w:hint="eastAsia" w:ascii="宋体" w:hAnsi="宋体" w:eastAsia="宋体" w:cs="宋体"/>
                <w:color w:val="000000"/>
                <w:sz w:val="20"/>
              </w:rPr>
              <w:t>群众提供</w:t>
            </w:r>
            <w:r>
              <w:rPr>
                <w:rFonts w:hint="eastAsia" w:ascii="宋体" w:hAnsi="宋体" w:eastAsia="宋体" w:cs="宋体"/>
                <w:color w:val="000000"/>
                <w:sz w:val="20"/>
                <w:lang w:eastAsia="zh-CN"/>
              </w:rPr>
              <w:t>多彩旅游活动</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100%</w:t>
            </w:r>
          </w:p>
        </w:tc>
        <w:tc>
          <w:tcPr>
            <w:tcW w:w="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rPr>
            </w:pPr>
            <w:r>
              <w:rPr>
                <w:rFonts w:hint="eastAsia" w:ascii="宋体" w:hAnsi="宋体" w:eastAsia="宋体" w:cs="宋体"/>
                <w:color w:val="000000"/>
                <w:sz w:val="20"/>
                <w:lang w:val="en-US" w:eastAsia="zh-CN"/>
              </w:rPr>
              <w:t>100%</w:t>
            </w:r>
          </w:p>
        </w:tc>
        <w:tc>
          <w:tcPr>
            <w:tcW w:w="7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10</w:t>
            </w: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10</w:t>
            </w:r>
          </w:p>
        </w:tc>
        <w:tc>
          <w:tcPr>
            <w:tcW w:w="9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r>
      <w:tr>
        <w:tblPrEx>
          <w:tblCellMar>
            <w:top w:w="0" w:type="dxa"/>
            <w:left w:w="108" w:type="dxa"/>
            <w:bottom w:w="0" w:type="dxa"/>
            <w:right w:w="108" w:type="dxa"/>
          </w:tblCellMar>
        </w:tblPrEx>
        <w:trPr>
          <w:trHeight w:val="402" w:hRule="atLeast"/>
        </w:trPr>
        <w:tc>
          <w:tcPr>
            <w:tcW w:w="76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宋体" w:hAnsi="宋体" w:eastAsia="宋体" w:cs="宋体"/>
                <w:color w:val="000000"/>
                <w:sz w:val="20"/>
              </w:rPr>
            </w:pPr>
          </w:p>
        </w:tc>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可持续影响指标</w:t>
            </w:r>
          </w:p>
        </w:tc>
        <w:tc>
          <w:tcPr>
            <w:tcW w:w="271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营造良好旅游消费氛围</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2"/>
                <w:sz w:val="20"/>
                <w:szCs w:val="22"/>
                <w:lang w:val="en-US" w:eastAsia="zh-CN" w:bidi="ar-SA"/>
              </w:rPr>
            </w:pPr>
            <w:r>
              <w:rPr>
                <w:rFonts w:hint="eastAsia" w:ascii="宋体" w:hAnsi="宋体" w:eastAsia="宋体" w:cs="宋体"/>
                <w:color w:val="000000"/>
                <w:sz w:val="20"/>
                <w:lang w:eastAsia="zh-CN"/>
              </w:rPr>
              <w:t>较好</w:t>
            </w:r>
          </w:p>
        </w:tc>
        <w:tc>
          <w:tcPr>
            <w:tcW w:w="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kern w:val="2"/>
                <w:sz w:val="20"/>
                <w:szCs w:val="22"/>
                <w:lang w:val="en-US" w:eastAsia="zh-CN" w:bidi="ar-SA"/>
              </w:rPr>
            </w:pPr>
            <w:r>
              <w:rPr>
                <w:rFonts w:hint="eastAsia" w:ascii="宋体" w:hAnsi="宋体" w:eastAsia="宋体" w:cs="宋体"/>
                <w:color w:val="000000"/>
                <w:sz w:val="20"/>
                <w:lang w:eastAsia="zh-CN"/>
              </w:rPr>
              <w:t>较好</w:t>
            </w:r>
          </w:p>
        </w:tc>
        <w:tc>
          <w:tcPr>
            <w:tcW w:w="7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10</w:t>
            </w: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10</w:t>
            </w:r>
          </w:p>
        </w:tc>
        <w:tc>
          <w:tcPr>
            <w:tcW w:w="9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r>
      <w:tr>
        <w:tblPrEx>
          <w:tblCellMar>
            <w:top w:w="0" w:type="dxa"/>
            <w:left w:w="108" w:type="dxa"/>
            <w:bottom w:w="0" w:type="dxa"/>
            <w:right w:w="108" w:type="dxa"/>
          </w:tblCellMar>
        </w:tblPrEx>
        <w:trPr>
          <w:trHeight w:val="402" w:hRule="atLeast"/>
        </w:trPr>
        <w:tc>
          <w:tcPr>
            <w:tcW w:w="765"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宋体" w:hAnsi="宋体" w:eastAsia="宋体" w:cs="宋体"/>
                <w:color w:val="000000"/>
                <w:sz w:val="20"/>
              </w:rPr>
            </w:pPr>
          </w:p>
        </w:tc>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满意度指标</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服务对象</w:t>
            </w:r>
          </w:p>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满意度指标</w:t>
            </w:r>
          </w:p>
        </w:tc>
        <w:tc>
          <w:tcPr>
            <w:tcW w:w="271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r>
              <w:rPr>
                <w:rFonts w:hint="eastAsia" w:ascii="宋体" w:hAnsi="宋体" w:eastAsia="宋体" w:cs="宋体"/>
                <w:color w:val="000000"/>
                <w:sz w:val="20"/>
                <w:lang w:eastAsia="zh-CN"/>
              </w:rPr>
              <w:t>游客</w:t>
            </w:r>
            <w:r>
              <w:rPr>
                <w:rFonts w:hint="eastAsia" w:ascii="宋体" w:hAnsi="宋体" w:eastAsia="宋体" w:cs="宋体"/>
                <w:color w:val="000000"/>
                <w:sz w:val="20"/>
              </w:rPr>
              <w:t>满意度</w:t>
            </w:r>
          </w:p>
        </w:tc>
        <w:tc>
          <w:tcPr>
            <w:tcW w:w="7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95%</w:t>
            </w:r>
          </w:p>
        </w:tc>
        <w:tc>
          <w:tcPr>
            <w:tcW w:w="95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99%</w:t>
            </w:r>
          </w:p>
        </w:tc>
        <w:tc>
          <w:tcPr>
            <w:tcW w:w="7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10</w:t>
            </w: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10</w:t>
            </w:r>
          </w:p>
        </w:tc>
        <w:tc>
          <w:tcPr>
            <w:tcW w:w="9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r>
      <w:tr>
        <w:tblPrEx>
          <w:tblCellMar>
            <w:top w:w="0" w:type="dxa"/>
            <w:left w:w="108" w:type="dxa"/>
            <w:bottom w:w="0" w:type="dxa"/>
            <w:right w:w="108" w:type="dxa"/>
          </w:tblCellMar>
        </w:tblPrEx>
        <w:trPr>
          <w:trHeight w:val="402" w:hRule="atLeast"/>
        </w:trPr>
        <w:tc>
          <w:tcPr>
            <w:tcW w:w="2065" w:type="dxa"/>
            <w:gridSpan w:val="3"/>
            <w:tcBorders>
              <w:top w:val="single" w:color="000000" w:sz="4" w:space="0"/>
              <w:left w:val="single" w:color="000000" w:sz="4" w:space="0"/>
              <w:bottom w:val="single" w:color="000000" w:sz="4" w:space="0"/>
              <w:right w:val="single" w:color="000000" w:sz="4" w:space="0"/>
            </w:tcBorders>
            <w:textDirection w:val="tbRlV"/>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sz w:val="20"/>
              </w:rPr>
              <w:t>总分</w:t>
            </w:r>
          </w:p>
        </w:tc>
        <w:tc>
          <w:tcPr>
            <w:tcW w:w="2717" w:type="dxa"/>
            <w:gridSpan w:val="3"/>
            <w:tcBorders>
              <w:top w:val="single" w:color="000000" w:sz="4" w:space="0"/>
              <w:left w:val="single" w:color="000000" w:sz="4" w:space="0"/>
              <w:bottom w:val="single" w:color="000000" w:sz="4" w:space="0"/>
              <w:right w:val="nil"/>
            </w:tcBorders>
            <w:vAlign w:val="center"/>
          </w:tcPr>
          <w:p>
            <w:pPr>
              <w:jc w:val="center"/>
              <w:rPr>
                <w:rFonts w:ascii="宋体" w:hAnsi="宋体" w:eastAsia="宋体" w:cs="宋体"/>
                <w:color w:val="000000"/>
                <w:sz w:val="20"/>
              </w:rPr>
            </w:pPr>
          </w:p>
        </w:tc>
        <w:tc>
          <w:tcPr>
            <w:tcW w:w="77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rPr>
            </w:pPr>
          </w:p>
        </w:tc>
        <w:tc>
          <w:tcPr>
            <w:tcW w:w="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rPr>
            </w:pP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100</w:t>
            </w: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91.2</w:t>
            </w:r>
            <w:bookmarkStart w:id="0" w:name="_GoBack"/>
            <w:bookmarkEnd w:id="0"/>
          </w:p>
        </w:tc>
        <w:tc>
          <w:tcPr>
            <w:tcW w:w="9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rPr>
            </w:pPr>
          </w:p>
        </w:tc>
      </w:tr>
      <w:tr>
        <w:tblPrEx>
          <w:tblCellMar>
            <w:top w:w="0" w:type="dxa"/>
            <w:left w:w="108" w:type="dxa"/>
            <w:bottom w:w="0" w:type="dxa"/>
            <w:right w:w="108" w:type="dxa"/>
          </w:tblCellMar>
        </w:tblPrEx>
        <w:trPr>
          <w:trHeight w:val="402"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说明</w:t>
            </w:r>
          </w:p>
        </w:tc>
        <w:tc>
          <w:tcPr>
            <w:tcW w:w="8145"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rPr>
              <w:t>无</w:t>
            </w:r>
          </w:p>
        </w:tc>
      </w:tr>
    </w:tbl>
    <w:p>
      <w:pPr>
        <w:widowControl/>
        <w:spacing w:line="40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注：1.其他资金包括和上级补助、各级财政资金共同投入到同一项目的自有资金、社会资金以及以前年度的结转结余资金等。</w:t>
      </w:r>
      <w:r>
        <w:rPr>
          <w:rFonts w:hint="eastAsia" w:ascii="宋体" w:hAnsi="宋体" w:eastAsia="宋体" w:cs="宋体"/>
          <w:color w:val="000000"/>
          <w:kern w:val="0"/>
          <w:sz w:val="20"/>
        </w:rPr>
        <w:tab/>
      </w:r>
      <w:r>
        <w:rPr>
          <w:rFonts w:hint="eastAsia" w:ascii="宋体" w:hAnsi="宋体" w:eastAsia="宋体" w:cs="宋体"/>
          <w:color w:val="000000"/>
          <w:kern w:val="0"/>
          <w:sz w:val="20"/>
        </w:rPr>
        <w:tab/>
      </w:r>
    </w:p>
    <w:p>
      <w:pPr>
        <w:widowControl/>
        <w:spacing w:line="40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xml:space="preserve">    2.绩效自评采取打分评价形式，满分100分，各部门可根据指标的重要程度自主确定各项三级指标的权重分值，各项指标得分加总得出该项目绩效自评的总分（各级巡视、审计和财政监督检查中发现问题的酌情扣分）。各项指标得分最高不能超过该指标分值上限。原则上一级指标分值统一设置为：产出指标50分、效益指标30分、满意度指标10分、预算资金执行率10分。如有特殊情况，除预算资金执行率外，其他指标权重可作适当调整，但总分应为100分。</w:t>
      </w:r>
    </w:p>
    <w:p>
      <w:pPr>
        <w:widowControl/>
        <w:spacing w:line="400" w:lineRule="exact"/>
        <w:jc w:val="left"/>
        <w:textAlignment w:val="center"/>
        <w:rPr>
          <w:rFonts w:ascii="仿宋_GB2312" w:hAnsi="仿宋_GB2312" w:cs="仿宋_GB2312"/>
          <w:szCs w:val="32"/>
        </w:rPr>
      </w:pPr>
      <w:r>
        <w:rPr>
          <w:rFonts w:hint="eastAsia" w:ascii="宋体" w:hAnsi="宋体" w:eastAsia="宋体" w:cs="宋体"/>
          <w:color w:val="000000"/>
          <w:kern w:val="0"/>
          <w:sz w:val="20"/>
        </w:rPr>
        <w:t xml:space="preserve">    3.汇总区域绩效目标时，对于定量指标，绝对值直接累加计算，相对值按照资金额度加权平均计算；定性指标根据指标完成情况分为：全部或基本达成预期指标、部分达成预期指标并具有一定效果、未达成预期指标且效果较差三档，分别按照100%-80%（含）、80%-60%（含）、60-0%合理填写完成比例。</w:t>
      </w:r>
    </w:p>
    <w:p>
      <w:pPr>
        <w:rPr>
          <w:rFonts w:ascii="黑体" w:hAnsi="黑体" w:eastAsia="黑体" w:cs="宋体"/>
          <w:szCs w:val="32"/>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20C6C"/>
    <w:rsid w:val="0F2A7E3C"/>
    <w:rsid w:val="1DCF6A2F"/>
    <w:rsid w:val="23F63702"/>
    <w:rsid w:val="2F5E665F"/>
    <w:rsid w:val="30F827EF"/>
    <w:rsid w:val="70320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2025-04-09T00:53:00Z</dcterms:created>
  <dc:creator>Administrator</dc:creator>
  <cp:lastModifiedBy>Administrator</cp:lastModifiedBy>
  <dcterms:modified xsi:type="dcterms:W3CDTF">2025-04-09T03:18:46Z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