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hint="default" w:ascii="Times New Roman" w:hAnsi="宋体" w:eastAsia="黑体" w:cs="Times New Roman"/>
          <w:sz w:val="32"/>
          <w:szCs w:val="32"/>
          <w:lang w:val="en-US"/>
        </w:rPr>
      </w:pPr>
      <w:r>
        <w:rPr>
          <w:rFonts w:hint="eastAsia" w:ascii="Times New Roman" w:hAnsi="宋体" w:eastAsia="黑体" w:cs="黑体"/>
          <w:kern w:val="2"/>
          <w:sz w:val="32"/>
          <w:szCs w:val="32"/>
          <w:lang w:val="en-US" w:eastAsia="zh-CN" w:bidi="ar"/>
        </w:rPr>
        <w:t>附件</w:t>
      </w:r>
      <w:r>
        <w:rPr>
          <w:rFonts w:hint="default" w:ascii="Times New Roman" w:hAnsi="宋体" w:eastAsia="黑体" w:cs="Times New Roman"/>
          <w:kern w:val="2"/>
          <w:sz w:val="32"/>
          <w:szCs w:val="32"/>
          <w:lang w:val="en-US" w:eastAsia="zh-CN" w:bidi="ar"/>
        </w:rPr>
        <w:t>1</w:t>
      </w: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keepNext w:val="0"/>
        <w:keepLines w:val="0"/>
        <w:widowControl w:val="0"/>
        <w:suppressLineNumbers w:val="0"/>
        <w:spacing w:before="0" w:beforeAutospacing="0" w:after="0" w:afterAutospacing="0"/>
        <w:ind w:left="0" w:right="0"/>
        <w:jc w:val="center"/>
        <w:rPr>
          <w:rFonts w:ascii="华文中宋" w:hAnsi="华文中宋" w:eastAsia="华文中宋" w:cs="华文中宋"/>
          <w:b/>
          <w:sz w:val="44"/>
          <w:szCs w:val="44"/>
        </w:rPr>
      </w:pPr>
      <w:r>
        <w:rPr>
          <w:rFonts w:hint="eastAsia" w:ascii="华文中宋" w:hAnsi="华文中宋" w:eastAsia="华文中宋" w:cs="华文中宋"/>
          <w:b/>
          <w:sz w:val="44"/>
          <w:szCs w:val="44"/>
          <w:lang w:eastAsia="zh-CN"/>
        </w:rPr>
        <w:t>相山区财政局2022</w:t>
      </w:r>
      <w:r>
        <w:rPr>
          <w:rFonts w:hint="eastAsia" w:ascii="华文中宋" w:hAnsi="华文中宋" w:eastAsia="华文中宋" w:cs="华文中宋"/>
          <w:b/>
          <w:sz w:val="44"/>
          <w:szCs w:val="44"/>
        </w:rPr>
        <w:t>年部门预算</w:t>
      </w: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lang w:eastAsia="zh-CN"/>
        </w:rPr>
        <w:t>2022</w:t>
      </w:r>
      <w:r>
        <w:rPr>
          <w:rFonts w:hint="eastAsia" w:ascii="黑体" w:hAnsi="黑体" w:eastAsia="黑体"/>
          <w:bCs/>
          <w:sz w:val="44"/>
          <w:szCs w:val="44"/>
        </w:rPr>
        <w:t>年</w:t>
      </w:r>
      <w:r>
        <w:rPr>
          <w:rFonts w:hint="eastAsia" w:ascii="黑体" w:hAnsi="黑体" w:eastAsia="黑体"/>
          <w:bCs/>
          <w:sz w:val="44"/>
          <w:szCs w:val="44"/>
          <w:lang w:val="en-US" w:eastAsia="zh-CN"/>
        </w:rPr>
        <w:t>2</w:t>
      </w:r>
      <w:r>
        <w:rPr>
          <w:rFonts w:hint="eastAsia" w:ascii="黑体" w:hAnsi="黑体" w:eastAsia="黑体"/>
          <w:bCs/>
          <w:sz w:val="44"/>
          <w:szCs w:val="44"/>
        </w:rPr>
        <w:t>月</w:t>
      </w:r>
    </w:p>
    <w:p>
      <w:pPr>
        <w:pStyle w:val="5"/>
        <w:adjustRightInd w:val="0"/>
        <w:snapToGrid w:val="0"/>
        <w:spacing w:before="0" w:beforeAutospacing="0" w:after="0" w:afterAutospacing="0" w:line="360" w:lineRule="auto"/>
        <w:jc w:val="both"/>
        <w:rPr>
          <w:rFonts w:ascii="黑体" w:hAnsi="黑体" w:eastAsia="黑体"/>
          <w:bCs/>
          <w:sz w:val="36"/>
          <w:szCs w:val="36"/>
        </w:rPr>
      </w:pPr>
    </w:p>
    <w:p>
      <w:pPr>
        <w:pStyle w:val="5"/>
        <w:adjustRightInd w:val="0"/>
        <w:snapToGrid w:val="0"/>
        <w:spacing w:before="0" w:beforeAutospacing="0" w:after="0" w:afterAutospacing="0" w:line="500" w:lineRule="exact"/>
        <w:jc w:val="center"/>
        <w:rPr>
          <w:rFonts w:hint="eastAsia" w:ascii="黑体" w:hAnsi="黑体" w:eastAsia="黑体"/>
          <w:bCs/>
          <w:sz w:val="44"/>
          <w:szCs w:val="44"/>
        </w:rPr>
      </w:pPr>
    </w:p>
    <w:p>
      <w:pPr>
        <w:pStyle w:val="5"/>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5"/>
        <w:adjustRightInd w:val="0"/>
        <w:snapToGrid w:val="0"/>
        <w:spacing w:before="0" w:beforeAutospacing="0" w:after="0" w:afterAutospacing="0" w:line="500" w:lineRule="exact"/>
        <w:ind w:firstLine="643" w:firstLineChars="200"/>
        <w:jc w:val="both"/>
        <w:rPr>
          <w:rFonts w:hint="eastAsia"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第一部分 部门概况</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2.部门预算构成</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年度主要工作任务</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 xml:space="preserve">第二部分 </w:t>
      </w:r>
      <w:r>
        <w:rPr>
          <w:rFonts w:hint="eastAsia" w:ascii="仿宋_GB2312" w:hAnsi="仿宋" w:eastAsia="仿宋_GB2312" w:cs="仿宋"/>
          <w:b/>
          <w:sz w:val="32"/>
          <w:szCs w:val="32"/>
          <w:lang w:eastAsia="zh-CN"/>
        </w:rPr>
        <w:t>2022</w:t>
      </w:r>
      <w:r>
        <w:rPr>
          <w:rFonts w:hint="eastAsia" w:ascii="仿宋_GB2312" w:hAnsi="仿宋" w:eastAsia="仿宋_GB2312" w:cs="仿宋"/>
          <w:b/>
          <w:sz w:val="32"/>
          <w:szCs w:val="32"/>
        </w:rPr>
        <w:t>年部门预算表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w:t>
      </w:r>
      <w:r>
        <w:rPr>
          <w:rFonts w:hint="eastAsia" w:ascii="仿宋_GB2312" w:hAnsi="仿宋" w:eastAsia="仿宋_GB2312" w:cs="仿宋"/>
          <w:bCs/>
          <w:sz w:val="32"/>
          <w:szCs w:val="32"/>
          <w:lang w:eastAsia="zh-CN"/>
        </w:rPr>
        <w:t>相山区财政局2022</w:t>
      </w:r>
      <w:r>
        <w:rPr>
          <w:rFonts w:hint="eastAsia" w:ascii="仿宋_GB2312" w:hAnsi="仿宋" w:eastAsia="仿宋_GB2312" w:cs="仿宋"/>
          <w:bCs/>
          <w:sz w:val="32"/>
          <w:szCs w:val="32"/>
        </w:rPr>
        <w:t>年收支总表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w:t>
      </w:r>
      <w:r>
        <w:rPr>
          <w:rFonts w:hint="eastAsia" w:ascii="仿宋_GB2312" w:hAnsi="仿宋" w:eastAsia="仿宋_GB2312" w:cs="仿宋"/>
          <w:bCs/>
          <w:sz w:val="32"/>
          <w:szCs w:val="32"/>
          <w:lang w:eastAsia="zh-CN"/>
        </w:rPr>
        <w:t>相山区财政局2022</w:t>
      </w:r>
      <w:r>
        <w:rPr>
          <w:rFonts w:hint="eastAsia" w:ascii="仿宋_GB2312" w:hAnsi="仿宋" w:eastAsia="仿宋_GB2312" w:cs="仿宋"/>
          <w:bCs/>
          <w:sz w:val="32"/>
          <w:szCs w:val="32"/>
        </w:rPr>
        <w:t>年收入总表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相山区财政局2022</w:t>
      </w:r>
      <w:r>
        <w:rPr>
          <w:rFonts w:hint="eastAsia" w:ascii="仿宋_GB2312" w:hAnsi="仿宋" w:eastAsia="仿宋_GB2312" w:cs="仿宋"/>
          <w:bCs/>
          <w:sz w:val="32"/>
          <w:szCs w:val="32"/>
        </w:rPr>
        <w:t>年支出总表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w:t>
      </w:r>
      <w:r>
        <w:rPr>
          <w:rFonts w:hint="eastAsia" w:ascii="仿宋_GB2312" w:hAnsi="仿宋" w:eastAsia="仿宋_GB2312" w:cs="仿宋"/>
          <w:bCs/>
          <w:sz w:val="32"/>
          <w:szCs w:val="32"/>
          <w:lang w:eastAsia="zh-CN"/>
        </w:rPr>
        <w:t>相山区财政局2022</w:t>
      </w:r>
      <w:r>
        <w:rPr>
          <w:rFonts w:hint="eastAsia" w:ascii="仿宋_GB2312" w:hAnsi="仿宋" w:eastAsia="仿宋_GB2312" w:cs="仿宋"/>
          <w:bCs/>
          <w:sz w:val="32"/>
          <w:szCs w:val="32"/>
        </w:rPr>
        <w:t>年财政拨款收支总表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w:t>
      </w:r>
      <w:r>
        <w:rPr>
          <w:rFonts w:hint="eastAsia" w:ascii="仿宋_GB2312" w:hAnsi="仿宋" w:eastAsia="仿宋_GB2312" w:cs="仿宋"/>
          <w:bCs/>
          <w:sz w:val="32"/>
          <w:szCs w:val="32"/>
          <w:lang w:eastAsia="zh-CN"/>
        </w:rPr>
        <w:t>相山区财政局2022</w:t>
      </w:r>
      <w:r>
        <w:rPr>
          <w:rFonts w:hint="eastAsia" w:ascii="仿宋_GB2312" w:hAnsi="仿宋" w:eastAsia="仿宋_GB2312" w:cs="仿宋"/>
          <w:bCs/>
          <w:sz w:val="32"/>
          <w:szCs w:val="32"/>
        </w:rPr>
        <w:t>年一般公共预算支出表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w:t>
      </w:r>
      <w:r>
        <w:rPr>
          <w:rFonts w:hint="eastAsia" w:ascii="仿宋_GB2312" w:hAnsi="仿宋" w:eastAsia="仿宋_GB2312" w:cs="仿宋"/>
          <w:bCs/>
          <w:sz w:val="32"/>
          <w:szCs w:val="32"/>
          <w:lang w:eastAsia="zh-CN"/>
        </w:rPr>
        <w:t>相山区财政局2022</w:t>
      </w:r>
      <w:r>
        <w:rPr>
          <w:rFonts w:hint="eastAsia" w:ascii="仿宋_GB2312" w:hAnsi="仿宋" w:eastAsia="仿宋_GB2312" w:cs="仿宋"/>
          <w:bCs/>
          <w:sz w:val="32"/>
          <w:szCs w:val="32"/>
        </w:rPr>
        <w:t>年一般公共预算基本支出表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w:t>
      </w:r>
      <w:r>
        <w:rPr>
          <w:rFonts w:hint="eastAsia" w:ascii="仿宋_GB2312" w:hAnsi="仿宋" w:eastAsia="仿宋_GB2312" w:cs="仿宋"/>
          <w:bCs/>
          <w:sz w:val="32"/>
          <w:szCs w:val="32"/>
          <w:lang w:eastAsia="zh-CN"/>
        </w:rPr>
        <w:t>相山区财政局2022</w:t>
      </w:r>
      <w:r>
        <w:rPr>
          <w:rFonts w:hint="eastAsia" w:ascii="仿宋_GB2312" w:hAnsi="仿宋" w:eastAsia="仿宋_GB2312" w:cs="仿宋"/>
          <w:bCs/>
          <w:sz w:val="32"/>
          <w:szCs w:val="32"/>
        </w:rPr>
        <w:t>年政府性基金预算支出表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w:t>
      </w:r>
      <w:r>
        <w:rPr>
          <w:rFonts w:hint="eastAsia" w:ascii="仿宋_GB2312" w:hAnsi="仿宋" w:eastAsia="仿宋_GB2312" w:cs="仿宋"/>
          <w:bCs/>
          <w:sz w:val="32"/>
          <w:szCs w:val="32"/>
          <w:lang w:eastAsia="zh-CN"/>
        </w:rPr>
        <w:t>相山区财政局2022</w:t>
      </w:r>
      <w:r>
        <w:rPr>
          <w:rFonts w:hint="eastAsia" w:ascii="仿宋_GB2312" w:hAnsi="仿宋" w:eastAsia="仿宋_GB2312" w:cs="仿宋"/>
          <w:bCs/>
          <w:sz w:val="32"/>
          <w:szCs w:val="32"/>
        </w:rPr>
        <w:t>年国有资本经营预算支出表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w:t>
      </w:r>
      <w:r>
        <w:rPr>
          <w:rFonts w:hint="eastAsia" w:ascii="仿宋_GB2312" w:hAnsi="仿宋" w:eastAsia="仿宋_GB2312" w:cs="仿宋"/>
          <w:bCs/>
          <w:sz w:val="32"/>
          <w:szCs w:val="32"/>
          <w:lang w:eastAsia="zh-CN"/>
        </w:rPr>
        <w:t>相山区财政局2022</w:t>
      </w:r>
      <w:r>
        <w:rPr>
          <w:rFonts w:hint="eastAsia" w:ascii="仿宋_GB2312" w:hAnsi="仿宋" w:eastAsia="仿宋_GB2312" w:cs="仿宋"/>
          <w:bCs/>
          <w:sz w:val="32"/>
          <w:szCs w:val="32"/>
        </w:rPr>
        <w:t>年项目支出表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w:t>
      </w:r>
      <w:r>
        <w:rPr>
          <w:rFonts w:hint="eastAsia" w:ascii="仿宋_GB2312" w:hAnsi="仿宋" w:eastAsia="仿宋_GB2312" w:cs="仿宋"/>
          <w:bCs/>
          <w:sz w:val="32"/>
          <w:szCs w:val="32"/>
          <w:lang w:eastAsia="zh-CN"/>
        </w:rPr>
        <w:t>相山区财政局2022</w:t>
      </w:r>
      <w:r>
        <w:rPr>
          <w:rFonts w:hint="eastAsia" w:ascii="仿宋_GB2312" w:hAnsi="仿宋" w:eastAsia="仿宋_GB2312" w:cs="仿宋"/>
          <w:bCs/>
          <w:sz w:val="32"/>
          <w:szCs w:val="32"/>
        </w:rPr>
        <w:t>年政府采购支出表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w:t>
      </w:r>
      <w:r>
        <w:rPr>
          <w:rFonts w:hint="eastAsia" w:ascii="仿宋_GB2312" w:hAnsi="仿宋" w:eastAsia="仿宋_GB2312" w:cs="仿宋"/>
          <w:bCs/>
          <w:sz w:val="32"/>
          <w:szCs w:val="32"/>
          <w:lang w:eastAsia="zh-CN"/>
        </w:rPr>
        <w:t>相山区财政局2022</w:t>
      </w:r>
      <w:r>
        <w:rPr>
          <w:rFonts w:hint="eastAsia" w:ascii="仿宋_GB2312" w:hAnsi="仿宋" w:eastAsia="仿宋_GB2312" w:cs="仿宋"/>
          <w:bCs/>
          <w:sz w:val="32"/>
          <w:szCs w:val="32"/>
        </w:rPr>
        <w:t>年政府购买服务支出表</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 xml:space="preserve">第三部分 </w:t>
      </w:r>
      <w:r>
        <w:rPr>
          <w:rFonts w:hint="eastAsia" w:ascii="仿宋_GB2312" w:hAnsi="仿宋" w:eastAsia="仿宋_GB2312" w:cs="仿宋"/>
          <w:b/>
          <w:sz w:val="32"/>
          <w:szCs w:val="32"/>
          <w:lang w:eastAsia="zh-CN"/>
        </w:rPr>
        <w:t>2022</w:t>
      </w:r>
      <w:r>
        <w:rPr>
          <w:rFonts w:hint="eastAsia" w:ascii="仿宋_GB2312" w:hAnsi="仿宋" w:eastAsia="仿宋_GB2312" w:cs="仿宋"/>
          <w:b/>
          <w:sz w:val="32"/>
          <w:szCs w:val="32"/>
        </w:rPr>
        <w:t>年部门预算情况说明</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年收支总表的说明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年收入总表的说明</w:t>
      </w:r>
    </w:p>
    <w:p>
      <w:pPr>
        <w:adjustRightInd w:val="0"/>
        <w:snapToGrid w:val="0"/>
        <w:spacing w:line="60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3.关于</w:t>
      </w:r>
      <w:r>
        <w:rPr>
          <w:rFonts w:hint="eastAsia" w:ascii="仿宋_GB2312" w:hAnsi="仿宋" w:eastAsia="仿宋_GB2312" w:cs="仿宋"/>
          <w:bCs/>
          <w:kern w:val="0"/>
          <w:sz w:val="32"/>
          <w:szCs w:val="32"/>
          <w:lang w:eastAsia="zh-CN"/>
        </w:rPr>
        <w:t>2022</w:t>
      </w:r>
      <w:r>
        <w:rPr>
          <w:rFonts w:hint="eastAsia" w:ascii="仿宋_GB2312" w:hAnsi="仿宋" w:eastAsia="仿宋_GB2312" w:cs="仿宋"/>
          <w:bCs/>
          <w:kern w:val="0"/>
          <w:sz w:val="32"/>
          <w:szCs w:val="32"/>
        </w:rPr>
        <w:t>年支出总表的说明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年财政拨款收支总表的说明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5.关于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年一般公共预算支出表的说明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年一般公共预算基本支出表的说明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年政府性基金预算支出表的说明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年国有资本经营预算支出表的说明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年项目支出表的说明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年政府采购支出表的说明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年政府购买服务支出表的说明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12.其他重要事项情况说明</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rPr>
          <w:rFonts w:ascii="仿宋_GB2312" w:hAnsi="仿宋" w:eastAsia="仿宋_GB2312" w:cs="仿宋"/>
          <w:b/>
          <w:sz w:val="32"/>
          <w:szCs w:val="32"/>
        </w:rPr>
      </w:pPr>
    </w:p>
    <w:p>
      <w:pPr>
        <w:pStyle w:val="5"/>
        <w:adjustRightInd w:val="0"/>
        <w:snapToGrid w:val="0"/>
        <w:spacing w:before="0" w:beforeAutospacing="0" w:after="0" w:afterAutospacing="0" w:line="360" w:lineRule="auto"/>
        <w:jc w:val="center"/>
        <w:rPr>
          <w:rFonts w:hint="eastAsia" w:ascii="黑体" w:hAnsi="黑体" w:eastAsia="黑体"/>
          <w:bCs/>
          <w:sz w:val="36"/>
          <w:szCs w:val="36"/>
        </w:rPr>
      </w:pPr>
    </w:p>
    <w:p>
      <w:pPr>
        <w:pStyle w:val="5"/>
        <w:adjustRightInd w:val="0"/>
        <w:snapToGrid w:val="0"/>
        <w:spacing w:before="0" w:beforeAutospacing="0" w:after="0" w:afterAutospacing="0" w:line="360" w:lineRule="auto"/>
        <w:jc w:val="center"/>
        <w:rPr>
          <w:rFonts w:hint="eastAsia" w:ascii="黑体" w:hAnsi="黑体" w:eastAsia="黑体"/>
          <w:bCs/>
          <w:sz w:val="36"/>
          <w:szCs w:val="36"/>
        </w:rPr>
      </w:pPr>
    </w:p>
    <w:p>
      <w:pPr>
        <w:pStyle w:val="5"/>
        <w:adjustRightInd w:val="0"/>
        <w:snapToGrid w:val="0"/>
        <w:spacing w:before="0" w:beforeAutospacing="0" w:after="0" w:afterAutospacing="0" w:line="360" w:lineRule="auto"/>
        <w:jc w:val="center"/>
        <w:rPr>
          <w:rFonts w:hint="eastAsia" w:ascii="黑体" w:hAnsi="黑体" w:eastAsia="黑体"/>
          <w:bCs/>
          <w:sz w:val="36"/>
          <w:szCs w:val="36"/>
        </w:rPr>
      </w:pPr>
    </w:p>
    <w:p>
      <w:pPr>
        <w:pStyle w:val="5"/>
        <w:adjustRightInd w:val="0"/>
        <w:snapToGrid w:val="0"/>
        <w:spacing w:before="0" w:beforeAutospacing="0" w:after="0" w:afterAutospacing="0" w:line="360" w:lineRule="auto"/>
        <w:jc w:val="center"/>
        <w:rPr>
          <w:rFonts w:hint="eastAsia" w:ascii="黑体" w:hAnsi="黑体" w:eastAsia="黑体"/>
          <w:bCs/>
          <w:sz w:val="36"/>
          <w:szCs w:val="36"/>
        </w:rPr>
      </w:pPr>
    </w:p>
    <w:p>
      <w:pPr>
        <w:pStyle w:val="5"/>
        <w:adjustRightInd w:val="0"/>
        <w:snapToGrid w:val="0"/>
        <w:spacing w:before="0" w:beforeAutospacing="0" w:after="0" w:afterAutospacing="0" w:line="360" w:lineRule="auto"/>
        <w:jc w:val="center"/>
        <w:rPr>
          <w:rFonts w:hint="eastAsia" w:ascii="黑体" w:hAnsi="黑体" w:eastAsia="黑体"/>
          <w:bCs/>
          <w:sz w:val="36"/>
          <w:szCs w:val="36"/>
        </w:rPr>
      </w:pPr>
    </w:p>
    <w:p>
      <w:pPr>
        <w:pStyle w:val="5"/>
        <w:adjustRightInd w:val="0"/>
        <w:snapToGrid w:val="0"/>
        <w:spacing w:before="0" w:beforeAutospacing="0" w:after="0" w:afterAutospacing="0" w:line="360" w:lineRule="auto"/>
        <w:jc w:val="center"/>
        <w:rPr>
          <w:rFonts w:hint="eastAsia" w:ascii="黑体" w:hAnsi="黑体" w:eastAsia="黑体"/>
          <w:bCs/>
          <w:sz w:val="36"/>
          <w:szCs w:val="36"/>
        </w:rPr>
      </w:pPr>
    </w:p>
    <w:p>
      <w:pPr>
        <w:pStyle w:val="5"/>
        <w:adjustRightInd w:val="0"/>
        <w:snapToGrid w:val="0"/>
        <w:spacing w:before="0" w:beforeAutospacing="0" w:after="0" w:afterAutospacing="0" w:line="360" w:lineRule="auto"/>
        <w:jc w:val="center"/>
        <w:rPr>
          <w:rFonts w:hint="eastAsia" w:ascii="黑体" w:hAnsi="黑体" w:eastAsia="黑体"/>
          <w:bCs/>
          <w:sz w:val="36"/>
          <w:szCs w:val="36"/>
        </w:rPr>
      </w:pPr>
    </w:p>
    <w:p>
      <w:pPr>
        <w:pStyle w:val="5"/>
        <w:adjustRightInd w:val="0"/>
        <w:snapToGrid w:val="0"/>
        <w:spacing w:before="0" w:beforeAutospacing="0" w:after="0" w:afterAutospacing="0" w:line="360" w:lineRule="auto"/>
        <w:jc w:val="center"/>
        <w:rPr>
          <w:rFonts w:hint="eastAsia" w:ascii="黑体" w:hAnsi="黑体" w:eastAsia="黑体"/>
          <w:bCs/>
          <w:sz w:val="36"/>
          <w:szCs w:val="36"/>
        </w:rPr>
      </w:pPr>
    </w:p>
    <w:p>
      <w:pPr>
        <w:pStyle w:val="5"/>
        <w:adjustRightInd w:val="0"/>
        <w:snapToGrid w:val="0"/>
        <w:spacing w:before="0" w:beforeAutospacing="0" w:after="0" w:afterAutospacing="0" w:line="360" w:lineRule="auto"/>
        <w:jc w:val="center"/>
        <w:rPr>
          <w:rFonts w:hint="eastAsia" w:ascii="黑体" w:hAnsi="黑体" w:eastAsia="黑体"/>
          <w:bCs/>
          <w:sz w:val="36"/>
          <w:szCs w:val="36"/>
        </w:rPr>
      </w:pPr>
    </w:p>
    <w:p>
      <w:pPr>
        <w:pStyle w:val="5"/>
        <w:adjustRightInd w:val="0"/>
        <w:snapToGrid w:val="0"/>
        <w:spacing w:before="0" w:beforeAutospacing="0" w:after="0" w:afterAutospacing="0" w:line="360" w:lineRule="auto"/>
        <w:jc w:val="center"/>
        <w:rPr>
          <w:rFonts w:hint="eastAsia" w:ascii="黑体" w:hAnsi="黑体" w:eastAsia="黑体"/>
          <w:bCs/>
          <w:sz w:val="36"/>
          <w:szCs w:val="36"/>
        </w:rPr>
      </w:pPr>
    </w:p>
    <w:p>
      <w:pPr>
        <w:pStyle w:val="5"/>
        <w:adjustRightInd w:val="0"/>
        <w:snapToGrid w:val="0"/>
        <w:spacing w:before="0" w:beforeAutospacing="0" w:after="0" w:afterAutospacing="0" w:line="360" w:lineRule="auto"/>
        <w:jc w:val="center"/>
        <w:rPr>
          <w:rFonts w:hint="eastAsia" w:ascii="黑体" w:hAnsi="黑体" w:eastAsia="黑体"/>
          <w:bCs/>
          <w:sz w:val="36"/>
          <w:szCs w:val="36"/>
        </w:rPr>
      </w:pPr>
    </w:p>
    <w:p>
      <w:pPr>
        <w:pStyle w:val="5"/>
        <w:adjustRightInd w:val="0"/>
        <w:snapToGrid w:val="0"/>
        <w:spacing w:before="0" w:beforeAutospacing="0" w:after="0" w:afterAutospacing="0" w:line="360" w:lineRule="auto"/>
        <w:jc w:val="center"/>
        <w:rPr>
          <w:rFonts w:hint="eastAsia" w:ascii="黑体" w:hAnsi="黑体" w:eastAsia="黑体"/>
          <w:bCs/>
          <w:sz w:val="36"/>
          <w:szCs w:val="36"/>
        </w:rPr>
      </w:pPr>
    </w:p>
    <w:p>
      <w:pPr>
        <w:pStyle w:val="5"/>
        <w:adjustRightInd w:val="0"/>
        <w:snapToGrid w:val="0"/>
        <w:spacing w:before="0" w:beforeAutospacing="0" w:after="0" w:afterAutospacing="0" w:line="360" w:lineRule="auto"/>
        <w:jc w:val="center"/>
        <w:rPr>
          <w:rFonts w:hint="eastAsia"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第一部分 部门概况</w:t>
      </w:r>
    </w:p>
    <w:p>
      <w:pPr>
        <w:pStyle w:val="5"/>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一、主要职责</w:t>
      </w:r>
    </w:p>
    <w:p>
      <w:pPr>
        <w:pStyle w:val="5"/>
        <w:adjustRightInd w:val="0"/>
        <w:snapToGrid w:val="0"/>
        <w:spacing w:before="0" w:beforeAutospacing="0" w:after="0" w:afterAutospacing="0" w:line="360" w:lineRule="auto"/>
        <w:ind w:firstLine="627" w:firstLineChars="196"/>
        <w:rPr>
          <w:rFonts w:hint="eastAsia" w:ascii="仿宋_GB2312" w:hAnsi="仿宋" w:eastAsia="仿宋_GB2312"/>
          <w:sz w:val="32"/>
          <w:szCs w:val="32"/>
        </w:rPr>
      </w:pPr>
      <w:r>
        <w:rPr>
          <w:rFonts w:hint="eastAsia" w:ascii="仿宋_GB2312" w:hAnsi="仿宋" w:eastAsia="仿宋_GB2312"/>
          <w:sz w:val="32"/>
          <w:szCs w:val="32"/>
        </w:rPr>
        <w:t>（一）贯彻执行国家财税方针政策和财政财务会计法律、法规、规章、制度，依法理财、依法行政；拟订我区财政发展规划、政策和改革方案并组织实施，分析预测经济形势，参与拟订我区经济发展政策，推进我区经济和社会稳定发展；拟订区政府与镇办、与企业的分配政策。</w:t>
      </w:r>
    </w:p>
    <w:p>
      <w:pPr>
        <w:pStyle w:val="5"/>
        <w:adjustRightInd w:val="0"/>
        <w:snapToGrid w:val="0"/>
        <w:spacing w:before="0" w:beforeAutospacing="0" w:after="0" w:afterAutospacing="0" w:line="360" w:lineRule="auto"/>
        <w:ind w:firstLine="627" w:firstLineChars="196"/>
        <w:rPr>
          <w:rFonts w:hint="default" w:ascii="仿宋_GB2312" w:hAnsi="仿宋" w:eastAsia="仿宋_GB2312"/>
          <w:sz w:val="32"/>
          <w:szCs w:val="32"/>
        </w:rPr>
      </w:pPr>
      <w:r>
        <w:rPr>
          <w:rFonts w:hint="eastAsia" w:ascii="仿宋_GB2312" w:hAnsi="仿宋" w:eastAsia="仿宋_GB2312"/>
          <w:sz w:val="32"/>
          <w:szCs w:val="32"/>
        </w:rPr>
        <w:t>（二）负责建立并完善包括一般公共预算、政府性基金预算在内的政府预算体系；推进预决算公开；深化部门预算改革，完善预算支出标准体系建设；健全预算绩效管理机制；建立政府购买服务工作机制。</w:t>
      </w:r>
    </w:p>
    <w:p>
      <w:pPr>
        <w:pStyle w:val="5"/>
        <w:adjustRightInd w:val="0"/>
        <w:snapToGrid w:val="0"/>
        <w:spacing w:before="0" w:beforeAutospacing="0" w:after="0" w:afterAutospacing="0" w:line="360" w:lineRule="auto"/>
        <w:ind w:firstLine="627" w:firstLineChars="196"/>
        <w:rPr>
          <w:rFonts w:hint="default" w:ascii="仿宋_GB2312" w:hAnsi="仿宋" w:eastAsia="仿宋_GB2312"/>
          <w:sz w:val="32"/>
          <w:szCs w:val="32"/>
        </w:rPr>
      </w:pPr>
      <w:r>
        <w:rPr>
          <w:rFonts w:hint="eastAsia" w:ascii="仿宋_GB2312" w:hAnsi="仿宋" w:eastAsia="仿宋_GB2312"/>
          <w:sz w:val="32"/>
          <w:szCs w:val="32"/>
        </w:rPr>
        <w:t>（三）负责全区财政收支管理工作，承担区本级财政收支管理责任，编制年度财政预决算草案并组织执行；受区政府委托，向区人民代表大会报告预算及其执行情况，向区人大常委会报告决算情况；组织编制和审核批复部门预决算；完善区对镇办和凤凰山经济开发区财政体制；指导镇办和凤凰山经济开发区财政工作。</w:t>
      </w:r>
    </w:p>
    <w:p>
      <w:pPr>
        <w:pStyle w:val="5"/>
        <w:adjustRightInd w:val="0"/>
        <w:snapToGrid w:val="0"/>
        <w:spacing w:before="0" w:beforeAutospacing="0" w:after="0" w:afterAutospacing="0" w:line="360" w:lineRule="auto"/>
        <w:ind w:firstLine="627" w:firstLineChars="196"/>
        <w:rPr>
          <w:rFonts w:hint="default" w:ascii="仿宋_GB2312" w:hAnsi="仿宋" w:eastAsia="仿宋_GB2312"/>
          <w:sz w:val="32"/>
          <w:szCs w:val="32"/>
        </w:rPr>
      </w:pPr>
      <w:r>
        <w:rPr>
          <w:rFonts w:hint="eastAsia" w:ascii="仿宋_GB2312" w:hAnsi="仿宋" w:eastAsia="仿宋_GB2312"/>
          <w:sz w:val="32"/>
          <w:szCs w:val="32"/>
        </w:rPr>
        <w:t>（四）负责拟订我区财政国库管理相关制度并组织实施，负责财政资金拨付和使用的监管，管理财政资金账户，负责总预算会计核算、国库现金管理和地方政府债券的还本付息；建立健全权责发生制政府综合财务报告制度及相关评价体系；指导行政、企事业单位财务会计工作。</w:t>
      </w:r>
    </w:p>
    <w:p>
      <w:pPr>
        <w:pStyle w:val="5"/>
        <w:adjustRightInd w:val="0"/>
        <w:snapToGrid w:val="0"/>
        <w:spacing w:before="0" w:beforeAutospacing="0" w:after="0" w:afterAutospacing="0" w:line="360" w:lineRule="auto"/>
        <w:ind w:firstLine="627" w:firstLineChars="196"/>
        <w:rPr>
          <w:rFonts w:hint="default" w:ascii="仿宋_GB2312" w:hAnsi="仿宋" w:eastAsia="仿宋_GB2312"/>
          <w:sz w:val="32"/>
          <w:szCs w:val="32"/>
        </w:rPr>
      </w:pPr>
      <w:r>
        <w:rPr>
          <w:rFonts w:hint="eastAsia" w:ascii="仿宋_GB2312" w:hAnsi="仿宋" w:eastAsia="仿宋_GB2312"/>
          <w:sz w:val="32"/>
          <w:szCs w:val="32"/>
        </w:rPr>
        <w:t>（五）负责参与拟订产业、基建投资、经济贸易、科技、教育、文化、住房、土地、医疗卫生、社会保障等政策和改革方案；会同有关部门管理社会保障、住房保障和土地出让支出。</w:t>
      </w:r>
    </w:p>
    <w:p>
      <w:pPr>
        <w:pStyle w:val="5"/>
        <w:adjustRightInd w:val="0"/>
        <w:snapToGrid w:val="0"/>
        <w:spacing w:before="0" w:beforeAutospacing="0" w:after="0" w:afterAutospacing="0" w:line="360" w:lineRule="auto"/>
        <w:ind w:firstLine="627" w:firstLineChars="196"/>
        <w:rPr>
          <w:rFonts w:hint="default" w:ascii="仿宋_GB2312" w:hAnsi="仿宋" w:eastAsia="仿宋_GB2312"/>
          <w:sz w:val="32"/>
          <w:szCs w:val="32"/>
        </w:rPr>
      </w:pPr>
      <w:r>
        <w:rPr>
          <w:rFonts w:hint="eastAsia" w:ascii="仿宋_GB2312" w:hAnsi="仿宋" w:eastAsia="仿宋_GB2312"/>
          <w:sz w:val="32"/>
          <w:szCs w:val="32"/>
        </w:rPr>
        <w:t>（六）负责参与政府性投资项目的评审，建立基本建设财务管理相关制度；负责有关政策性补贴和其它各项财政补贴资金的管理；监管地方金融；负责财政对农业投入的管理；负责农业综合开发管理；承担农村综合改革领导小组办公室日常工作。</w:t>
      </w:r>
    </w:p>
    <w:p>
      <w:pPr>
        <w:pStyle w:val="5"/>
        <w:adjustRightInd w:val="0"/>
        <w:snapToGrid w:val="0"/>
        <w:spacing w:before="0" w:beforeAutospacing="0" w:after="0" w:afterAutospacing="0" w:line="360" w:lineRule="auto"/>
        <w:ind w:firstLine="627" w:firstLineChars="196"/>
        <w:rPr>
          <w:rFonts w:hint="default" w:ascii="仿宋_GB2312" w:hAnsi="仿宋" w:eastAsia="仿宋_GB2312"/>
          <w:sz w:val="32"/>
          <w:szCs w:val="32"/>
        </w:rPr>
      </w:pPr>
      <w:r>
        <w:rPr>
          <w:rFonts w:hint="eastAsia" w:ascii="仿宋_GB2312" w:hAnsi="仿宋" w:eastAsia="仿宋_GB2312"/>
          <w:sz w:val="32"/>
          <w:szCs w:val="32"/>
        </w:rPr>
        <w:t>（七）负责拟订我区国有资产管理办法，加强行政事业单位和区政府授权监管的区属国有企业的国有资产监督管理并参与相关改革。</w:t>
      </w:r>
    </w:p>
    <w:p>
      <w:pPr>
        <w:pStyle w:val="5"/>
        <w:adjustRightInd w:val="0"/>
        <w:snapToGrid w:val="0"/>
        <w:spacing w:before="0" w:beforeAutospacing="0" w:after="0" w:afterAutospacing="0" w:line="360" w:lineRule="auto"/>
        <w:ind w:firstLine="627" w:firstLineChars="196"/>
        <w:rPr>
          <w:rFonts w:hint="default" w:ascii="仿宋_GB2312" w:hAnsi="仿宋" w:eastAsia="仿宋_GB2312"/>
          <w:sz w:val="32"/>
          <w:szCs w:val="32"/>
        </w:rPr>
      </w:pPr>
      <w:r>
        <w:rPr>
          <w:rFonts w:hint="eastAsia" w:ascii="仿宋_GB2312" w:hAnsi="仿宋" w:eastAsia="仿宋_GB2312"/>
          <w:sz w:val="32"/>
          <w:szCs w:val="32"/>
        </w:rPr>
        <w:t>（八）负责按照区政府授权，监督管理区属国有企业，制定、修改或参与制定、修改区属企业章程；监督和评价区属企业财务。</w:t>
      </w:r>
    </w:p>
    <w:p>
      <w:pPr>
        <w:pStyle w:val="5"/>
        <w:adjustRightInd w:val="0"/>
        <w:snapToGrid w:val="0"/>
        <w:spacing w:before="0" w:beforeAutospacing="0" w:after="0" w:afterAutospacing="0" w:line="360" w:lineRule="auto"/>
        <w:ind w:firstLine="627" w:firstLineChars="196"/>
        <w:rPr>
          <w:rFonts w:hint="default" w:ascii="仿宋_GB2312" w:hAnsi="仿宋" w:eastAsia="仿宋_GB2312"/>
          <w:sz w:val="32"/>
          <w:szCs w:val="32"/>
        </w:rPr>
      </w:pPr>
      <w:r>
        <w:rPr>
          <w:rFonts w:hint="eastAsia" w:ascii="仿宋_GB2312" w:hAnsi="仿宋" w:eastAsia="仿宋_GB2312"/>
          <w:sz w:val="32"/>
          <w:szCs w:val="32"/>
        </w:rPr>
        <w:t>（九）负责政府非税收入管理，编制非税收入和政府性基金预算；承担城市公用事业附加征收工作；管理财政票据。</w:t>
      </w:r>
    </w:p>
    <w:p>
      <w:pPr>
        <w:pStyle w:val="5"/>
        <w:adjustRightInd w:val="0"/>
        <w:snapToGrid w:val="0"/>
        <w:spacing w:before="0" w:beforeAutospacing="0" w:after="0" w:afterAutospacing="0" w:line="360" w:lineRule="auto"/>
        <w:ind w:firstLine="627" w:firstLineChars="196"/>
        <w:rPr>
          <w:rFonts w:hint="default" w:ascii="仿宋_GB2312" w:hAnsi="仿宋" w:eastAsia="仿宋_GB2312"/>
          <w:sz w:val="32"/>
          <w:szCs w:val="32"/>
        </w:rPr>
      </w:pPr>
      <w:r>
        <w:rPr>
          <w:rFonts w:hint="eastAsia" w:ascii="仿宋_GB2312" w:hAnsi="仿宋" w:eastAsia="仿宋_GB2312"/>
          <w:sz w:val="32"/>
          <w:szCs w:val="32"/>
        </w:rPr>
        <w:t>（十）负责牵头区民生工程工作，组织拟订民生工程实施方案、相关政策及配套措施，组织民生工程资金监督检查和工作情况考核，承担区实施民生工程领导小组办公室日常工作；负责财政部门承担的民生工程的具体工作。</w:t>
      </w:r>
    </w:p>
    <w:p>
      <w:pPr>
        <w:pStyle w:val="5"/>
        <w:adjustRightInd w:val="0"/>
        <w:snapToGrid w:val="0"/>
        <w:spacing w:before="0" w:beforeAutospacing="0" w:after="0" w:afterAutospacing="0" w:line="360" w:lineRule="auto"/>
        <w:ind w:firstLine="627" w:firstLineChars="196"/>
        <w:rPr>
          <w:rFonts w:hint="default" w:ascii="仿宋_GB2312" w:hAnsi="仿宋" w:eastAsia="仿宋_GB2312"/>
          <w:sz w:val="32"/>
          <w:szCs w:val="32"/>
        </w:rPr>
      </w:pPr>
      <w:r>
        <w:rPr>
          <w:rFonts w:hint="eastAsia" w:ascii="仿宋_GB2312" w:hAnsi="仿宋" w:eastAsia="仿宋_GB2312"/>
          <w:sz w:val="32"/>
          <w:szCs w:val="32"/>
        </w:rPr>
        <w:t>（十一）负责拟订我区政府性债务管理办法，建立健全政府债务管理、风险预警机制及举债融资机制；编制政府性债务收支预算。</w:t>
      </w:r>
    </w:p>
    <w:p>
      <w:pPr>
        <w:pStyle w:val="5"/>
        <w:adjustRightInd w:val="0"/>
        <w:snapToGrid w:val="0"/>
        <w:spacing w:before="0" w:beforeAutospacing="0" w:after="0" w:afterAutospacing="0" w:line="360" w:lineRule="auto"/>
        <w:ind w:firstLine="627" w:firstLineChars="196"/>
        <w:rPr>
          <w:rFonts w:hint="default" w:ascii="仿宋_GB2312" w:hAnsi="仿宋" w:eastAsia="仿宋_GB2312"/>
          <w:sz w:val="32"/>
          <w:szCs w:val="32"/>
        </w:rPr>
      </w:pPr>
      <w:r>
        <w:rPr>
          <w:rFonts w:hint="eastAsia" w:ascii="仿宋_GB2312" w:hAnsi="仿宋" w:eastAsia="仿宋_GB2312"/>
          <w:sz w:val="32"/>
          <w:szCs w:val="32"/>
        </w:rPr>
        <w:t>（十二）负责管理会计工作，监管会计人员继续教育工作，承担会计专业技术资格和会计从业资格管理的相关工作。</w:t>
      </w:r>
    </w:p>
    <w:p>
      <w:pPr>
        <w:pStyle w:val="5"/>
        <w:adjustRightInd w:val="0"/>
        <w:snapToGrid w:val="0"/>
        <w:spacing w:before="0" w:beforeAutospacing="0" w:after="0" w:afterAutospacing="0" w:line="360" w:lineRule="auto"/>
        <w:ind w:firstLine="627" w:firstLineChars="196"/>
        <w:rPr>
          <w:rFonts w:hint="default" w:ascii="仿宋_GB2312" w:hAnsi="仿宋" w:eastAsia="仿宋_GB2312"/>
          <w:sz w:val="32"/>
          <w:szCs w:val="32"/>
        </w:rPr>
      </w:pPr>
      <w:r>
        <w:rPr>
          <w:rFonts w:hint="eastAsia" w:ascii="仿宋_GB2312" w:hAnsi="仿宋" w:eastAsia="仿宋_GB2312"/>
          <w:sz w:val="32"/>
          <w:szCs w:val="32"/>
        </w:rPr>
        <w:t>（十三）负责监督检查财税法规、政策、制度的执行情况和预算编制、执行、决算情况；拟订财政支出绩效评价制度和实施办法，组织实施绩效评价工作；建立健全内部控制机制；依法查处财政财务会计违法违规行为。</w:t>
      </w:r>
    </w:p>
    <w:p>
      <w:pPr>
        <w:pStyle w:val="5"/>
        <w:adjustRightInd w:val="0"/>
        <w:snapToGrid w:val="0"/>
        <w:spacing w:before="0" w:beforeAutospacing="0" w:after="0" w:afterAutospacing="0" w:line="360" w:lineRule="auto"/>
        <w:ind w:firstLine="627" w:firstLineChars="196"/>
        <w:rPr>
          <w:rFonts w:hint="default" w:ascii="仿宋_GB2312" w:hAnsi="仿宋" w:eastAsia="仿宋_GB2312"/>
          <w:sz w:val="32"/>
          <w:szCs w:val="32"/>
        </w:rPr>
      </w:pPr>
      <w:r>
        <w:rPr>
          <w:rFonts w:hint="eastAsia" w:ascii="仿宋_GB2312" w:hAnsi="仿宋" w:eastAsia="仿宋_GB2312"/>
          <w:sz w:val="32"/>
          <w:szCs w:val="32"/>
        </w:rPr>
        <w:t>（十四）承办区委、区政府和上级主管部门交办的其他事项。</w:t>
      </w:r>
    </w:p>
    <w:p>
      <w:pPr>
        <w:pStyle w:val="5"/>
        <w:numPr>
          <w:ilvl w:val="0"/>
          <w:numId w:val="1"/>
        </w:numPr>
        <w:adjustRightInd w:val="0"/>
        <w:snapToGrid w:val="0"/>
        <w:spacing w:before="0" w:beforeAutospacing="0" w:after="0" w:afterAutospacing="0" w:line="360" w:lineRule="auto"/>
        <w:ind w:firstLine="627" w:firstLineChars="196"/>
        <w:jc w:val="both"/>
        <w:rPr>
          <w:rFonts w:hint="eastAsia" w:ascii="黑体" w:hAnsi="黑体" w:eastAsia="黑体"/>
          <w:bCs/>
          <w:sz w:val="32"/>
          <w:szCs w:val="32"/>
        </w:rPr>
      </w:pPr>
      <w:r>
        <w:rPr>
          <w:rFonts w:hint="eastAsia" w:ascii="黑体" w:hAnsi="黑体" w:eastAsia="黑体"/>
          <w:bCs/>
          <w:sz w:val="32"/>
          <w:szCs w:val="32"/>
        </w:rPr>
        <w:t>部门预算</w:t>
      </w:r>
      <w:r>
        <w:rPr>
          <w:rFonts w:hint="eastAsia" w:ascii="黑体" w:hAnsi="黑体" w:eastAsia="黑体"/>
          <w:bCs/>
          <w:sz w:val="32"/>
          <w:szCs w:val="32"/>
          <w:lang w:eastAsia="zh-CN"/>
        </w:rPr>
        <w:t>单位</w:t>
      </w:r>
      <w:r>
        <w:rPr>
          <w:rFonts w:hint="eastAsia" w:ascii="黑体" w:hAnsi="黑体" w:eastAsia="黑体"/>
          <w:bCs/>
          <w:sz w:val="32"/>
          <w:szCs w:val="32"/>
        </w:rPr>
        <w:t>构成</w:t>
      </w:r>
    </w:p>
    <w:p>
      <w:pPr>
        <w:pStyle w:val="5"/>
        <w:adjustRightInd w:val="0"/>
        <w:snapToGrid w:val="0"/>
        <w:spacing w:before="0" w:beforeAutospacing="0" w:after="0" w:afterAutospacing="0" w:line="360" w:lineRule="auto"/>
        <w:ind w:firstLine="627" w:firstLineChars="196"/>
        <w:jc w:val="both"/>
        <w:rPr>
          <w:rFonts w:hint="eastAsia" w:ascii="仿宋_GB2312" w:hAnsi="仿宋" w:eastAsia="仿宋_GB2312"/>
          <w:sz w:val="32"/>
          <w:szCs w:val="32"/>
        </w:rPr>
      </w:pPr>
      <w:r>
        <w:rPr>
          <w:rFonts w:hint="eastAsia" w:ascii="楷体_GB2312" w:hAnsi="仿宋" w:eastAsia="楷体_GB2312" w:cs="Times New Roman"/>
          <w:color w:val="FF0000"/>
          <w:kern w:val="2"/>
          <w:sz w:val="32"/>
          <w:szCs w:val="32"/>
          <w:lang w:val="en-US" w:eastAsia="zh-CN"/>
        </w:rPr>
        <w:t xml:space="preserve">  </w:t>
      </w:r>
      <w:r>
        <w:rPr>
          <w:rFonts w:hint="eastAsia" w:ascii="仿宋_GB2312" w:hAnsi="仿宋" w:eastAsia="仿宋_GB2312"/>
          <w:sz w:val="32"/>
          <w:szCs w:val="32"/>
        </w:rPr>
        <w:t>从预算单位构成看，</w:t>
      </w:r>
      <w:r>
        <w:rPr>
          <w:rFonts w:hint="eastAsia" w:ascii="仿宋_GB2312" w:hAnsi="仿宋" w:eastAsia="仿宋_GB2312" w:cs="仿宋"/>
          <w:bCs/>
          <w:sz w:val="32"/>
          <w:szCs w:val="32"/>
          <w:lang w:eastAsia="zh-CN"/>
        </w:rPr>
        <w:t>相山区财政局</w:t>
      </w:r>
      <w:r>
        <w:rPr>
          <w:rFonts w:hint="eastAsia" w:ascii="仿宋_GB2312" w:hAnsi="仿宋" w:eastAsia="仿宋_GB2312"/>
          <w:sz w:val="32"/>
          <w:szCs w:val="32"/>
          <w:lang w:eastAsia="zh-CN"/>
        </w:rPr>
        <w:t>2021</w:t>
      </w:r>
      <w:r>
        <w:rPr>
          <w:rFonts w:hint="eastAsia" w:ascii="仿宋_GB2312" w:hAnsi="仿宋" w:eastAsia="仿宋_GB2312"/>
          <w:sz w:val="32"/>
          <w:szCs w:val="32"/>
        </w:rPr>
        <w:t>年度部门预算包括局本级预算和局下属单位预算，纳入部门预算编制范围的单位共</w:t>
      </w:r>
      <w:r>
        <w:rPr>
          <w:rFonts w:hint="eastAsia" w:ascii="仿宋_GB2312" w:hAnsi="仿宋" w:eastAsia="仿宋_GB2312"/>
          <w:sz w:val="32"/>
          <w:szCs w:val="32"/>
          <w:lang w:val="en-US" w:eastAsia="zh-CN"/>
        </w:rPr>
        <w:t>4</w:t>
      </w:r>
      <w:r>
        <w:rPr>
          <w:rFonts w:hint="eastAsia" w:ascii="仿宋_GB2312" w:hAnsi="仿宋" w:eastAsia="仿宋_GB2312"/>
          <w:sz w:val="32"/>
          <w:szCs w:val="32"/>
        </w:rPr>
        <w:t>个，具体情况见下表。</w:t>
      </w:r>
    </w:p>
    <w:tbl>
      <w:tblPr>
        <w:tblStyle w:val="7"/>
        <w:tblW w:w="8100" w:type="dxa"/>
        <w:tblInd w:w="288" w:type="dxa"/>
        <w:tblLayout w:type="autofit"/>
        <w:tblCellMar>
          <w:top w:w="0" w:type="dxa"/>
          <w:left w:w="0" w:type="dxa"/>
          <w:bottom w:w="0" w:type="dxa"/>
          <w:right w:w="0" w:type="dxa"/>
        </w:tblCellMar>
      </w:tblPr>
      <w:tblGrid>
        <w:gridCol w:w="900"/>
        <w:gridCol w:w="3600"/>
        <w:gridCol w:w="3600"/>
      </w:tblGrid>
      <w:tr>
        <w:tblPrEx>
          <w:tblCellMar>
            <w:top w:w="0" w:type="dxa"/>
            <w:left w:w="0" w:type="dxa"/>
            <w:bottom w:w="0" w:type="dxa"/>
            <w:right w:w="0" w:type="dxa"/>
          </w:tblCellMar>
        </w:tblPrEx>
        <w:trPr>
          <w:trHeight w:val="397" w:hRule="atLeast"/>
        </w:trPr>
        <w:tc>
          <w:tcPr>
            <w:tcW w:w="90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snapToGrid w:val="0"/>
              <w:spacing w:before="0" w:beforeAutospacing="0" w:after="0" w:afterAutospacing="0" w:line="360" w:lineRule="auto"/>
              <w:ind w:left="0" w:right="0"/>
              <w:jc w:val="center"/>
              <w:rPr>
                <w:rFonts w:hint="default" w:ascii="Calibri" w:hAnsi="Calibri" w:cs="Calibri"/>
                <w:sz w:val="21"/>
                <w:szCs w:val="21"/>
              </w:rPr>
            </w:pPr>
            <w:r>
              <w:rPr>
                <w:rFonts w:hint="eastAsia" w:ascii="仿宋" w:hAnsi="仿宋" w:eastAsia="仿宋" w:cs="仿宋"/>
                <w:color w:val="333333"/>
                <w:sz w:val="24"/>
                <w:szCs w:val="24"/>
              </w:rPr>
              <w:t>序号</w:t>
            </w:r>
          </w:p>
        </w:tc>
        <w:tc>
          <w:tcPr>
            <w:tcW w:w="3600"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snapToGrid w:val="0"/>
              <w:spacing w:before="0" w:beforeAutospacing="0" w:after="0" w:afterAutospacing="0" w:line="360" w:lineRule="auto"/>
              <w:ind w:left="0" w:right="0"/>
              <w:jc w:val="center"/>
              <w:rPr>
                <w:rFonts w:hint="default" w:ascii="Calibri" w:hAnsi="Calibri" w:cs="Calibri"/>
                <w:sz w:val="21"/>
                <w:szCs w:val="21"/>
              </w:rPr>
            </w:pPr>
            <w:r>
              <w:rPr>
                <w:rFonts w:hint="eastAsia" w:ascii="仿宋" w:hAnsi="仿宋" w:eastAsia="仿宋" w:cs="仿宋"/>
                <w:color w:val="333333"/>
                <w:sz w:val="24"/>
                <w:szCs w:val="24"/>
              </w:rPr>
              <w:t>单位名称</w:t>
            </w:r>
          </w:p>
        </w:tc>
        <w:tc>
          <w:tcPr>
            <w:tcW w:w="3600" w:type="dxa"/>
            <w:tcBorders>
              <w:top w:val="single" w:color="auto" w:sz="8" w:space="0"/>
              <w:left w:val="nil"/>
              <w:bottom w:val="single" w:color="auto" w:sz="8" w:space="0"/>
              <w:right w:val="single" w:color="auto" w:sz="8" w:space="0"/>
            </w:tcBorders>
            <w:shd w:val="clear" w:color="auto" w:fill="FFFFFF"/>
            <w:noWrap w:val="0"/>
            <w:vAlign w:val="top"/>
          </w:tcPr>
          <w:p>
            <w:pPr>
              <w:pStyle w:val="5"/>
              <w:keepNext w:val="0"/>
              <w:keepLines w:val="0"/>
              <w:widowControl/>
              <w:suppressLineNumbers w:val="0"/>
              <w:snapToGrid w:val="0"/>
              <w:spacing w:before="0" w:beforeAutospacing="0" w:after="0" w:afterAutospacing="0" w:line="360" w:lineRule="auto"/>
              <w:ind w:left="0" w:right="0"/>
              <w:jc w:val="center"/>
              <w:rPr>
                <w:rFonts w:hint="default" w:ascii="Calibri" w:hAnsi="Calibri" w:cs="Calibri"/>
                <w:sz w:val="21"/>
                <w:szCs w:val="21"/>
              </w:rPr>
            </w:pPr>
            <w:r>
              <w:rPr>
                <w:rFonts w:hint="eastAsia" w:ascii="仿宋" w:hAnsi="仿宋" w:eastAsia="仿宋" w:cs="仿宋"/>
                <w:color w:val="333333"/>
                <w:sz w:val="24"/>
                <w:szCs w:val="24"/>
              </w:rPr>
              <w:t>单位性质</w:t>
            </w:r>
          </w:p>
        </w:tc>
      </w:tr>
      <w:tr>
        <w:tblPrEx>
          <w:tblCellMar>
            <w:top w:w="0" w:type="dxa"/>
            <w:left w:w="0" w:type="dxa"/>
            <w:bottom w:w="0" w:type="dxa"/>
            <w:right w:w="0" w:type="dxa"/>
          </w:tblCellMar>
        </w:tblPrEx>
        <w:trPr>
          <w:trHeight w:val="397" w:hRule="atLeast"/>
        </w:trPr>
        <w:tc>
          <w:tcPr>
            <w:tcW w:w="90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snapToGrid w:val="0"/>
              <w:spacing w:before="0" w:beforeAutospacing="0" w:after="0" w:afterAutospacing="0" w:line="360" w:lineRule="auto"/>
              <w:ind w:left="0" w:right="0"/>
              <w:jc w:val="center"/>
              <w:rPr>
                <w:rFonts w:hint="default" w:ascii="Calibri" w:hAnsi="Calibri" w:cs="Calibri"/>
                <w:sz w:val="21"/>
                <w:szCs w:val="21"/>
              </w:rPr>
            </w:pPr>
            <w:r>
              <w:rPr>
                <w:rFonts w:hint="eastAsia" w:ascii="仿宋" w:hAnsi="仿宋" w:eastAsia="仿宋" w:cs="仿宋"/>
                <w:color w:val="333333"/>
                <w:sz w:val="24"/>
                <w:szCs w:val="24"/>
              </w:rPr>
              <w:t>1</w:t>
            </w:r>
          </w:p>
        </w:tc>
        <w:tc>
          <w:tcPr>
            <w:tcW w:w="360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snapToGrid w:val="0"/>
              <w:spacing w:before="0" w:beforeAutospacing="0" w:after="0" w:afterAutospacing="0" w:line="360" w:lineRule="auto"/>
              <w:ind w:left="0" w:right="0"/>
              <w:jc w:val="left"/>
              <w:rPr>
                <w:rFonts w:hint="default" w:ascii="Calibri" w:hAnsi="Calibri" w:cs="Calibri"/>
                <w:sz w:val="21"/>
                <w:szCs w:val="21"/>
              </w:rPr>
            </w:pPr>
            <w:r>
              <w:rPr>
                <w:rFonts w:hint="eastAsia" w:ascii="仿宋" w:hAnsi="仿宋" w:eastAsia="仿宋" w:cs="仿宋"/>
                <w:color w:val="333333"/>
                <w:sz w:val="24"/>
                <w:szCs w:val="24"/>
              </w:rPr>
              <w:t>淮北市相山区财政局本级</w:t>
            </w:r>
          </w:p>
        </w:tc>
        <w:tc>
          <w:tcPr>
            <w:tcW w:w="3600" w:type="dxa"/>
            <w:tcBorders>
              <w:top w:val="nil"/>
              <w:left w:val="nil"/>
              <w:bottom w:val="single" w:color="auto" w:sz="8" w:space="0"/>
              <w:right w:val="single" w:color="auto" w:sz="8" w:space="0"/>
            </w:tcBorders>
            <w:shd w:val="clear" w:color="auto" w:fill="FFFFFF"/>
            <w:noWrap w:val="0"/>
            <w:vAlign w:val="top"/>
          </w:tcPr>
          <w:p>
            <w:pPr>
              <w:pStyle w:val="5"/>
              <w:keepNext w:val="0"/>
              <w:keepLines w:val="0"/>
              <w:widowControl/>
              <w:suppressLineNumbers w:val="0"/>
              <w:snapToGrid w:val="0"/>
              <w:spacing w:before="0" w:beforeAutospacing="0" w:after="0" w:afterAutospacing="0" w:line="360" w:lineRule="auto"/>
              <w:ind w:left="0" w:right="0"/>
              <w:jc w:val="left"/>
              <w:rPr>
                <w:rFonts w:hint="default" w:ascii="Calibri" w:hAnsi="Calibri" w:cs="Calibri"/>
                <w:sz w:val="21"/>
                <w:szCs w:val="21"/>
              </w:rPr>
            </w:pPr>
            <w:r>
              <w:rPr>
                <w:rFonts w:hint="eastAsia" w:ascii="仿宋" w:hAnsi="仿宋" w:eastAsia="仿宋" w:cs="仿宋"/>
                <w:color w:val="333333"/>
                <w:sz w:val="24"/>
                <w:szCs w:val="24"/>
              </w:rPr>
              <w:t>行政单位</w:t>
            </w:r>
          </w:p>
        </w:tc>
      </w:tr>
      <w:tr>
        <w:tblPrEx>
          <w:tblCellMar>
            <w:top w:w="0" w:type="dxa"/>
            <w:left w:w="0" w:type="dxa"/>
            <w:bottom w:w="0" w:type="dxa"/>
            <w:right w:w="0" w:type="dxa"/>
          </w:tblCellMar>
        </w:tblPrEx>
        <w:trPr>
          <w:trHeight w:val="397" w:hRule="atLeast"/>
        </w:trPr>
        <w:tc>
          <w:tcPr>
            <w:tcW w:w="90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snapToGrid w:val="0"/>
              <w:spacing w:before="0" w:beforeAutospacing="0" w:after="0" w:afterAutospacing="0" w:line="360" w:lineRule="auto"/>
              <w:ind w:left="0" w:right="0"/>
              <w:jc w:val="center"/>
              <w:rPr>
                <w:rFonts w:hint="default" w:ascii="Calibri" w:hAnsi="Calibri" w:cs="Calibri"/>
                <w:sz w:val="21"/>
                <w:szCs w:val="21"/>
              </w:rPr>
            </w:pPr>
            <w:r>
              <w:rPr>
                <w:rFonts w:hint="eastAsia" w:ascii="仿宋" w:hAnsi="仿宋" w:eastAsia="仿宋" w:cs="仿宋"/>
                <w:color w:val="333333"/>
                <w:sz w:val="24"/>
                <w:szCs w:val="24"/>
              </w:rPr>
              <w:t>2</w:t>
            </w:r>
          </w:p>
        </w:tc>
        <w:tc>
          <w:tcPr>
            <w:tcW w:w="360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snapToGrid w:val="0"/>
              <w:spacing w:before="0" w:beforeAutospacing="0" w:after="0" w:afterAutospacing="0" w:line="360" w:lineRule="auto"/>
              <w:ind w:left="0" w:right="0"/>
              <w:jc w:val="left"/>
              <w:rPr>
                <w:rFonts w:hint="default" w:ascii="Calibri" w:hAnsi="Calibri" w:cs="Calibri"/>
                <w:sz w:val="21"/>
                <w:szCs w:val="21"/>
              </w:rPr>
            </w:pPr>
            <w:r>
              <w:rPr>
                <w:rFonts w:hint="eastAsia" w:ascii="仿宋" w:hAnsi="仿宋" w:eastAsia="仿宋" w:cs="仿宋"/>
                <w:color w:val="333333"/>
                <w:sz w:val="24"/>
                <w:szCs w:val="24"/>
              </w:rPr>
              <w:t>淮北市相山区国库支付中心</w:t>
            </w:r>
          </w:p>
        </w:tc>
        <w:tc>
          <w:tcPr>
            <w:tcW w:w="3600" w:type="dxa"/>
            <w:tcBorders>
              <w:top w:val="nil"/>
              <w:left w:val="nil"/>
              <w:bottom w:val="single" w:color="auto" w:sz="8" w:space="0"/>
              <w:right w:val="single" w:color="auto" w:sz="8" w:space="0"/>
            </w:tcBorders>
            <w:shd w:val="clear" w:color="auto" w:fill="FFFFFF"/>
            <w:noWrap w:val="0"/>
            <w:vAlign w:val="top"/>
          </w:tcPr>
          <w:p>
            <w:pPr>
              <w:pStyle w:val="5"/>
              <w:keepNext w:val="0"/>
              <w:keepLines w:val="0"/>
              <w:widowControl/>
              <w:suppressLineNumbers w:val="0"/>
              <w:snapToGrid w:val="0"/>
              <w:spacing w:before="0" w:beforeAutospacing="0" w:after="0" w:afterAutospacing="0" w:line="360" w:lineRule="auto"/>
              <w:ind w:left="0" w:right="0"/>
              <w:jc w:val="left"/>
              <w:rPr>
                <w:rFonts w:hint="default" w:ascii="Calibri" w:hAnsi="Calibri" w:cs="Calibri"/>
                <w:sz w:val="21"/>
                <w:szCs w:val="21"/>
              </w:rPr>
            </w:pPr>
            <w:r>
              <w:rPr>
                <w:rFonts w:hint="eastAsia" w:ascii="仿宋" w:hAnsi="仿宋" w:eastAsia="仿宋" w:cs="仿宋"/>
                <w:color w:val="333333"/>
                <w:sz w:val="24"/>
                <w:szCs w:val="24"/>
              </w:rPr>
              <w:t>公益一类事业单位</w:t>
            </w:r>
          </w:p>
        </w:tc>
      </w:tr>
      <w:tr>
        <w:tblPrEx>
          <w:tblCellMar>
            <w:top w:w="0" w:type="dxa"/>
            <w:left w:w="0" w:type="dxa"/>
            <w:bottom w:w="0" w:type="dxa"/>
            <w:right w:w="0" w:type="dxa"/>
          </w:tblCellMar>
        </w:tblPrEx>
        <w:trPr>
          <w:trHeight w:val="397" w:hRule="atLeast"/>
        </w:trPr>
        <w:tc>
          <w:tcPr>
            <w:tcW w:w="90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snapToGrid w:val="0"/>
              <w:spacing w:before="0" w:beforeAutospacing="0" w:after="0" w:afterAutospacing="0" w:line="360" w:lineRule="auto"/>
              <w:ind w:left="0" w:right="0"/>
              <w:jc w:val="center"/>
              <w:rPr>
                <w:rFonts w:hint="default" w:ascii="Calibri" w:hAnsi="Calibri" w:cs="Calibri"/>
                <w:sz w:val="21"/>
                <w:szCs w:val="21"/>
              </w:rPr>
            </w:pPr>
            <w:r>
              <w:rPr>
                <w:rFonts w:hint="eastAsia" w:ascii="仿宋" w:hAnsi="仿宋" w:eastAsia="仿宋" w:cs="仿宋"/>
                <w:color w:val="333333"/>
                <w:sz w:val="24"/>
                <w:szCs w:val="24"/>
              </w:rPr>
              <w:t>3</w:t>
            </w:r>
          </w:p>
        </w:tc>
        <w:tc>
          <w:tcPr>
            <w:tcW w:w="360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snapToGrid w:val="0"/>
              <w:spacing w:before="0" w:beforeAutospacing="0" w:after="0" w:afterAutospacing="0" w:line="360" w:lineRule="auto"/>
              <w:ind w:left="0" w:right="0"/>
              <w:jc w:val="left"/>
              <w:rPr>
                <w:rFonts w:hint="default" w:ascii="Calibri" w:hAnsi="Calibri" w:cs="Calibri"/>
                <w:sz w:val="21"/>
                <w:szCs w:val="21"/>
              </w:rPr>
            </w:pPr>
            <w:r>
              <w:rPr>
                <w:rFonts w:hint="eastAsia" w:ascii="仿宋" w:hAnsi="仿宋" w:eastAsia="仿宋" w:cs="仿宋"/>
                <w:color w:val="333333"/>
                <w:sz w:val="24"/>
                <w:szCs w:val="24"/>
              </w:rPr>
              <w:t>淮北市相山区任圩财政所</w:t>
            </w:r>
          </w:p>
        </w:tc>
        <w:tc>
          <w:tcPr>
            <w:tcW w:w="3600" w:type="dxa"/>
            <w:tcBorders>
              <w:top w:val="nil"/>
              <w:left w:val="nil"/>
              <w:bottom w:val="single" w:color="auto" w:sz="8" w:space="0"/>
              <w:right w:val="single" w:color="auto" w:sz="8" w:space="0"/>
            </w:tcBorders>
            <w:shd w:val="clear" w:color="auto" w:fill="FFFFFF"/>
            <w:noWrap w:val="0"/>
            <w:vAlign w:val="top"/>
          </w:tcPr>
          <w:p>
            <w:pPr>
              <w:pStyle w:val="5"/>
              <w:keepNext w:val="0"/>
              <w:keepLines w:val="0"/>
              <w:widowControl/>
              <w:suppressLineNumbers w:val="0"/>
              <w:snapToGrid w:val="0"/>
              <w:spacing w:before="0" w:beforeAutospacing="0" w:after="0" w:afterAutospacing="0" w:line="360" w:lineRule="auto"/>
              <w:ind w:left="0" w:right="0"/>
              <w:jc w:val="left"/>
              <w:rPr>
                <w:rFonts w:hint="default" w:ascii="Calibri" w:hAnsi="Calibri" w:cs="Calibri"/>
                <w:sz w:val="21"/>
                <w:szCs w:val="21"/>
              </w:rPr>
            </w:pPr>
            <w:r>
              <w:rPr>
                <w:rFonts w:hint="eastAsia" w:ascii="仿宋" w:hAnsi="仿宋" w:eastAsia="仿宋" w:cs="仿宋"/>
                <w:color w:val="333333"/>
                <w:sz w:val="24"/>
                <w:szCs w:val="24"/>
              </w:rPr>
              <w:t>公益一类事业单位</w:t>
            </w:r>
          </w:p>
        </w:tc>
      </w:tr>
      <w:tr>
        <w:tblPrEx>
          <w:tblCellMar>
            <w:top w:w="0" w:type="dxa"/>
            <w:left w:w="0" w:type="dxa"/>
            <w:bottom w:w="0" w:type="dxa"/>
            <w:right w:w="0" w:type="dxa"/>
          </w:tblCellMar>
        </w:tblPrEx>
        <w:trPr>
          <w:trHeight w:val="397" w:hRule="atLeast"/>
        </w:trPr>
        <w:tc>
          <w:tcPr>
            <w:tcW w:w="90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snapToGrid w:val="0"/>
              <w:spacing w:before="0" w:beforeAutospacing="0" w:after="0" w:afterAutospacing="0" w:line="360" w:lineRule="auto"/>
              <w:ind w:left="0" w:right="0"/>
              <w:jc w:val="center"/>
              <w:rPr>
                <w:rFonts w:hint="default" w:ascii="Calibri" w:hAnsi="Calibri" w:cs="Calibri"/>
                <w:sz w:val="21"/>
                <w:szCs w:val="21"/>
              </w:rPr>
            </w:pPr>
            <w:r>
              <w:rPr>
                <w:rFonts w:hint="eastAsia" w:ascii="仿宋" w:hAnsi="仿宋" w:eastAsia="仿宋" w:cs="仿宋"/>
                <w:color w:val="333333"/>
                <w:sz w:val="24"/>
                <w:szCs w:val="24"/>
              </w:rPr>
              <w:t>4</w:t>
            </w:r>
          </w:p>
        </w:tc>
        <w:tc>
          <w:tcPr>
            <w:tcW w:w="360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5"/>
              <w:keepNext w:val="0"/>
              <w:keepLines w:val="0"/>
              <w:widowControl/>
              <w:suppressLineNumbers w:val="0"/>
              <w:snapToGrid w:val="0"/>
              <w:spacing w:before="0" w:beforeAutospacing="0" w:after="0" w:afterAutospacing="0" w:line="360" w:lineRule="auto"/>
              <w:ind w:left="0" w:right="0"/>
              <w:jc w:val="left"/>
              <w:rPr>
                <w:rFonts w:hint="default" w:ascii="Calibri" w:hAnsi="Calibri" w:cs="Calibri"/>
                <w:sz w:val="21"/>
                <w:szCs w:val="21"/>
              </w:rPr>
            </w:pPr>
            <w:r>
              <w:rPr>
                <w:rFonts w:hint="eastAsia" w:ascii="仿宋" w:hAnsi="仿宋" w:eastAsia="仿宋" w:cs="仿宋"/>
                <w:color w:val="333333"/>
                <w:sz w:val="24"/>
                <w:szCs w:val="24"/>
              </w:rPr>
              <w:t>淮北市相山区渠沟镇财政所</w:t>
            </w:r>
          </w:p>
        </w:tc>
        <w:tc>
          <w:tcPr>
            <w:tcW w:w="3600" w:type="dxa"/>
            <w:tcBorders>
              <w:top w:val="nil"/>
              <w:left w:val="nil"/>
              <w:bottom w:val="single" w:color="auto" w:sz="8" w:space="0"/>
              <w:right w:val="single" w:color="auto" w:sz="8" w:space="0"/>
            </w:tcBorders>
            <w:shd w:val="clear" w:color="auto" w:fill="FFFFFF"/>
            <w:noWrap w:val="0"/>
            <w:vAlign w:val="top"/>
          </w:tcPr>
          <w:p>
            <w:pPr>
              <w:pStyle w:val="5"/>
              <w:keepNext w:val="0"/>
              <w:keepLines w:val="0"/>
              <w:widowControl/>
              <w:suppressLineNumbers w:val="0"/>
              <w:snapToGrid w:val="0"/>
              <w:spacing w:before="0" w:beforeAutospacing="0" w:after="0" w:afterAutospacing="0" w:line="360" w:lineRule="auto"/>
              <w:ind w:left="0" w:right="0"/>
              <w:jc w:val="left"/>
              <w:rPr>
                <w:rFonts w:hint="default" w:ascii="Calibri" w:hAnsi="Calibri" w:cs="Calibri"/>
                <w:sz w:val="21"/>
                <w:szCs w:val="21"/>
              </w:rPr>
            </w:pPr>
            <w:r>
              <w:rPr>
                <w:rFonts w:hint="eastAsia" w:ascii="仿宋" w:hAnsi="仿宋" w:eastAsia="仿宋" w:cs="仿宋"/>
                <w:color w:val="333333"/>
                <w:sz w:val="24"/>
                <w:szCs w:val="24"/>
              </w:rPr>
              <w:t>公益二类事业单位</w:t>
            </w:r>
          </w:p>
        </w:tc>
      </w:tr>
    </w:tbl>
    <w:p>
      <w:pPr>
        <w:pStyle w:val="5"/>
        <w:adjustRightInd w:val="0"/>
        <w:snapToGrid w:val="0"/>
        <w:spacing w:before="0" w:beforeAutospacing="0" w:after="0" w:afterAutospacing="0" w:line="600" w:lineRule="exact"/>
        <w:ind w:firstLine="480" w:firstLineChars="150"/>
        <w:outlineLvl w:val="0"/>
        <w:rPr>
          <w:rFonts w:hint="eastAsia" w:ascii="黑体" w:hAnsi="黑体" w:eastAsia="黑体"/>
          <w:bCs/>
          <w:sz w:val="32"/>
          <w:szCs w:val="32"/>
        </w:rPr>
      </w:pPr>
      <w:r>
        <w:rPr>
          <w:rFonts w:hint="eastAsia" w:ascii="仿宋_GB2312" w:hAnsi="仿宋" w:eastAsia="仿宋_GB2312" w:cs="仿宋"/>
          <w:bCs/>
          <w:sz w:val="32"/>
          <w:szCs w:val="32"/>
          <w:lang w:val="en-US" w:eastAsia="zh-CN"/>
        </w:rPr>
        <w:t xml:space="preserve"> </w:t>
      </w:r>
      <w:r>
        <w:rPr>
          <w:rFonts w:hint="eastAsia" w:ascii="黑体" w:hAnsi="黑体" w:eastAsia="黑体"/>
          <w:bCs/>
          <w:sz w:val="32"/>
          <w:szCs w:val="32"/>
        </w:rPr>
        <w:t>三、</w:t>
      </w:r>
      <w:r>
        <w:rPr>
          <w:rFonts w:hint="eastAsia" w:ascii="黑体" w:hAnsi="黑体" w:eastAsia="黑体"/>
          <w:bCs/>
          <w:sz w:val="32"/>
          <w:szCs w:val="32"/>
          <w:lang w:eastAsia="zh-CN"/>
        </w:rPr>
        <w:t>2022</w:t>
      </w:r>
      <w:r>
        <w:rPr>
          <w:rFonts w:hint="eastAsia" w:ascii="黑体" w:hAnsi="黑体" w:eastAsia="黑体"/>
          <w:bCs/>
          <w:sz w:val="32"/>
          <w:szCs w:val="32"/>
        </w:rPr>
        <w:t>年度主要工作任务</w:t>
      </w:r>
    </w:p>
    <w:p>
      <w:pPr>
        <w:pStyle w:val="5"/>
        <w:adjustRightInd w:val="0"/>
        <w:snapToGrid w:val="0"/>
        <w:spacing w:before="0" w:beforeAutospacing="0" w:after="0" w:afterAutospacing="0" w:line="600" w:lineRule="exact"/>
        <w:ind w:firstLine="482" w:firstLineChars="150"/>
        <w:outlineLvl w:val="0"/>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（一） 提质增效，全面提升财政保障水平。</w:t>
      </w:r>
    </w:p>
    <w:p>
      <w:pPr>
        <w:pStyle w:val="5"/>
        <w:adjustRightInd w:val="0"/>
        <w:snapToGrid w:val="0"/>
        <w:spacing w:before="0" w:beforeAutospacing="0" w:after="0" w:afterAutospacing="0" w:line="360" w:lineRule="auto"/>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继续坚持稳中求进工作总基调，加强财政资源统筹，优化支出结构，更加注重财政政策精准、可持续，坚持集中财力、齐心协力办大事。</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 w:val="0"/>
          <w:bCs/>
          <w:sz w:val="32"/>
          <w:szCs w:val="32"/>
          <w:lang w:val="en-US" w:eastAsia="zh-CN"/>
        </w:rPr>
        <w:t>统筹抓好收入组织。</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 w:val="0"/>
          <w:bCs/>
          <w:sz w:val="32"/>
          <w:szCs w:val="32"/>
          <w:lang w:val="en-US" w:eastAsia="zh-CN"/>
        </w:rPr>
        <w:t>调整优化支出结构。</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 w:val="0"/>
          <w:bCs/>
          <w:sz w:val="32"/>
          <w:szCs w:val="32"/>
          <w:lang w:val="en-US" w:eastAsia="zh-CN"/>
        </w:rPr>
        <w:t>切实做好向上争取。</w:t>
      </w:r>
      <w:r>
        <w:rPr>
          <w:rFonts w:hint="eastAsia" w:ascii="仿宋_GB2312" w:hAnsi="仿宋_GB2312" w:eastAsia="仿宋_GB2312" w:cs="仿宋_GB2312"/>
          <w:b/>
          <w:bCs w:val="0"/>
          <w:sz w:val="32"/>
          <w:szCs w:val="32"/>
          <w:lang w:val="en-US" w:eastAsia="zh-CN"/>
        </w:rPr>
        <w:t>四是</w:t>
      </w:r>
      <w:r>
        <w:rPr>
          <w:rFonts w:hint="eastAsia" w:ascii="仿宋_GB2312" w:hAnsi="仿宋_GB2312" w:eastAsia="仿宋_GB2312" w:cs="仿宋_GB2312"/>
          <w:b w:val="0"/>
          <w:bCs/>
          <w:sz w:val="32"/>
          <w:szCs w:val="32"/>
          <w:lang w:val="en-US" w:eastAsia="zh-CN"/>
        </w:rPr>
        <w:t>抓好直达资金落实。</w:t>
      </w:r>
    </w:p>
    <w:p>
      <w:pPr>
        <w:pStyle w:val="5"/>
        <w:adjustRightInd w:val="0"/>
        <w:snapToGrid w:val="0"/>
        <w:spacing w:before="0" w:beforeAutospacing="0" w:after="0" w:afterAutospacing="0" w:line="360" w:lineRule="auto"/>
        <w:ind w:firstLine="643" w:firstLineChars="200"/>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（二）强化担当，深化服务实体经济能力。</w:t>
      </w:r>
    </w:p>
    <w:p>
      <w:pPr>
        <w:pStyle w:val="5"/>
        <w:adjustRightInd w:val="0"/>
        <w:snapToGrid w:val="0"/>
        <w:spacing w:before="0" w:beforeAutospacing="0" w:after="0" w:afterAutospacing="0" w:line="360" w:lineRule="auto"/>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落实中央经济工作会议和省委经济工作会议精神，确保相关政策落地见效，提升服务实体经济能力，促进经济加快转型发展。</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 w:val="0"/>
          <w:bCs/>
          <w:sz w:val="32"/>
          <w:szCs w:val="32"/>
          <w:lang w:val="en-US" w:eastAsia="zh-CN"/>
        </w:rPr>
        <w:t>持续推进减税降费。</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 w:val="0"/>
          <w:bCs/>
          <w:sz w:val="32"/>
          <w:szCs w:val="32"/>
          <w:lang w:val="en-US" w:eastAsia="zh-CN"/>
        </w:rPr>
        <w:t>用足用好专项债券。</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 w:val="0"/>
          <w:bCs/>
          <w:sz w:val="32"/>
          <w:szCs w:val="32"/>
          <w:lang w:val="en-US" w:eastAsia="zh-CN"/>
        </w:rPr>
        <w:t>金融服务创新发展。</w:t>
      </w:r>
    </w:p>
    <w:p>
      <w:pPr>
        <w:pStyle w:val="5"/>
        <w:adjustRightInd w:val="0"/>
        <w:snapToGrid w:val="0"/>
        <w:spacing w:before="0" w:beforeAutospacing="0" w:after="0" w:afterAutospacing="0" w:line="360" w:lineRule="auto"/>
        <w:ind w:firstLine="643" w:firstLineChars="200"/>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（三）统筹发力，多措并举做好民生保障。</w:t>
      </w:r>
    </w:p>
    <w:p>
      <w:pPr>
        <w:pStyle w:val="5"/>
        <w:adjustRightInd w:val="0"/>
        <w:snapToGrid w:val="0"/>
        <w:spacing w:before="0" w:beforeAutospacing="0" w:after="0" w:afterAutospacing="0" w:line="360" w:lineRule="auto"/>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牢固树立以人民为中心的发展思想，坚持把群众利益作为第一追求、群众满意作为第一标准，持之以恒推进民生工程，解决好一批群众身边的烦心事、揪心事。</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 w:val="0"/>
          <w:bCs/>
          <w:sz w:val="32"/>
          <w:szCs w:val="32"/>
          <w:lang w:val="en-US" w:eastAsia="zh-CN"/>
        </w:rPr>
        <w:t>有序推进民生工程。</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 w:val="0"/>
          <w:bCs/>
          <w:sz w:val="32"/>
          <w:szCs w:val="32"/>
          <w:lang w:val="en-US" w:eastAsia="zh-CN"/>
        </w:rPr>
        <w:t>加大乡村振兴投入。</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 w:val="0"/>
          <w:bCs/>
          <w:sz w:val="32"/>
          <w:szCs w:val="32"/>
          <w:lang w:val="en-US" w:eastAsia="zh-CN"/>
        </w:rPr>
        <w:t>统筹社会事业发展。</w:t>
      </w:r>
    </w:p>
    <w:p>
      <w:pPr>
        <w:pStyle w:val="5"/>
        <w:adjustRightInd w:val="0"/>
        <w:snapToGrid w:val="0"/>
        <w:spacing w:before="0" w:beforeAutospacing="0" w:after="0" w:afterAutospacing="0" w:line="360" w:lineRule="auto"/>
        <w:ind w:firstLine="643" w:firstLineChars="200"/>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（四）深化改革，着力提升财政治理能力。</w:t>
      </w:r>
    </w:p>
    <w:p>
      <w:pPr>
        <w:pStyle w:val="5"/>
        <w:adjustRightInd w:val="0"/>
        <w:snapToGrid w:val="0"/>
        <w:spacing w:before="0" w:beforeAutospacing="0" w:after="0" w:afterAutospacing="0" w:line="360" w:lineRule="auto"/>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始终把改革作为财政工作的“牛鼻子”和总牵引，坚持以深化改革破解财政工作的堵点和瓶颈，争当经济体制改革中的“先行军”。</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 w:val="0"/>
          <w:bCs/>
          <w:sz w:val="32"/>
          <w:szCs w:val="32"/>
          <w:lang w:val="en-US" w:eastAsia="zh-CN"/>
        </w:rPr>
        <w:t>推进绩效管理改革。</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 w:val="0"/>
          <w:bCs/>
          <w:sz w:val="32"/>
          <w:szCs w:val="32"/>
          <w:lang w:val="en-US" w:eastAsia="zh-CN"/>
        </w:rPr>
        <w:t>加快国资国企改革。</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 w:val="0"/>
          <w:bCs/>
          <w:sz w:val="32"/>
          <w:szCs w:val="32"/>
          <w:lang w:val="en-US" w:eastAsia="zh-CN"/>
        </w:rPr>
        <w:t>推进政府采购改革。</w:t>
      </w:r>
    </w:p>
    <w:p>
      <w:pPr>
        <w:pStyle w:val="5"/>
        <w:adjustRightInd w:val="0"/>
        <w:snapToGrid w:val="0"/>
        <w:spacing w:before="0" w:beforeAutospacing="0" w:after="0" w:afterAutospacing="0" w:line="360" w:lineRule="auto"/>
        <w:ind w:firstLine="643" w:firstLineChars="200"/>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（五）严守底线，坚决防范化解重大风险。</w:t>
      </w:r>
    </w:p>
    <w:p>
      <w:pPr>
        <w:pStyle w:val="5"/>
        <w:adjustRightInd w:val="0"/>
        <w:snapToGrid w:val="0"/>
        <w:spacing w:before="0" w:beforeAutospacing="0" w:after="0" w:afterAutospacing="0" w:line="360" w:lineRule="auto"/>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加强与预算部门协调联动，政策上强化与金融、产业等政策系统集成，注重防范化解财政领域重大风险挑战。</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 w:val="0"/>
          <w:bCs/>
          <w:sz w:val="32"/>
          <w:szCs w:val="32"/>
          <w:lang w:val="en-US" w:eastAsia="zh-CN"/>
        </w:rPr>
        <w:t>完善风险防控机制。</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 w:val="0"/>
          <w:bCs/>
          <w:sz w:val="32"/>
          <w:szCs w:val="32"/>
          <w:lang w:val="en-US" w:eastAsia="zh-CN"/>
        </w:rPr>
        <w:t>严防基层“三保”风险。</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 w:val="0"/>
          <w:bCs/>
          <w:sz w:val="32"/>
          <w:szCs w:val="32"/>
          <w:lang w:val="en-US" w:eastAsia="zh-CN"/>
        </w:rPr>
        <w:t>有效防范金融风险。</w:t>
      </w:r>
    </w:p>
    <w:p>
      <w:pPr>
        <w:pStyle w:val="5"/>
        <w:adjustRightInd w:val="0"/>
        <w:snapToGrid w:val="0"/>
        <w:spacing w:before="0" w:beforeAutospacing="0" w:after="0" w:afterAutospacing="0" w:line="360" w:lineRule="auto"/>
        <w:rPr>
          <w:rFonts w:hint="eastAsia" w:ascii="仿宋_GB2312" w:hAnsi="仿宋_GB2312" w:eastAsia="仿宋_GB2312" w:cs="仿宋_GB2312"/>
          <w:b w:val="0"/>
          <w:bCs/>
          <w:sz w:val="36"/>
          <w:szCs w:val="36"/>
        </w:rPr>
      </w:pPr>
    </w:p>
    <w:p>
      <w:pPr>
        <w:pStyle w:val="5"/>
        <w:numPr>
          <w:ilvl w:val="0"/>
          <w:numId w:val="2"/>
        </w:numPr>
        <w:adjustRightInd w:val="0"/>
        <w:snapToGrid w:val="0"/>
        <w:spacing w:before="0" w:beforeAutospacing="0" w:after="0" w:afterAutospacing="0" w:line="600" w:lineRule="exact"/>
        <w:jc w:val="center"/>
        <w:rPr>
          <w:rFonts w:hint="eastAsia" w:ascii="黑体" w:hAnsi="黑体" w:eastAsia="黑体"/>
          <w:bCs/>
          <w:sz w:val="36"/>
          <w:szCs w:val="36"/>
        </w:rPr>
      </w:pPr>
      <w:r>
        <w:rPr>
          <w:rFonts w:hint="eastAsia" w:ascii="黑体" w:hAnsi="黑体" w:eastAsia="黑体"/>
          <w:bCs/>
          <w:sz w:val="36"/>
          <w:szCs w:val="36"/>
          <w:lang w:eastAsia="zh-CN"/>
        </w:rPr>
        <w:t>2022</w:t>
      </w:r>
      <w:r>
        <w:rPr>
          <w:rFonts w:hint="eastAsia" w:ascii="黑体" w:hAnsi="黑体" w:eastAsia="黑体"/>
          <w:bCs/>
          <w:sz w:val="36"/>
          <w:szCs w:val="36"/>
        </w:rPr>
        <w:t>年部门预算表</w:t>
      </w:r>
    </w:p>
    <w:p>
      <w:pPr>
        <w:pStyle w:val="5"/>
        <w:adjustRightInd w:val="0"/>
        <w:snapToGrid w:val="0"/>
        <w:spacing w:before="0" w:beforeAutospacing="0" w:after="0" w:afterAutospacing="0" w:line="600" w:lineRule="exact"/>
        <w:jc w:val="center"/>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见“附件1-2 2022年部门预算表”</w:t>
      </w:r>
    </w:p>
    <w:p>
      <w:pPr>
        <w:pStyle w:val="5"/>
        <w:numPr>
          <w:ilvl w:val="0"/>
          <w:numId w:val="0"/>
        </w:numPr>
        <w:adjustRightInd w:val="0"/>
        <w:snapToGrid w:val="0"/>
        <w:spacing w:before="0" w:beforeAutospacing="0" w:after="0" w:afterAutospacing="0" w:line="600" w:lineRule="exact"/>
        <w:jc w:val="both"/>
        <w:rPr>
          <w:rFonts w:hint="eastAsia" w:ascii="黑体" w:hAnsi="黑体" w:eastAsia="黑体"/>
          <w:b w:val="0"/>
          <w:bCs/>
          <w:sz w:val="28"/>
          <w:szCs w:val="28"/>
          <w:lang w:eastAsia="zh-CN"/>
        </w:rPr>
      </w:pPr>
      <w:bookmarkStart w:id="0" w:name="_GoBack"/>
      <w:bookmarkEnd w:id="0"/>
    </w:p>
    <w:p>
      <w:pPr>
        <w:pStyle w:val="5"/>
        <w:numPr>
          <w:ilvl w:val="0"/>
          <w:numId w:val="0"/>
        </w:numPr>
        <w:adjustRightInd w:val="0"/>
        <w:snapToGrid w:val="0"/>
        <w:spacing w:before="0" w:beforeAutospacing="0" w:after="0" w:afterAutospacing="0" w:line="600" w:lineRule="exact"/>
        <w:jc w:val="both"/>
        <w:rPr>
          <w:rFonts w:hint="eastAsia" w:ascii="黑体" w:hAnsi="黑体" w:eastAsia="黑体"/>
          <w:b w:val="0"/>
          <w:bCs/>
          <w:sz w:val="28"/>
          <w:szCs w:val="28"/>
          <w:lang w:eastAsia="zh-CN"/>
        </w:rPr>
      </w:pPr>
    </w:p>
    <w:p>
      <w:pPr>
        <w:pStyle w:val="5"/>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 xml:space="preserve">第三部分 </w:t>
      </w:r>
      <w:r>
        <w:rPr>
          <w:rFonts w:hint="eastAsia" w:ascii="黑体" w:hAnsi="黑体" w:eastAsia="黑体"/>
          <w:bCs/>
          <w:sz w:val="36"/>
          <w:szCs w:val="36"/>
          <w:lang w:eastAsia="zh-CN"/>
        </w:rPr>
        <w:t>2022</w:t>
      </w:r>
      <w:r>
        <w:rPr>
          <w:rFonts w:hint="eastAsia" w:ascii="黑体" w:hAnsi="黑体" w:eastAsia="黑体"/>
          <w:bCs/>
          <w:sz w:val="36"/>
          <w:szCs w:val="36"/>
        </w:rPr>
        <w:t>年部门预算情况说明</w:t>
      </w:r>
    </w:p>
    <w:p>
      <w:pPr>
        <w:pStyle w:val="5"/>
        <w:adjustRightInd w:val="0"/>
        <w:snapToGrid w:val="0"/>
        <w:spacing w:before="0" w:beforeAutospacing="0" w:after="0" w:afterAutospacing="0" w:line="600" w:lineRule="exact"/>
        <w:rPr>
          <w:rFonts w:ascii="黑体" w:hAnsi="黑体" w:eastAsia="黑体"/>
          <w:bCs/>
          <w:sz w:val="32"/>
          <w:szCs w:val="32"/>
        </w:rPr>
      </w:pP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一、关于</w:t>
      </w:r>
      <w:r>
        <w:rPr>
          <w:rFonts w:hint="eastAsia" w:ascii="黑体" w:hAnsi="仿宋" w:eastAsia="黑体"/>
          <w:color w:val="000000" w:themeColor="text1"/>
          <w:sz w:val="32"/>
          <w:szCs w:val="32"/>
          <w:lang w:eastAsia="zh-CN"/>
          <w14:textFill>
            <w14:solidFill>
              <w14:schemeClr w14:val="tx1"/>
            </w14:solidFill>
          </w14:textFill>
        </w:rPr>
        <w:t>2022</w:t>
      </w:r>
      <w:r>
        <w:rPr>
          <w:rFonts w:hint="eastAsia" w:ascii="黑体" w:hAnsi="仿宋" w:eastAsia="黑体"/>
          <w:color w:val="000000" w:themeColor="text1"/>
          <w:sz w:val="32"/>
          <w:szCs w:val="32"/>
          <w14:textFill>
            <w14:solidFill>
              <w14:schemeClr w14:val="tx1"/>
            </w14:solidFill>
          </w14:textFill>
        </w:rPr>
        <w:t>年收支总表的说明</w:t>
      </w:r>
    </w:p>
    <w:p>
      <w:pPr>
        <w:pStyle w:val="5"/>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sz w:val="32"/>
          <w:szCs w:val="32"/>
          <w:lang w:eastAsia="zh-CN"/>
        </w:rPr>
        <w:t>相山区财政局</w:t>
      </w:r>
      <w:r>
        <w:rPr>
          <w:rFonts w:hint="eastAsia" w:ascii="仿宋_GB2312" w:hAnsi="仿宋" w:eastAsia="仿宋_GB2312"/>
          <w:sz w:val="32"/>
          <w:szCs w:val="32"/>
        </w:rPr>
        <w:t>所有收入和支出均纳入部门预算管理。</w:t>
      </w:r>
      <w:r>
        <w:rPr>
          <w:rFonts w:hint="eastAsia" w:ascii="仿宋_GB2312" w:hAnsi="仿宋" w:eastAsia="仿宋_GB2312"/>
          <w:sz w:val="32"/>
          <w:szCs w:val="32"/>
          <w:lang w:eastAsia="zh-CN"/>
        </w:rPr>
        <w:t>相山区财政局2022</w:t>
      </w:r>
      <w:r>
        <w:rPr>
          <w:rFonts w:hint="eastAsia" w:ascii="仿宋_GB2312" w:hAnsi="仿宋" w:eastAsia="仿宋_GB2312"/>
          <w:sz w:val="32"/>
          <w:szCs w:val="32"/>
        </w:rPr>
        <w:t>年收支总预算</w:t>
      </w:r>
      <w:r>
        <w:rPr>
          <w:rFonts w:hint="eastAsia" w:ascii="仿宋_GB2312" w:hAnsi="仿宋" w:eastAsia="仿宋_GB2312"/>
          <w:sz w:val="32"/>
          <w:szCs w:val="32"/>
          <w:lang w:val="en-US" w:eastAsia="zh-CN"/>
        </w:rPr>
        <w:t>1312.14</w:t>
      </w:r>
      <w:r>
        <w:rPr>
          <w:rFonts w:hint="eastAsia" w:ascii="仿宋_GB2312" w:hAnsi="仿宋" w:eastAsia="仿宋_GB2312"/>
          <w:sz w:val="32"/>
          <w:szCs w:val="32"/>
        </w:rPr>
        <w:t>万元，收入</w:t>
      </w:r>
      <w:r>
        <w:rPr>
          <w:rFonts w:hint="eastAsia" w:ascii="仿宋_GB2312" w:hAnsi="仿宋" w:eastAsia="仿宋_GB2312"/>
          <w:sz w:val="32"/>
          <w:szCs w:val="32"/>
          <w:lang w:eastAsia="zh-CN"/>
        </w:rPr>
        <w:t>全部是</w:t>
      </w:r>
      <w:r>
        <w:rPr>
          <w:rFonts w:hint="eastAsia" w:ascii="仿宋_GB2312" w:hAnsi="仿宋" w:eastAsia="仿宋_GB2312"/>
          <w:sz w:val="32"/>
          <w:szCs w:val="32"/>
        </w:rPr>
        <w:t>一般公共预算拨款收入</w:t>
      </w:r>
      <w:r>
        <w:rPr>
          <w:rFonts w:hint="eastAsia" w:ascii="仿宋_GB2312" w:hAnsi="仿宋" w:eastAsia="仿宋_GB2312"/>
          <w:sz w:val="32"/>
          <w:szCs w:val="32"/>
          <w:lang w:eastAsia="zh-CN"/>
        </w:rPr>
        <w:t>，</w:t>
      </w:r>
      <w:r>
        <w:rPr>
          <w:rFonts w:hint="eastAsia" w:ascii="仿宋_GB2312" w:hAnsi="仿宋" w:eastAsia="仿宋_GB2312"/>
          <w:sz w:val="32"/>
          <w:szCs w:val="32"/>
        </w:rPr>
        <w:t>支出包括：一般公共服务</w:t>
      </w:r>
      <w:r>
        <w:rPr>
          <w:rFonts w:hint="eastAsia" w:ascii="仿宋_GB2312" w:hAnsi="仿宋" w:eastAsia="仿宋_GB2312"/>
          <w:sz w:val="32"/>
          <w:szCs w:val="32"/>
          <w:lang w:eastAsia="zh-CN"/>
        </w:rPr>
        <w:t>支出</w:t>
      </w:r>
      <w:r>
        <w:rPr>
          <w:rFonts w:hint="eastAsia" w:ascii="仿宋_GB2312" w:hAnsi="仿宋" w:eastAsia="仿宋_GB2312"/>
          <w:sz w:val="32"/>
          <w:szCs w:val="32"/>
        </w:rPr>
        <w:t>、社会保障和就业支出、卫生健康支出、</w:t>
      </w:r>
      <w:r>
        <w:rPr>
          <w:rFonts w:hint="eastAsia" w:ascii="仿宋_GB2312" w:hAnsi="仿宋" w:eastAsia="仿宋_GB2312"/>
          <w:sz w:val="32"/>
          <w:szCs w:val="32"/>
          <w:lang w:eastAsia="zh-CN"/>
        </w:rPr>
        <w:t>城乡社区支出、农林水支出、</w:t>
      </w:r>
      <w:r>
        <w:rPr>
          <w:rFonts w:hint="eastAsia" w:ascii="仿宋_GB2312" w:hAnsi="仿宋" w:eastAsia="仿宋_GB2312"/>
          <w:sz w:val="32"/>
          <w:szCs w:val="32"/>
        </w:rPr>
        <w:t>住房保障支出。</w:t>
      </w:r>
    </w:p>
    <w:p>
      <w:pPr>
        <w:pStyle w:val="5"/>
        <w:adjustRightInd w:val="0"/>
        <w:snapToGrid w:val="0"/>
        <w:spacing w:before="0" w:beforeAutospacing="0" w:after="0" w:afterAutospacing="0" w:line="600" w:lineRule="exact"/>
        <w:ind w:firstLine="627" w:firstLineChars="196"/>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二、关于</w:t>
      </w:r>
      <w:r>
        <w:rPr>
          <w:rFonts w:hint="eastAsia" w:ascii="黑体" w:hAnsi="仿宋" w:eastAsia="黑体"/>
          <w:color w:val="000000" w:themeColor="text1"/>
          <w:sz w:val="32"/>
          <w:szCs w:val="32"/>
          <w:lang w:eastAsia="zh-CN"/>
          <w14:textFill>
            <w14:solidFill>
              <w14:schemeClr w14:val="tx1"/>
            </w14:solidFill>
          </w14:textFill>
        </w:rPr>
        <w:t>2022</w:t>
      </w:r>
      <w:r>
        <w:rPr>
          <w:rFonts w:hint="eastAsia" w:ascii="黑体" w:hAnsi="仿宋" w:eastAsia="黑体"/>
          <w:color w:val="000000" w:themeColor="text1"/>
          <w:sz w:val="32"/>
          <w:szCs w:val="32"/>
          <w14:textFill>
            <w14:solidFill>
              <w14:schemeClr w14:val="tx1"/>
            </w14:solidFill>
          </w14:textFill>
        </w:rPr>
        <w:t>年收入总表的说明</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lang w:eastAsia="zh-CN"/>
        </w:rPr>
        <w:t>相山区财政局</w:t>
      </w:r>
      <w:r>
        <w:rPr>
          <w:rFonts w:hint="eastAsia" w:ascii="仿宋_GB2312" w:hAnsi="仿宋" w:eastAsia="仿宋_GB2312"/>
          <w:sz w:val="32"/>
          <w:szCs w:val="32"/>
          <w:lang w:eastAsia="zh-CN"/>
        </w:rPr>
        <w:t>2022</w:t>
      </w:r>
      <w:r>
        <w:rPr>
          <w:rFonts w:hint="eastAsia" w:ascii="仿宋_GB2312" w:hAnsi="仿宋" w:eastAsia="仿宋_GB2312"/>
          <w:sz w:val="32"/>
          <w:szCs w:val="32"/>
        </w:rPr>
        <w:t>年收入预算</w:t>
      </w:r>
      <w:r>
        <w:rPr>
          <w:rFonts w:hint="eastAsia" w:ascii="仿宋_GB2312" w:hAnsi="仿宋" w:eastAsia="仿宋_GB2312"/>
          <w:sz w:val="32"/>
          <w:szCs w:val="32"/>
          <w:lang w:val="en-US" w:eastAsia="zh-CN"/>
        </w:rPr>
        <w:t>1312.14</w:t>
      </w:r>
      <w:r>
        <w:rPr>
          <w:rFonts w:hint="eastAsia" w:ascii="仿宋_GB2312" w:hAnsi="仿宋" w:eastAsia="仿宋_GB2312"/>
          <w:sz w:val="32"/>
          <w:szCs w:val="32"/>
        </w:rPr>
        <w:t>万元，其中，本年收入</w:t>
      </w:r>
      <w:r>
        <w:rPr>
          <w:rFonts w:hint="eastAsia" w:ascii="仿宋_GB2312" w:hAnsi="仿宋" w:eastAsia="仿宋_GB2312"/>
          <w:sz w:val="32"/>
          <w:szCs w:val="32"/>
          <w:lang w:val="en-US" w:eastAsia="zh-CN"/>
        </w:rPr>
        <w:t>1312.14</w:t>
      </w:r>
      <w:r>
        <w:rPr>
          <w:rFonts w:hint="eastAsia" w:ascii="仿宋_GB2312" w:hAnsi="仿宋" w:eastAsia="仿宋_GB2312"/>
          <w:sz w:val="32"/>
          <w:szCs w:val="32"/>
        </w:rPr>
        <w:t>万元，上年结转结余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numPr>
          <w:ilvl w:val="0"/>
          <w:numId w:val="3"/>
        </w:num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本年收入</w:t>
      </w:r>
      <w:r>
        <w:rPr>
          <w:rFonts w:hint="eastAsia" w:ascii="仿宋_GB2312" w:hAnsi="仿宋" w:eastAsia="仿宋_GB2312"/>
          <w:sz w:val="32"/>
          <w:szCs w:val="32"/>
          <w:lang w:val="en-US" w:eastAsia="zh-CN"/>
        </w:rPr>
        <w:t>1312.14</w:t>
      </w:r>
      <w:r>
        <w:rPr>
          <w:rFonts w:hint="eastAsia" w:ascii="仿宋_GB2312" w:hAnsi="仿宋" w:eastAsia="仿宋_GB2312"/>
          <w:sz w:val="32"/>
          <w:szCs w:val="32"/>
        </w:rPr>
        <w:t>万元，</w:t>
      </w:r>
      <w:r>
        <w:rPr>
          <w:rFonts w:hint="eastAsia" w:ascii="仿宋_GB2312" w:hAnsi="仿宋" w:eastAsia="仿宋_GB2312"/>
          <w:sz w:val="32"/>
          <w:szCs w:val="32"/>
          <w:lang w:eastAsia="zh-CN"/>
        </w:rPr>
        <w:t>全部为</w:t>
      </w:r>
      <w:r>
        <w:rPr>
          <w:rFonts w:hint="eastAsia" w:ascii="仿宋_GB2312" w:hAnsi="仿宋" w:eastAsia="仿宋_GB2312"/>
          <w:sz w:val="32"/>
          <w:szCs w:val="32"/>
        </w:rPr>
        <w:t>一般公共预算拨款收入，比202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54.73</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4.35</w:t>
      </w:r>
      <w:r>
        <w:rPr>
          <w:rFonts w:hint="eastAsia" w:ascii="仿宋_GB2312" w:hAnsi="仿宋" w:eastAsia="仿宋_GB2312"/>
          <w:sz w:val="32"/>
          <w:szCs w:val="32"/>
        </w:rPr>
        <w:t>%，增长</w:t>
      </w:r>
      <w:r>
        <w:rPr>
          <w:rFonts w:hint="eastAsia" w:ascii="仿宋_GB2312" w:hAnsi="仿宋" w:eastAsia="仿宋_GB2312"/>
          <w:color w:val="000000" w:themeColor="text1"/>
          <w:sz w:val="32"/>
          <w:szCs w:val="32"/>
          <w14:textFill>
            <w14:solidFill>
              <w14:schemeClr w14:val="tx1"/>
            </w14:solidFill>
          </w14:textFill>
        </w:rPr>
        <w:t>原因主要是</w:t>
      </w:r>
      <w:r>
        <w:rPr>
          <w:rFonts w:hint="eastAsia" w:ascii="仿宋_GB2312" w:hAnsi="仿宋" w:eastAsia="仿宋_GB2312"/>
          <w:color w:val="000000" w:themeColor="text1"/>
          <w:sz w:val="32"/>
          <w:szCs w:val="32"/>
          <w:lang w:eastAsia="zh-CN"/>
          <w14:textFill>
            <w14:solidFill>
              <w14:schemeClr w14:val="tx1"/>
            </w14:solidFill>
          </w14:textFill>
        </w:rPr>
        <w:t>项目支出增加</w:t>
      </w:r>
      <w:r>
        <w:rPr>
          <w:rFonts w:hint="eastAsia" w:ascii="仿宋_GB2312" w:hAnsi="仿宋" w:eastAsia="仿宋_GB2312"/>
          <w:sz w:val="32"/>
          <w:szCs w:val="32"/>
          <w:lang w:eastAsia="zh-CN"/>
        </w:rPr>
        <w:t>。</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三、关于</w:t>
      </w:r>
      <w:r>
        <w:rPr>
          <w:rFonts w:hint="eastAsia" w:ascii="黑体" w:hAnsi="仿宋" w:eastAsia="黑体" w:cs="宋体"/>
          <w:color w:val="000000" w:themeColor="text1"/>
          <w:kern w:val="0"/>
          <w:sz w:val="32"/>
          <w:szCs w:val="32"/>
          <w:lang w:eastAsia="zh-CN"/>
          <w14:textFill>
            <w14:solidFill>
              <w14:schemeClr w14:val="tx1"/>
            </w14:solidFill>
          </w14:textFill>
        </w:rPr>
        <w:t>2022</w:t>
      </w:r>
      <w:r>
        <w:rPr>
          <w:rFonts w:hint="eastAsia" w:ascii="黑体" w:hAnsi="仿宋" w:eastAsia="黑体" w:cs="宋体"/>
          <w:color w:val="000000" w:themeColor="text1"/>
          <w:kern w:val="0"/>
          <w:sz w:val="32"/>
          <w:szCs w:val="32"/>
          <w14:textFill>
            <w14:solidFill>
              <w14:schemeClr w14:val="tx1"/>
            </w14:solidFill>
          </w14:textFill>
        </w:rPr>
        <w:t>年支出总表的说明</w:t>
      </w:r>
    </w:p>
    <w:p>
      <w:pPr>
        <w:numPr>
          <w:ilvl w:val="0"/>
          <w:numId w:val="3"/>
        </w:num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cs="Times New Roman"/>
          <w:sz w:val="32"/>
          <w:szCs w:val="32"/>
          <w:lang w:eastAsia="zh-CN"/>
        </w:rPr>
        <w:t>相山区财政局2022</w:t>
      </w:r>
      <w:r>
        <w:rPr>
          <w:rFonts w:hint="eastAsia" w:ascii="仿宋_GB2312" w:hAnsi="仿宋" w:eastAsia="仿宋_GB2312" w:cs="Times New Roman"/>
          <w:sz w:val="32"/>
          <w:szCs w:val="32"/>
        </w:rPr>
        <w:t>年支出预算</w:t>
      </w:r>
      <w:r>
        <w:rPr>
          <w:rFonts w:hint="eastAsia" w:ascii="仿宋_GB2312" w:hAnsi="仿宋" w:eastAsia="仿宋_GB2312" w:cs="Times New Roman"/>
          <w:sz w:val="32"/>
          <w:szCs w:val="32"/>
          <w:lang w:val="en-US" w:eastAsia="zh-CN"/>
        </w:rPr>
        <w:t>1312.14</w:t>
      </w:r>
      <w:r>
        <w:rPr>
          <w:rFonts w:hint="eastAsia" w:ascii="仿宋_GB2312" w:hAnsi="仿宋" w:eastAsia="仿宋_GB2312" w:cs="Times New Roman"/>
          <w:sz w:val="32"/>
          <w:szCs w:val="32"/>
        </w:rPr>
        <w:t>万元，比</w:t>
      </w:r>
      <w:r>
        <w:rPr>
          <w:rFonts w:hint="eastAsia" w:ascii="仿宋_GB2312" w:hAnsi="仿宋" w:eastAsia="仿宋_GB2312" w:cs="Times New Roman"/>
          <w:sz w:val="32"/>
          <w:szCs w:val="32"/>
          <w:lang w:eastAsia="zh-CN"/>
        </w:rPr>
        <w:t>2021</w:t>
      </w:r>
      <w:r>
        <w:rPr>
          <w:rFonts w:hint="eastAsia" w:ascii="仿宋_GB2312" w:hAnsi="仿宋" w:eastAsia="仿宋_GB2312" w:cs="Times New Roman"/>
          <w:sz w:val="32"/>
          <w:szCs w:val="32"/>
        </w:rPr>
        <w:t>年预算增加</w:t>
      </w:r>
      <w:r>
        <w:rPr>
          <w:rFonts w:hint="eastAsia" w:ascii="仿宋_GB2312" w:hAnsi="仿宋" w:eastAsia="仿宋_GB2312" w:cs="Times New Roman"/>
          <w:sz w:val="32"/>
          <w:szCs w:val="32"/>
          <w:lang w:val="en-US" w:eastAsia="zh-CN"/>
        </w:rPr>
        <w:t>54.73</w:t>
      </w:r>
      <w:r>
        <w:rPr>
          <w:rFonts w:hint="eastAsia" w:ascii="仿宋_GB2312" w:hAnsi="仿宋" w:eastAsia="仿宋_GB2312" w:cs="Times New Roman"/>
          <w:sz w:val="32"/>
          <w:szCs w:val="32"/>
        </w:rPr>
        <w:t>万元，增长</w:t>
      </w:r>
      <w:r>
        <w:rPr>
          <w:rFonts w:hint="eastAsia" w:ascii="仿宋_GB2312" w:hAnsi="仿宋" w:eastAsia="仿宋_GB2312" w:cs="Times New Roman"/>
          <w:sz w:val="32"/>
          <w:szCs w:val="32"/>
          <w:lang w:val="en-US" w:eastAsia="zh-CN"/>
        </w:rPr>
        <w:t>4.35</w:t>
      </w:r>
      <w:r>
        <w:rPr>
          <w:rFonts w:hint="eastAsia" w:ascii="仿宋_GB2312" w:hAnsi="仿宋" w:eastAsia="仿宋_GB2312" w:cs="Times New Roman"/>
          <w:sz w:val="32"/>
          <w:szCs w:val="32"/>
        </w:rPr>
        <w:t>%，</w:t>
      </w:r>
      <w:r>
        <w:rPr>
          <w:rFonts w:hint="eastAsia" w:ascii="仿宋_GB2312" w:hAnsi="仿宋" w:eastAsia="仿宋_GB2312"/>
          <w:sz w:val="32"/>
          <w:szCs w:val="32"/>
        </w:rPr>
        <w:t>增长</w:t>
      </w:r>
      <w:r>
        <w:rPr>
          <w:rFonts w:hint="eastAsia" w:ascii="仿宋_GB2312" w:hAnsi="仿宋" w:eastAsia="仿宋_GB2312"/>
          <w:color w:val="000000" w:themeColor="text1"/>
          <w:sz w:val="32"/>
          <w:szCs w:val="32"/>
          <w14:textFill>
            <w14:solidFill>
              <w14:schemeClr w14:val="tx1"/>
            </w14:solidFill>
          </w14:textFill>
        </w:rPr>
        <w:t>原因主要是</w:t>
      </w:r>
      <w:r>
        <w:rPr>
          <w:rFonts w:hint="eastAsia" w:ascii="仿宋_GB2312" w:hAnsi="仿宋" w:eastAsia="仿宋_GB2312"/>
          <w:color w:val="000000" w:themeColor="text1"/>
          <w:sz w:val="32"/>
          <w:szCs w:val="32"/>
          <w:lang w:eastAsia="zh-CN"/>
          <w14:textFill>
            <w14:solidFill>
              <w14:schemeClr w14:val="tx1"/>
            </w14:solidFill>
          </w14:textFill>
        </w:rPr>
        <w:t>项目支出增加</w:t>
      </w:r>
      <w:r>
        <w:rPr>
          <w:rFonts w:hint="eastAsia" w:ascii="仿宋_GB2312" w:hAnsi="仿宋" w:eastAsia="仿宋_GB2312"/>
          <w:sz w:val="32"/>
          <w:szCs w:val="32"/>
          <w:lang w:eastAsia="zh-CN"/>
        </w:rPr>
        <w:t>。</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其中，基本支出</w:t>
      </w:r>
      <w:r>
        <w:rPr>
          <w:rFonts w:hint="eastAsia" w:ascii="仿宋_GB2312" w:hAnsi="仿宋" w:eastAsia="仿宋_GB2312" w:cs="Times New Roman"/>
          <w:sz w:val="32"/>
          <w:szCs w:val="32"/>
          <w:lang w:val="en-US" w:eastAsia="zh-CN"/>
        </w:rPr>
        <w:t>574.94</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43.82</w:t>
      </w:r>
      <w:r>
        <w:rPr>
          <w:rFonts w:hint="eastAsia" w:ascii="仿宋_GB2312" w:hAnsi="仿宋" w:eastAsia="仿宋_GB2312" w:cs="Times New Roman"/>
          <w:sz w:val="32"/>
          <w:szCs w:val="32"/>
        </w:rPr>
        <w:t>%，主要用于保障机构日常运转、完成日常工作任务；项目支出</w:t>
      </w:r>
      <w:r>
        <w:rPr>
          <w:rFonts w:hint="eastAsia" w:ascii="仿宋_GB2312" w:hAnsi="仿宋" w:eastAsia="仿宋_GB2312" w:cs="Times New Roman"/>
          <w:sz w:val="32"/>
          <w:szCs w:val="32"/>
          <w:lang w:val="en-US" w:eastAsia="zh-CN"/>
        </w:rPr>
        <w:t>737.2</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56.18</w:t>
      </w:r>
      <w:r>
        <w:rPr>
          <w:rFonts w:hint="eastAsia" w:ascii="仿宋_GB2312" w:hAnsi="仿宋" w:eastAsia="仿宋_GB2312" w:cs="Times New Roman"/>
          <w:sz w:val="32"/>
          <w:szCs w:val="32"/>
        </w:rPr>
        <w:t>%，</w:t>
      </w:r>
      <w:r>
        <w:rPr>
          <w:rFonts w:hint="eastAsia" w:ascii="仿宋_GB2312" w:hAnsi="仿宋" w:eastAsia="仿宋_GB2312" w:cs="Times New Roman"/>
          <w:color w:val="000000" w:themeColor="text1"/>
          <w:sz w:val="32"/>
          <w:szCs w:val="32"/>
          <w14:textFill>
            <w14:solidFill>
              <w14:schemeClr w14:val="tx1"/>
            </w14:solidFill>
          </w14:textFill>
        </w:rPr>
        <w:t>主要用于</w:t>
      </w:r>
      <w:r>
        <w:rPr>
          <w:rFonts w:hint="eastAsia" w:ascii="仿宋_GB2312" w:hAnsi="仿宋" w:eastAsia="仿宋_GB2312" w:cs="Times New Roman"/>
          <w:color w:val="000000" w:themeColor="text1"/>
          <w:sz w:val="32"/>
          <w:szCs w:val="32"/>
          <w:lang w:eastAsia="zh-CN"/>
          <w14:textFill>
            <w14:solidFill>
              <w14:schemeClr w14:val="tx1"/>
            </w14:solidFill>
          </w14:textFill>
        </w:rPr>
        <w:t>软件升级和维护、国库运行业务、工作经费、企业新三板、四板挂牌奖励金、政策性农业保险、农村公益事业财政奖补资金、税收征收经费、规范化财政所、民生工程经费、选派干部支出</w:t>
      </w:r>
      <w:r>
        <w:rPr>
          <w:rFonts w:hint="eastAsia" w:ascii="仿宋_GB2312" w:hAnsi="仿宋" w:eastAsia="仿宋_GB2312" w:cs="Times New Roman"/>
          <w:sz w:val="32"/>
          <w:szCs w:val="32"/>
        </w:rPr>
        <w:t>。</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四、关于</w:t>
      </w:r>
      <w:r>
        <w:rPr>
          <w:rFonts w:hint="eastAsia" w:ascii="黑体" w:hAnsi="仿宋" w:eastAsia="黑体" w:cs="宋体"/>
          <w:color w:val="000000" w:themeColor="text1"/>
          <w:kern w:val="0"/>
          <w:sz w:val="32"/>
          <w:szCs w:val="32"/>
          <w:lang w:eastAsia="zh-CN"/>
          <w14:textFill>
            <w14:solidFill>
              <w14:schemeClr w14:val="tx1"/>
            </w14:solidFill>
          </w14:textFill>
        </w:rPr>
        <w:t>2022</w:t>
      </w:r>
      <w:r>
        <w:rPr>
          <w:rFonts w:hint="eastAsia" w:ascii="黑体" w:hAnsi="仿宋" w:eastAsia="黑体" w:cs="宋体"/>
          <w:color w:val="000000" w:themeColor="text1"/>
          <w:kern w:val="0"/>
          <w:sz w:val="32"/>
          <w:szCs w:val="32"/>
          <w14:textFill>
            <w14:solidFill>
              <w14:schemeClr w14:val="tx1"/>
            </w14:solidFill>
          </w14:textFill>
        </w:rPr>
        <w:t>年财政拨款收支总表的说明</w:t>
      </w:r>
    </w:p>
    <w:p>
      <w:pPr>
        <w:pStyle w:val="5"/>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相山区财政局2022</w:t>
      </w:r>
      <w:r>
        <w:rPr>
          <w:rFonts w:hint="eastAsia" w:ascii="仿宋_GB2312" w:hAnsi="仿宋" w:eastAsia="仿宋_GB2312" w:cs="Times New Roman"/>
          <w:kern w:val="2"/>
          <w:sz w:val="32"/>
          <w:szCs w:val="32"/>
        </w:rPr>
        <w:t>年财政拨款收支预算</w:t>
      </w:r>
      <w:r>
        <w:rPr>
          <w:rFonts w:hint="eastAsia" w:ascii="仿宋_GB2312" w:hAnsi="仿宋" w:eastAsia="仿宋_GB2312" w:cs="Times New Roman"/>
          <w:kern w:val="2"/>
          <w:sz w:val="32"/>
          <w:szCs w:val="32"/>
          <w:lang w:val="en-US" w:eastAsia="zh-CN"/>
        </w:rPr>
        <w:t>1312.14</w:t>
      </w:r>
      <w:r>
        <w:rPr>
          <w:rFonts w:hint="eastAsia" w:ascii="仿宋_GB2312" w:hAnsi="仿宋" w:eastAsia="仿宋_GB2312" w:cs="Times New Roman"/>
          <w:kern w:val="2"/>
          <w:sz w:val="32"/>
          <w:szCs w:val="32"/>
        </w:rPr>
        <w:t>万元。收入按资金来源分</w:t>
      </w:r>
      <w:r>
        <w:rPr>
          <w:rFonts w:hint="eastAsia" w:ascii="仿宋_GB2312" w:hAnsi="仿宋" w:eastAsia="仿宋_GB2312" w:cs="Times New Roman"/>
          <w:kern w:val="2"/>
          <w:sz w:val="32"/>
          <w:szCs w:val="32"/>
          <w:lang w:eastAsia="zh-CN"/>
        </w:rPr>
        <w:t>全部为</w:t>
      </w:r>
      <w:r>
        <w:rPr>
          <w:rFonts w:hint="eastAsia" w:ascii="仿宋_GB2312" w:hAnsi="仿宋" w:eastAsia="仿宋_GB2312" w:cs="Times New Roman"/>
          <w:kern w:val="2"/>
          <w:sz w:val="32"/>
          <w:szCs w:val="32"/>
        </w:rPr>
        <w:t>一般公共预算拨款；按资金年度分</w:t>
      </w:r>
      <w:r>
        <w:rPr>
          <w:rFonts w:hint="eastAsia" w:ascii="仿宋_GB2312" w:hAnsi="仿宋" w:eastAsia="仿宋_GB2312" w:cs="Times New Roman"/>
          <w:kern w:val="2"/>
          <w:sz w:val="32"/>
          <w:szCs w:val="32"/>
          <w:lang w:eastAsia="zh-CN"/>
        </w:rPr>
        <w:t>全部为</w:t>
      </w:r>
      <w:r>
        <w:rPr>
          <w:rFonts w:hint="eastAsia" w:ascii="仿宋_GB2312" w:hAnsi="仿宋" w:eastAsia="仿宋_GB2312" w:cs="Times New Roman"/>
          <w:kern w:val="2"/>
          <w:sz w:val="32"/>
          <w:szCs w:val="32"/>
        </w:rPr>
        <w:t>本年财政拨款收入。支出按功能分类分为：一般公共服务支出</w:t>
      </w:r>
      <w:r>
        <w:rPr>
          <w:rFonts w:hint="eastAsia" w:ascii="仿宋_GB2312" w:hAnsi="仿宋" w:eastAsia="仿宋_GB2312" w:cs="Times New Roman"/>
          <w:kern w:val="2"/>
          <w:sz w:val="32"/>
          <w:szCs w:val="32"/>
          <w:lang w:val="en-US" w:eastAsia="zh-CN"/>
        </w:rPr>
        <w:t>333.65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25.43</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68.65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5.23</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34.79</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2.65</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；城乡社区支出</w:t>
      </w:r>
      <w:r>
        <w:rPr>
          <w:rFonts w:hint="eastAsia" w:ascii="仿宋_GB2312" w:hAnsi="仿宋" w:eastAsia="仿宋_GB2312" w:cs="Times New Roman"/>
          <w:kern w:val="2"/>
          <w:sz w:val="32"/>
          <w:szCs w:val="32"/>
          <w:lang w:val="en-US" w:eastAsia="zh-CN"/>
        </w:rPr>
        <w:t>553.96万元，占42.22%；农林水支出233.5万元，占17.8%；</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87.6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6.68</w:t>
      </w:r>
      <w:r>
        <w:rPr>
          <w:rFonts w:hint="eastAsia" w:ascii="仿宋_GB2312" w:hAnsi="仿宋" w:eastAsia="仿宋_GB2312" w:cs="Times New Roman"/>
          <w:kern w:val="2"/>
          <w:sz w:val="32"/>
          <w:szCs w:val="32"/>
        </w:rPr>
        <w:t>%。</w:t>
      </w: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五、关于</w:t>
      </w:r>
      <w:r>
        <w:rPr>
          <w:rFonts w:hint="eastAsia" w:ascii="黑体" w:hAnsi="仿宋" w:eastAsia="黑体"/>
          <w:color w:val="000000" w:themeColor="text1"/>
          <w:sz w:val="32"/>
          <w:szCs w:val="32"/>
          <w:lang w:eastAsia="zh-CN"/>
          <w14:textFill>
            <w14:solidFill>
              <w14:schemeClr w14:val="tx1"/>
            </w14:solidFill>
          </w14:textFill>
        </w:rPr>
        <w:t>2022</w:t>
      </w:r>
      <w:r>
        <w:rPr>
          <w:rFonts w:hint="eastAsia" w:ascii="黑体" w:hAnsi="仿宋" w:eastAsia="黑体"/>
          <w:color w:val="000000" w:themeColor="text1"/>
          <w:sz w:val="32"/>
          <w:szCs w:val="32"/>
          <w14:textFill>
            <w14:solidFill>
              <w14:schemeClr w14:val="tx1"/>
            </w14:solidFill>
          </w14:textFill>
        </w:rPr>
        <w:t>年一般公共预算支出表的说明</w:t>
      </w:r>
    </w:p>
    <w:p>
      <w:pPr>
        <w:pStyle w:val="5"/>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（一）一般公共预算支出规模变化情况。</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相山区财政局2022</w:t>
      </w:r>
      <w:r>
        <w:rPr>
          <w:rFonts w:hint="eastAsia" w:ascii="仿宋_GB2312" w:hAnsi="仿宋" w:eastAsia="仿宋_GB2312" w:cs="Times New Roman"/>
          <w:kern w:val="2"/>
          <w:sz w:val="32"/>
          <w:szCs w:val="32"/>
        </w:rPr>
        <w:t>年一般公共预算支出</w:t>
      </w:r>
      <w:r>
        <w:rPr>
          <w:rFonts w:hint="eastAsia" w:ascii="仿宋_GB2312" w:hAnsi="仿宋" w:eastAsia="仿宋_GB2312" w:cs="Times New Roman"/>
          <w:kern w:val="2"/>
          <w:sz w:val="32"/>
          <w:szCs w:val="32"/>
          <w:lang w:val="en-US" w:eastAsia="zh-CN"/>
        </w:rPr>
        <w:t>1312.14</w:t>
      </w:r>
      <w:r>
        <w:rPr>
          <w:rFonts w:hint="eastAsia" w:ascii="仿宋_GB2312" w:hAnsi="仿宋" w:eastAsia="仿宋_GB2312" w:cs="Times New Roman"/>
          <w:kern w:val="2"/>
          <w:sz w:val="32"/>
          <w:szCs w:val="32"/>
        </w:rPr>
        <w:t>万元，比</w:t>
      </w:r>
      <w:r>
        <w:rPr>
          <w:rFonts w:hint="eastAsia" w:ascii="仿宋_GB2312" w:hAnsi="仿宋" w:eastAsia="仿宋_GB2312" w:cs="Times New Roman"/>
          <w:kern w:val="2"/>
          <w:sz w:val="32"/>
          <w:szCs w:val="32"/>
          <w:lang w:eastAsia="zh-CN"/>
        </w:rPr>
        <w:t>2021</w:t>
      </w:r>
      <w:r>
        <w:rPr>
          <w:rFonts w:hint="eastAsia" w:ascii="仿宋_GB2312" w:hAnsi="仿宋" w:eastAsia="仿宋_GB2312" w:cs="Times New Roman"/>
          <w:kern w:val="2"/>
          <w:sz w:val="32"/>
          <w:szCs w:val="32"/>
        </w:rPr>
        <w:t>年预算增加</w:t>
      </w:r>
      <w:r>
        <w:rPr>
          <w:rFonts w:hint="eastAsia" w:ascii="仿宋_GB2312" w:hAnsi="仿宋" w:eastAsia="仿宋_GB2312" w:cs="Times New Roman"/>
          <w:sz w:val="32"/>
          <w:szCs w:val="32"/>
          <w:lang w:val="en-US" w:eastAsia="zh-CN"/>
        </w:rPr>
        <w:t>54.73</w:t>
      </w:r>
      <w:r>
        <w:rPr>
          <w:rFonts w:hint="eastAsia" w:ascii="仿宋_GB2312" w:hAnsi="仿宋" w:eastAsia="仿宋_GB2312" w:cs="Times New Roman"/>
          <w:sz w:val="32"/>
          <w:szCs w:val="32"/>
        </w:rPr>
        <w:t>万元，增长</w:t>
      </w:r>
      <w:r>
        <w:rPr>
          <w:rFonts w:hint="eastAsia" w:ascii="仿宋_GB2312" w:hAnsi="仿宋" w:eastAsia="仿宋_GB2312" w:cs="Times New Roman"/>
          <w:sz w:val="32"/>
          <w:szCs w:val="32"/>
          <w:lang w:val="en-US" w:eastAsia="zh-CN"/>
        </w:rPr>
        <w:t>4.35</w:t>
      </w:r>
      <w:r>
        <w:rPr>
          <w:rFonts w:hint="eastAsia" w:ascii="仿宋_GB2312" w:hAnsi="仿宋" w:eastAsia="仿宋_GB2312" w:cs="Times New Roman"/>
          <w:sz w:val="32"/>
          <w:szCs w:val="32"/>
        </w:rPr>
        <w:t>%</w:t>
      </w:r>
      <w:r>
        <w:rPr>
          <w:rFonts w:hint="eastAsia" w:ascii="仿宋_GB2312" w:hAnsi="仿宋" w:eastAsia="仿宋_GB2312" w:cs="Times New Roman"/>
          <w:kern w:val="2"/>
          <w:sz w:val="32"/>
          <w:szCs w:val="32"/>
        </w:rPr>
        <w:t>，</w:t>
      </w:r>
      <w:r>
        <w:rPr>
          <w:rFonts w:hint="eastAsia" w:ascii="仿宋_GB2312" w:hAnsi="仿宋" w:eastAsia="仿宋_GB2312" w:cs="Times New Roman"/>
          <w:color w:val="000000" w:themeColor="text1"/>
          <w:kern w:val="2"/>
          <w:sz w:val="32"/>
          <w:szCs w:val="32"/>
          <w14:textFill>
            <w14:solidFill>
              <w14:schemeClr w14:val="tx1"/>
            </w14:solidFill>
          </w14:textFill>
        </w:rPr>
        <w:t>主要原因</w:t>
      </w:r>
      <w:r>
        <w:rPr>
          <w:rFonts w:hint="eastAsia" w:ascii="仿宋_GB2312" w:hAnsi="仿宋" w:eastAsia="仿宋_GB2312" w:cs="Times New Roman"/>
          <w:kern w:val="2"/>
          <w:sz w:val="32"/>
          <w:szCs w:val="32"/>
        </w:rPr>
        <w:t>：</w:t>
      </w:r>
      <w:r>
        <w:rPr>
          <w:rFonts w:hint="eastAsia" w:ascii="仿宋_GB2312" w:hAnsi="仿宋" w:eastAsia="仿宋_GB2312"/>
          <w:color w:val="000000" w:themeColor="text1"/>
          <w:sz w:val="32"/>
          <w:szCs w:val="32"/>
          <w:lang w:eastAsia="zh-CN"/>
          <w14:textFill>
            <w14:solidFill>
              <w14:schemeClr w14:val="tx1"/>
            </w14:solidFill>
          </w14:textFill>
        </w:rPr>
        <w:t>项目支出增加</w:t>
      </w:r>
      <w:r>
        <w:rPr>
          <w:rFonts w:hint="eastAsia" w:ascii="仿宋_GB2312" w:hAnsi="仿宋" w:eastAsia="仿宋_GB2312" w:cs="Times New Roman"/>
          <w:kern w:val="2"/>
          <w:sz w:val="32"/>
          <w:szCs w:val="32"/>
        </w:rPr>
        <w:t>。</w:t>
      </w:r>
    </w:p>
    <w:p>
      <w:pPr>
        <w:pStyle w:val="5"/>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一般公共预算支出结构情况。</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一般公共服务支出</w:t>
      </w:r>
      <w:r>
        <w:rPr>
          <w:rFonts w:hint="eastAsia" w:ascii="仿宋_GB2312" w:hAnsi="仿宋" w:eastAsia="仿宋_GB2312" w:cs="Times New Roman"/>
          <w:kern w:val="2"/>
          <w:sz w:val="32"/>
          <w:szCs w:val="32"/>
          <w:lang w:val="en-US" w:eastAsia="zh-CN"/>
        </w:rPr>
        <w:t>333.65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25.43</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68.65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5.23</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34.79</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2.65</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；城乡社区支出</w:t>
      </w:r>
      <w:r>
        <w:rPr>
          <w:rFonts w:hint="eastAsia" w:ascii="仿宋_GB2312" w:hAnsi="仿宋" w:eastAsia="仿宋_GB2312" w:cs="Times New Roman"/>
          <w:kern w:val="2"/>
          <w:sz w:val="32"/>
          <w:szCs w:val="32"/>
          <w:lang w:val="en-US" w:eastAsia="zh-CN"/>
        </w:rPr>
        <w:t>553.96万元，占42.22%；农林水支出233.5万元，占17.8%；</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87.6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6.68</w:t>
      </w:r>
      <w:r>
        <w:rPr>
          <w:rFonts w:hint="eastAsia" w:ascii="仿宋_GB2312" w:hAnsi="仿宋" w:eastAsia="仿宋_GB2312" w:cs="Times New Roman"/>
          <w:kern w:val="2"/>
          <w:sz w:val="32"/>
          <w:szCs w:val="32"/>
        </w:rPr>
        <w:t>%。</w:t>
      </w:r>
    </w:p>
    <w:p>
      <w:pPr>
        <w:adjustRightInd w:val="0"/>
        <w:snapToGrid w:val="0"/>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（三）一般公共预算支出具体使用情况。</w:t>
      </w:r>
    </w:p>
    <w:p>
      <w:pPr>
        <w:adjustRightInd w:val="0"/>
        <w:snapToGrid w:val="0"/>
        <w:spacing w:line="600" w:lineRule="exact"/>
        <w:ind w:firstLine="643" w:firstLineChars="200"/>
        <w:rPr>
          <w:rFonts w:hint="eastAsia" w:ascii="仿宋_GB2312" w:hAnsi="仿宋" w:eastAsia="仿宋_GB2312" w:cs="仿宋_GB2312"/>
          <w:sz w:val="32"/>
          <w:szCs w:val="32"/>
          <w:highlight w:val="none"/>
          <w:lang w:eastAsia="zh-CN"/>
        </w:rPr>
      </w:pPr>
      <w:r>
        <w:rPr>
          <w:rFonts w:hint="eastAsia" w:ascii="仿宋_GB2312" w:hAnsi="仿宋" w:eastAsia="仿宋_GB2312"/>
          <w:b/>
          <w:sz w:val="32"/>
          <w:szCs w:val="32"/>
          <w:highlight w:val="none"/>
        </w:rPr>
        <w:t>1.一般公共服务支出（类）</w:t>
      </w:r>
      <w:r>
        <w:rPr>
          <w:rFonts w:hint="eastAsia" w:ascii="仿宋_GB2312" w:hAnsi="仿宋" w:eastAsia="仿宋_GB2312"/>
          <w:b/>
          <w:sz w:val="32"/>
          <w:szCs w:val="32"/>
          <w:highlight w:val="none"/>
          <w:lang w:eastAsia="zh-CN"/>
        </w:rPr>
        <w:t>人大事务</w:t>
      </w:r>
      <w:r>
        <w:rPr>
          <w:rFonts w:hint="eastAsia" w:ascii="仿宋_GB2312" w:hAnsi="仿宋" w:eastAsia="仿宋_GB2312"/>
          <w:b/>
          <w:sz w:val="32"/>
          <w:szCs w:val="32"/>
          <w:highlight w:val="none"/>
        </w:rPr>
        <w:t>（款）行政运行（项）</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0.13</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2021</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0.13</w:t>
      </w:r>
      <w:r>
        <w:rPr>
          <w:rFonts w:hint="eastAsia" w:ascii="仿宋_GB2312" w:hAnsi="仿宋" w:eastAsia="仿宋_GB2312"/>
          <w:sz w:val="32"/>
          <w:szCs w:val="32"/>
          <w:highlight w:val="none"/>
        </w:rPr>
        <w:t>万元，增长</w:t>
      </w:r>
      <w:r>
        <w:rPr>
          <w:rFonts w:hint="eastAsia" w:ascii="仿宋_GB2312" w:hAnsi="仿宋" w:eastAsia="仿宋_GB2312"/>
          <w:sz w:val="32"/>
          <w:szCs w:val="32"/>
          <w:highlight w:val="none"/>
          <w:lang w:val="en-US" w:eastAsia="zh-CN"/>
        </w:rPr>
        <w:t>100</w:t>
      </w:r>
      <w:r>
        <w:rPr>
          <w:rFonts w:hint="eastAsia" w:ascii="仿宋_GB2312" w:hAnsi="仿宋" w:eastAsia="仿宋_GB2312"/>
          <w:sz w:val="32"/>
          <w:szCs w:val="32"/>
          <w:highlight w:val="none"/>
        </w:rPr>
        <w:t>%，</w:t>
      </w:r>
      <w:r>
        <w:rPr>
          <w:rFonts w:hint="eastAsia" w:ascii="仿宋_GB2312" w:hAnsi="仿宋" w:eastAsia="仿宋_GB2312" w:cs="仿宋_GB2312"/>
          <w:color w:val="000000" w:themeColor="text1"/>
          <w:sz w:val="32"/>
          <w:szCs w:val="32"/>
          <w:highlight w:val="none"/>
          <w:lang w:eastAsia="zh-CN"/>
          <w14:textFill>
            <w14:solidFill>
              <w14:schemeClr w14:val="tx1"/>
            </w14:solidFill>
          </w14:textFill>
        </w:rPr>
        <w:t>去年无此项预算</w:t>
      </w:r>
      <w:r>
        <w:rPr>
          <w:rFonts w:hint="eastAsia" w:ascii="仿宋_GB2312" w:hAnsi="仿宋" w:eastAsia="仿宋_GB2312" w:cs="仿宋_GB2312"/>
          <w:sz w:val="32"/>
          <w:szCs w:val="32"/>
          <w:highlight w:val="none"/>
          <w:lang w:eastAsia="zh-CN"/>
        </w:rPr>
        <w:t>。</w:t>
      </w:r>
    </w:p>
    <w:p>
      <w:pPr>
        <w:adjustRightInd w:val="0"/>
        <w:snapToGrid w:val="0"/>
        <w:spacing w:line="600" w:lineRule="exact"/>
        <w:ind w:firstLine="643"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sz w:val="32"/>
          <w:szCs w:val="32"/>
          <w:lang w:val="en-US" w:eastAsia="zh-CN"/>
        </w:rPr>
        <w:t>2</w:t>
      </w:r>
      <w:r>
        <w:rPr>
          <w:rFonts w:hint="eastAsia" w:ascii="仿宋_GB2312" w:hAnsi="仿宋" w:eastAsia="仿宋_GB2312"/>
          <w:b/>
          <w:sz w:val="32"/>
          <w:szCs w:val="32"/>
        </w:rPr>
        <w:t>.一般公共服务支出（类）财政事务（款）行政运行（项）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134.32</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326.25</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70.87</w:t>
      </w:r>
      <w:r>
        <w:rPr>
          <w:rFonts w:hint="eastAsia" w:ascii="仿宋_GB2312" w:hAnsi="仿宋" w:eastAsia="仿宋_GB2312"/>
          <w:sz w:val="32"/>
          <w:szCs w:val="32"/>
        </w:rPr>
        <w:t>%，</w:t>
      </w:r>
      <w:r>
        <w:rPr>
          <w:rFonts w:hint="eastAsia" w:ascii="仿宋_GB2312" w:hAnsi="仿宋" w:eastAsia="仿宋_GB2312"/>
          <w:color w:val="000000" w:themeColor="text1"/>
          <w:sz w:val="32"/>
          <w:szCs w:val="32"/>
          <w14:textFill>
            <w14:solidFill>
              <w14:schemeClr w14:val="tx1"/>
            </w14:solidFill>
          </w14:textFill>
        </w:rPr>
        <w:t>下降原因主要是</w:t>
      </w:r>
      <w:r>
        <w:rPr>
          <w:rFonts w:hint="eastAsia" w:ascii="仿宋_GB2312" w:hAnsi="仿宋" w:eastAsia="仿宋_GB2312"/>
          <w:color w:val="000000" w:themeColor="text1"/>
          <w:sz w:val="32"/>
          <w:szCs w:val="32"/>
          <w:lang w:eastAsia="zh-CN"/>
          <w14:textFill>
            <w14:solidFill>
              <w14:schemeClr w14:val="tx1"/>
            </w14:solidFill>
          </w14:textFill>
        </w:rPr>
        <w:t>功能科目变动，部分资金从农林水支出</w:t>
      </w:r>
      <w:r>
        <w:rPr>
          <w:rFonts w:hint="eastAsia" w:ascii="仿宋_GB2312" w:hAnsi="仿宋" w:eastAsia="仿宋_GB2312"/>
          <w:color w:val="000000" w:themeColor="text1"/>
          <w:sz w:val="32"/>
          <w:szCs w:val="32"/>
          <w14:textFill>
            <w14:solidFill>
              <w14:schemeClr w14:val="tx1"/>
            </w14:solidFill>
          </w14:textFill>
        </w:rPr>
        <w:t>。</w:t>
      </w:r>
    </w:p>
    <w:p>
      <w:pPr>
        <w:adjustRightInd w:val="0"/>
        <w:snapToGrid w:val="0"/>
        <w:spacing w:line="600" w:lineRule="exact"/>
        <w:ind w:firstLine="643"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sz w:val="32"/>
          <w:szCs w:val="32"/>
          <w:lang w:val="en-US" w:eastAsia="zh-CN"/>
        </w:rPr>
        <w:t>3</w:t>
      </w:r>
      <w:r>
        <w:rPr>
          <w:rFonts w:hint="eastAsia" w:ascii="仿宋_GB2312" w:hAnsi="仿宋" w:eastAsia="仿宋_GB2312"/>
          <w:b/>
          <w:sz w:val="32"/>
          <w:szCs w:val="32"/>
        </w:rPr>
        <w:t>.一般公共服务支出（类）财政事务（款）</w:t>
      </w:r>
      <w:r>
        <w:rPr>
          <w:rFonts w:hint="eastAsia" w:ascii="仿宋_GB2312" w:hAnsi="仿宋" w:eastAsia="仿宋_GB2312"/>
          <w:b/>
          <w:sz w:val="32"/>
          <w:szCs w:val="32"/>
          <w:lang w:eastAsia="zh-CN"/>
        </w:rPr>
        <w:t>事业</w:t>
      </w:r>
      <w:r>
        <w:rPr>
          <w:rFonts w:hint="eastAsia" w:ascii="仿宋_GB2312" w:hAnsi="仿宋" w:eastAsia="仿宋_GB2312"/>
          <w:b/>
          <w:sz w:val="32"/>
          <w:szCs w:val="32"/>
        </w:rPr>
        <w:t>运行（项）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196.73</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36.59</w:t>
      </w:r>
      <w:r>
        <w:rPr>
          <w:rFonts w:hint="eastAsia" w:ascii="仿宋_GB2312" w:hAnsi="仿宋" w:eastAsia="仿宋_GB2312"/>
          <w:sz w:val="32"/>
          <w:szCs w:val="32"/>
        </w:rPr>
        <w:t>万元，</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22.85</w:t>
      </w:r>
      <w:r>
        <w:rPr>
          <w:rFonts w:hint="eastAsia" w:ascii="仿宋_GB2312" w:hAnsi="仿宋" w:eastAsia="仿宋_GB2312"/>
          <w:sz w:val="32"/>
          <w:szCs w:val="32"/>
        </w:rPr>
        <w:t>%，</w:t>
      </w:r>
      <w:r>
        <w:rPr>
          <w:rFonts w:hint="eastAsia" w:ascii="仿宋_GB2312" w:hAnsi="仿宋" w:eastAsia="仿宋_GB2312"/>
          <w:color w:val="000000" w:themeColor="text1"/>
          <w:sz w:val="32"/>
          <w:szCs w:val="32"/>
          <w:lang w:eastAsia="zh-CN"/>
          <w14:textFill>
            <w14:solidFill>
              <w14:schemeClr w14:val="tx1"/>
            </w14:solidFill>
          </w14:textFill>
        </w:rPr>
        <w:t>增长</w:t>
      </w:r>
      <w:r>
        <w:rPr>
          <w:rFonts w:hint="eastAsia" w:ascii="仿宋_GB2312" w:hAnsi="仿宋" w:eastAsia="仿宋_GB2312"/>
          <w:color w:val="000000" w:themeColor="text1"/>
          <w:sz w:val="32"/>
          <w:szCs w:val="32"/>
          <w14:textFill>
            <w14:solidFill>
              <w14:schemeClr w14:val="tx1"/>
            </w14:solidFill>
          </w14:textFill>
        </w:rPr>
        <w:t>原因主要是</w:t>
      </w:r>
      <w:r>
        <w:rPr>
          <w:rFonts w:hint="eastAsia" w:ascii="仿宋_GB2312" w:eastAsia="仿宋_GB2312"/>
          <w:sz w:val="32"/>
          <w:szCs w:val="32"/>
          <w:lang w:eastAsia="zh-CN"/>
        </w:rPr>
        <w:t>人员定额公用经费提高标准</w:t>
      </w:r>
      <w:r>
        <w:rPr>
          <w:rFonts w:hint="eastAsia" w:ascii="仿宋_GB2312" w:hAnsi="仿宋" w:eastAsia="仿宋_GB2312"/>
          <w:color w:val="000000" w:themeColor="text1"/>
          <w:sz w:val="32"/>
          <w:szCs w:val="32"/>
          <w14:textFill>
            <w14:solidFill>
              <w14:schemeClr w14:val="tx1"/>
            </w14:solidFill>
          </w14:textFill>
        </w:rPr>
        <w:t>。</w:t>
      </w:r>
    </w:p>
    <w:p>
      <w:pPr>
        <w:adjustRightInd w:val="0"/>
        <w:snapToGrid w:val="0"/>
        <w:spacing w:line="600" w:lineRule="exact"/>
        <w:ind w:firstLine="643" w:firstLineChars="200"/>
        <w:rPr>
          <w:rFonts w:hint="eastAsia" w:ascii="仿宋_GB2312" w:hAnsi="仿宋" w:eastAsia="仿宋_GB2312"/>
          <w:color w:val="C00000"/>
          <w:sz w:val="32"/>
          <w:szCs w:val="32"/>
        </w:rPr>
      </w:pPr>
      <w:r>
        <w:rPr>
          <w:rFonts w:hint="eastAsia" w:ascii="仿宋_GB2312" w:hAnsi="仿宋" w:eastAsia="仿宋_GB2312"/>
          <w:b/>
          <w:sz w:val="32"/>
          <w:szCs w:val="32"/>
          <w:lang w:val="en-US" w:eastAsia="zh-CN"/>
        </w:rPr>
        <w:t>4</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eastAsia="zh-CN"/>
        </w:rPr>
        <w:t>养老支出</w:t>
      </w:r>
      <w:r>
        <w:rPr>
          <w:rFonts w:hint="eastAsia" w:ascii="仿宋_GB2312" w:hAnsi="仿宋" w:eastAsia="仿宋_GB2312"/>
          <w:b/>
          <w:sz w:val="32"/>
          <w:szCs w:val="32"/>
        </w:rPr>
        <w:t>（款）行政单位离退休（项）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2.26</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18.51</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89.12</w:t>
      </w:r>
      <w:r>
        <w:rPr>
          <w:rFonts w:hint="eastAsia" w:ascii="仿宋_GB2312" w:hAnsi="仿宋" w:eastAsia="仿宋_GB2312"/>
          <w:sz w:val="32"/>
          <w:szCs w:val="32"/>
        </w:rPr>
        <w:t>%，</w:t>
      </w:r>
      <w:r>
        <w:rPr>
          <w:rFonts w:hint="eastAsia" w:ascii="仿宋_GB2312" w:hAnsi="仿宋" w:eastAsia="仿宋_GB2312"/>
          <w:color w:val="000000" w:themeColor="text1"/>
          <w:sz w:val="32"/>
          <w:szCs w:val="32"/>
          <w14:textFill>
            <w14:solidFill>
              <w14:schemeClr w14:val="tx1"/>
            </w14:solidFill>
          </w14:textFill>
        </w:rPr>
        <w:t>下降原因主要是</w:t>
      </w:r>
      <w:r>
        <w:rPr>
          <w:rFonts w:hint="eastAsia" w:ascii="仿宋_GB2312" w:hAnsi="仿宋" w:eastAsia="仿宋_GB2312"/>
          <w:color w:val="000000" w:themeColor="text1"/>
          <w:sz w:val="32"/>
          <w:szCs w:val="32"/>
          <w:lang w:eastAsia="zh-CN"/>
          <w14:textFill>
            <w14:solidFill>
              <w14:schemeClr w14:val="tx1"/>
            </w14:solidFill>
          </w14:textFill>
        </w:rPr>
        <w:t>行政单位离退休预算减少</w:t>
      </w:r>
      <w:r>
        <w:rPr>
          <w:rFonts w:hint="eastAsia" w:ascii="仿宋_GB2312" w:hAnsi="仿宋" w:eastAsia="仿宋_GB2312"/>
          <w:color w:val="000000" w:themeColor="text1"/>
          <w:sz w:val="32"/>
          <w:szCs w:val="32"/>
          <w14:textFill>
            <w14:solidFill>
              <w14:schemeClr w14:val="tx1"/>
            </w14:solidFill>
          </w14:textFill>
        </w:rPr>
        <w:t>。</w:t>
      </w:r>
    </w:p>
    <w:p>
      <w:pPr>
        <w:adjustRightInd w:val="0"/>
        <w:snapToGrid w:val="0"/>
        <w:spacing w:line="600" w:lineRule="exact"/>
        <w:ind w:firstLine="643" w:firstLineChars="200"/>
        <w:rPr>
          <w:rFonts w:hint="eastAsia" w:ascii="仿宋_GB2312" w:hAnsi="仿宋" w:eastAsia="仿宋_GB2312"/>
          <w:color w:val="C00000"/>
          <w:sz w:val="32"/>
          <w:szCs w:val="32"/>
        </w:rPr>
      </w:pPr>
      <w:r>
        <w:rPr>
          <w:rFonts w:hint="eastAsia" w:ascii="仿宋_GB2312" w:hAnsi="仿宋" w:eastAsia="仿宋_GB2312"/>
          <w:b/>
          <w:sz w:val="32"/>
          <w:szCs w:val="32"/>
          <w:lang w:val="en-US" w:eastAsia="zh-CN"/>
        </w:rPr>
        <w:t>5</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eastAsia="zh-CN"/>
        </w:rPr>
        <w:t>养老支出</w:t>
      </w:r>
      <w:r>
        <w:rPr>
          <w:rFonts w:hint="eastAsia" w:ascii="仿宋_GB2312" w:hAnsi="仿宋" w:eastAsia="仿宋_GB2312"/>
          <w:b/>
          <w:sz w:val="32"/>
          <w:szCs w:val="32"/>
        </w:rPr>
        <w:t>（款）</w:t>
      </w:r>
      <w:r>
        <w:rPr>
          <w:rFonts w:hint="eastAsia" w:ascii="仿宋_GB2312" w:hAnsi="仿宋" w:eastAsia="仿宋_GB2312"/>
          <w:b/>
          <w:sz w:val="32"/>
          <w:szCs w:val="32"/>
          <w:lang w:eastAsia="zh-CN"/>
        </w:rPr>
        <w:t>事业</w:t>
      </w:r>
      <w:r>
        <w:rPr>
          <w:rFonts w:hint="eastAsia" w:ascii="仿宋_GB2312" w:hAnsi="仿宋" w:eastAsia="仿宋_GB2312"/>
          <w:b/>
          <w:sz w:val="32"/>
          <w:szCs w:val="32"/>
        </w:rPr>
        <w:t>单位离退休（项）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0.96</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0.96</w:t>
      </w:r>
      <w:r>
        <w:rPr>
          <w:rFonts w:hint="eastAsia" w:ascii="仿宋_GB2312" w:hAnsi="仿宋" w:eastAsia="仿宋_GB2312"/>
          <w:sz w:val="32"/>
          <w:szCs w:val="32"/>
        </w:rPr>
        <w:t>万元，</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r>
        <w:rPr>
          <w:rFonts w:hint="eastAsia" w:ascii="仿宋_GB2312" w:hAnsi="仿宋" w:eastAsia="仿宋_GB2312" w:cs="仿宋_GB2312"/>
          <w:color w:val="000000" w:themeColor="text1"/>
          <w:sz w:val="32"/>
          <w:szCs w:val="32"/>
          <w:highlight w:val="none"/>
          <w:lang w:eastAsia="zh-CN"/>
          <w14:textFill>
            <w14:solidFill>
              <w14:schemeClr w14:val="tx1"/>
            </w14:solidFill>
          </w14:textFill>
        </w:rPr>
        <w:t>去年无此项预算</w:t>
      </w:r>
      <w:r>
        <w:rPr>
          <w:rFonts w:hint="eastAsia" w:ascii="仿宋_GB2312" w:hAnsi="仿宋" w:eastAsia="仿宋_GB2312" w:cs="仿宋_GB2312"/>
          <w:sz w:val="32"/>
          <w:szCs w:val="32"/>
          <w:highlight w:val="none"/>
          <w:lang w:eastAsia="zh-CN"/>
        </w:rPr>
        <w:t>。</w:t>
      </w:r>
    </w:p>
    <w:p>
      <w:pPr>
        <w:adjustRightInd w:val="0"/>
        <w:snapToGrid w:val="0"/>
        <w:spacing w:line="600" w:lineRule="exact"/>
        <w:ind w:firstLine="643"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sz w:val="32"/>
          <w:szCs w:val="32"/>
          <w:lang w:val="en-US" w:eastAsia="zh-CN"/>
        </w:rPr>
        <w:t>6</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eastAsia="zh-CN"/>
        </w:rPr>
        <w:t>养老支出</w:t>
      </w:r>
      <w:r>
        <w:rPr>
          <w:rFonts w:hint="eastAsia" w:ascii="仿宋_GB2312" w:hAnsi="仿宋" w:eastAsia="仿宋_GB2312"/>
          <w:b/>
          <w:sz w:val="32"/>
          <w:szCs w:val="32"/>
        </w:rPr>
        <w:t>（款）机关事业单位基本养老保险缴费支出（项）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36.34</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8.77</w:t>
      </w:r>
      <w:r>
        <w:rPr>
          <w:rFonts w:hint="eastAsia" w:ascii="仿宋_GB2312" w:hAnsi="仿宋" w:eastAsia="仿宋_GB2312"/>
          <w:sz w:val="32"/>
          <w:szCs w:val="32"/>
        </w:rPr>
        <w:t>万元，</w:t>
      </w:r>
      <w:r>
        <w:rPr>
          <w:rFonts w:hint="eastAsia" w:ascii="仿宋_GB2312" w:hAnsi="仿宋" w:eastAsia="仿宋_GB2312"/>
          <w:sz w:val="32"/>
          <w:szCs w:val="32"/>
          <w:lang w:eastAsia="zh-CN"/>
        </w:rPr>
        <w:t>下降</w:t>
      </w:r>
      <w:r>
        <w:rPr>
          <w:rFonts w:hint="eastAsia" w:ascii="仿宋_GB2312" w:hAnsi="仿宋" w:eastAsia="仿宋_GB2312"/>
          <w:sz w:val="32"/>
          <w:szCs w:val="32"/>
          <w:lang w:val="en-US" w:eastAsia="zh-CN"/>
        </w:rPr>
        <w:t>19.44</w:t>
      </w:r>
      <w:r>
        <w:rPr>
          <w:rFonts w:hint="eastAsia" w:ascii="仿宋_GB2312" w:hAnsi="仿宋" w:eastAsia="仿宋_GB2312"/>
          <w:sz w:val="32"/>
          <w:szCs w:val="32"/>
        </w:rPr>
        <w:t>%，</w:t>
      </w:r>
      <w:r>
        <w:rPr>
          <w:rFonts w:hint="eastAsia" w:ascii="仿宋_GB2312" w:hAnsi="仿宋" w:eastAsia="仿宋_GB2312"/>
          <w:color w:val="000000" w:themeColor="text1"/>
          <w:sz w:val="32"/>
          <w:szCs w:val="32"/>
          <w:lang w:eastAsia="zh-CN"/>
          <w14:textFill>
            <w14:solidFill>
              <w14:schemeClr w14:val="tx1"/>
            </w14:solidFill>
          </w14:textFill>
        </w:rPr>
        <w:t>下降</w:t>
      </w:r>
      <w:r>
        <w:rPr>
          <w:rFonts w:hint="eastAsia" w:ascii="仿宋_GB2312" w:hAnsi="仿宋" w:eastAsia="仿宋_GB2312"/>
          <w:color w:val="000000" w:themeColor="text1"/>
          <w:sz w:val="32"/>
          <w:szCs w:val="32"/>
          <w14:textFill>
            <w14:solidFill>
              <w14:schemeClr w14:val="tx1"/>
            </w14:solidFill>
          </w14:textFill>
        </w:rPr>
        <w:t>原因主要是</w:t>
      </w:r>
      <w:r>
        <w:rPr>
          <w:rFonts w:hint="eastAsia" w:ascii="仿宋_GB2312" w:hAnsi="仿宋" w:eastAsia="仿宋_GB2312"/>
          <w:b w:val="0"/>
          <w:bCs w:val="0"/>
          <w:sz w:val="32"/>
          <w:szCs w:val="32"/>
          <w:lang w:eastAsia="zh-CN"/>
        </w:rPr>
        <w:t>人员减少</w:t>
      </w:r>
      <w:r>
        <w:rPr>
          <w:rFonts w:hint="eastAsia" w:ascii="仿宋_GB2312" w:hAnsi="仿宋" w:eastAsia="仿宋_GB2312"/>
          <w:color w:val="000000" w:themeColor="text1"/>
          <w:sz w:val="32"/>
          <w:szCs w:val="32"/>
          <w14:textFill>
            <w14:solidFill>
              <w14:schemeClr w14:val="tx1"/>
            </w14:solidFill>
          </w14:textFill>
        </w:rPr>
        <w:t>。</w:t>
      </w:r>
    </w:p>
    <w:p>
      <w:pPr>
        <w:pStyle w:val="6"/>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.社会保障和就业支出（类）行政事业单位养老支出（款）机关事业单位职业年金缴费支出（项）</w:t>
      </w:r>
      <w:r>
        <w:rPr>
          <w:rFonts w:hint="eastAsia" w:ascii="仿宋_GB2312" w:hAnsi="仿宋_GB2312" w:eastAsia="仿宋_GB2312" w:cs="仿宋_GB2312"/>
          <w:b w:val="0"/>
          <w:bCs w:val="0"/>
          <w:sz w:val="32"/>
          <w:szCs w:val="32"/>
        </w:rPr>
        <w:t>2022年预算</w:t>
      </w:r>
      <w:r>
        <w:rPr>
          <w:rFonts w:hint="eastAsia" w:ascii="仿宋_GB2312" w:hAnsi="仿宋_GB2312" w:eastAsia="仿宋_GB2312" w:cs="仿宋_GB2312"/>
          <w:b w:val="0"/>
          <w:bCs w:val="0"/>
          <w:sz w:val="32"/>
          <w:szCs w:val="32"/>
          <w:lang w:val="en-US" w:eastAsia="zh-CN"/>
        </w:rPr>
        <w:t>21.48</w:t>
      </w:r>
      <w:r>
        <w:rPr>
          <w:rFonts w:hint="eastAsia" w:ascii="仿宋_GB2312" w:hAnsi="仿宋_GB2312" w:eastAsia="仿宋_GB2312" w:cs="仿宋_GB2312"/>
          <w:b w:val="0"/>
          <w:bCs w:val="0"/>
          <w:sz w:val="32"/>
          <w:szCs w:val="32"/>
        </w:rPr>
        <w:t>万元，比2021年预算</w:t>
      </w:r>
      <w:r>
        <w:rPr>
          <w:rFonts w:hint="eastAsia" w:ascii="仿宋_GB2312" w:hAnsi="仿宋_GB2312" w:eastAsia="仿宋_GB2312" w:cs="仿宋_GB2312"/>
          <w:b w:val="0"/>
          <w:bCs w:val="0"/>
          <w:sz w:val="32"/>
          <w:szCs w:val="32"/>
          <w:lang w:eastAsia="zh-CN"/>
        </w:rPr>
        <w:t>减少</w:t>
      </w:r>
      <w:r>
        <w:rPr>
          <w:rFonts w:hint="eastAsia" w:ascii="仿宋_GB2312" w:hAnsi="仿宋_GB2312" w:eastAsia="仿宋_GB2312" w:cs="仿宋_GB2312"/>
          <w:b w:val="0"/>
          <w:bCs w:val="0"/>
          <w:sz w:val="32"/>
          <w:szCs w:val="32"/>
          <w:lang w:val="en-US" w:eastAsia="zh-CN"/>
        </w:rPr>
        <w:t>1.08</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下降</w:t>
      </w:r>
      <w:r>
        <w:rPr>
          <w:rFonts w:hint="eastAsia" w:ascii="仿宋_GB2312" w:hAnsi="仿宋_GB2312" w:eastAsia="仿宋_GB2312" w:cs="仿宋_GB2312"/>
          <w:b w:val="0"/>
          <w:bCs w:val="0"/>
          <w:sz w:val="32"/>
          <w:szCs w:val="32"/>
          <w:lang w:val="en-US" w:eastAsia="zh-CN"/>
        </w:rPr>
        <w:t>4.79</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下降</w:t>
      </w:r>
      <w:r>
        <w:rPr>
          <w:rFonts w:hint="eastAsia" w:ascii="仿宋_GB2312" w:hAnsi="仿宋_GB2312" w:eastAsia="仿宋_GB2312" w:cs="仿宋_GB2312"/>
          <w:b w:val="0"/>
          <w:bCs w:val="0"/>
          <w:color w:val="000000" w:themeColor="text1"/>
          <w:sz w:val="32"/>
          <w:szCs w:val="32"/>
          <w14:textFill>
            <w14:solidFill>
              <w14:schemeClr w14:val="tx1"/>
            </w14:solidFill>
          </w14:textFill>
        </w:rPr>
        <w:t>原因主要是</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人员减少</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ind w:firstLine="643"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.社会保障和就业支出（类）其他社会保障和就业支出（款）其他社会保障和就业支出（项）</w:t>
      </w:r>
      <w:r>
        <w:rPr>
          <w:rFonts w:hint="eastAsia" w:ascii="仿宋_GB2312" w:hAnsi="仿宋_GB2312" w:eastAsia="仿宋_GB2312" w:cs="仿宋_GB2312"/>
          <w:b w:val="0"/>
          <w:bCs w:val="0"/>
          <w:sz w:val="32"/>
          <w:szCs w:val="32"/>
        </w:rPr>
        <w:t>2022年预算</w:t>
      </w:r>
      <w:r>
        <w:rPr>
          <w:rFonts w:hint="eastAsia" w:ascii="仿宋_GB2312" w:hAnsi="仿宋_GB2312" w:eastAsia="仿宋_GB2312" w:cs="仿宋_GB2312"/>
          <w:b w:val="0"/>
          <w:bCs w:val="0"/>
          <w:sz w:val="32"/>
          <w:szCs w:val="32"/>
          <w:lang w:val="en-US" w:eastAsia="zh-CN"/>
        </w:rPr>
        <w:t>1.01</w:t>
      </w:r>
      <w:r>
        <w:rPr>
          <w:rFonts w:hint="eastAsia" w:ascii="仿宋_GB2312" w:hAnsi="仿宋_GB2312" w:eastAsia="仿宋_GB2312" w:cs="仿宋_GB2312"/>
          <w:b w:val="0"/>
          <w:bCs w:val="0"/>
          <w:sz w:val="32"/>
          <w:szCs w:val="32"/>
        </w:rPr>
        <w:t>万元，比2021年预算</w:t>
      </w:r>
      <w:r>
        <w:rPr>
          <w:rFonts w:hint="eastAsia" w:ascii="仿宋_GB2312" w:hAnsi="仿宋_GB2312" w:eastAsia="仿宋_GB2312" w:cs="仿宋_GB2312"/>
          <w:b w:val="0"/>
          <w:bCs w:val="0"/>
          <w:sz w:val="32"/>
          <w:szCs w:val="32"/>
          <w:lang w:eastAsia="zh-CN"/>
        </w:rPr>
        <w:t>减少</w:t>
      </w:r>
      <w:r>
        <w:rPr>
          <w:rFonts w:hint="eastAsia" w:ascii="仿宋_GB2312" w:hAnsi="仿宋_GB2312" w:eastAsia="仿宋_GB2312" w:cs="仿宋_GB2312"/>
          <w:b w:val="0"/>
          <w:bCs w:val="0"/>
          <w:sz w:val="32"/>
          <w:szCs w:val="32"/>
          <w:lang w:val="en-US" w:eastAsia="zh-CN"/>
        </w:rPr>
        <w:t>6.43</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下降</w:t>
      </w:r>
      <w:r>
        <w:rPr>
          <w:rFonts w:hint="eastAsia" w:ascii="仿宋_GB2312" w:hAnsi="仿宋_GB2312" w:eastAsia="仿宋_GB2312" w:cs="仿宋_GB2312"/>
          <w:b w:val="0"/>
          <w:bCs w:val="0"/>
          <w:sz w:val="32"/>
          <w:szCs w:val="32"/>
          <w:lang w:val="en-US" w:eastAsia="zh-CN"/>
        </w:rPr>
        <w:t>86.42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下降</w:t>
      </w:r>
      <w:r>
        <w:rPr>
          <w:rFonts w:hint="eastAsia" w:ascii="仿宋_GB2312" w:hAnsi="仿宋_GB2312" w:eastAsia="仿宋_GB2312" w:cs="仿宋_GB2312"/>
          <w:b w:val="0"/>
          <w:bCs w:val="0"/>
          <w:color w:val="000000" w:themeColor="text1"/>
          <w:sz w:val="32"/>
          <w:szCs w:val="32"/>
          <w14:textFill>
            <w14:solidFill>
              <w14:schemeClr w14:val="tx1"/>
            </w14:solidFill>
          </w14:textFill>
        </w:rPr>
        <w:t>原因主要是</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科目调整</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adjustRightInd w:val="0"/>
        <w:snapToGrid w:val="0"/>
        <w:spacing w:line="600" w:lineRule="exact"/>
        <w:ind w:firstLine="643" w:firstLineChars="200"/>
        <w:rPr>
          <w:rFonts w:hint="eastAsia" w:ascii="仿宋_GB2312" w:hAnsi="仿宋_GB2312" w:eastAsia="仿宋_GB2312" w:cs="仿宋_GB2312"/>
          <w:b w:val="0"/>
          <w:bCs w:val="0"/>
          <w:color w:val="C00000"/>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.卫生健康支出（类）行政事业单位医疗（款）行政单位医疗（项）</w:t>
      </w:r>
      <w:r>
        <w:rPr>
          <w:rFonts w:hint="eastAsia" w:ascii="仿宋_GB2312" w:hAnsi="仿宋_GB2312" w:eastAsia="仿宋_GB2312" w:cs="仿宋_GB2312"/>
          <w:b w:val="0"/>
          <w:bCs w:val="0"/>
          <w:sz w:val="32"/>
          <w:szCs w:val="32"/>
        </w:rPr>
        <w:t>2022年预算</w:t>
      </w:r>
      <w:r>
        <w:rPr>
          <w:rFonts w:hint="eastAsia" w:ascii="仿宋_GB2312" w:hAnsi="仿宋_GB2312" w:eastAsia="仿宋_GB2312" w:cs="仿宋_GB2312"/>
          <w:b w:val="0"/>
          <w:bCs w:val="0"/>
          <w:sz w:val="32"/>
          <w:szCs w:val="32"/>
          <w:lang w:val="en-US" w:eastAsia="zh-CN"/>
        </w:rPr>
        <w:t>18.55</w:t>
      </w:r>
      <w:r>
        <w:rPr>
          <w:rFonts w:hint="eastAsia" w:ascii="仿宋_GB2312" w:hAnsi="仿宋_GB2312" w:eastAsia="仿宋_GB2312" w:cs="仿宋_GB2312"/>
          <w:b w:val="0"/>
          <w:bCs w:val="0"/>
          <w:sz w:val="32"/>
          <w:szCs w:val="32"/>
        </w:rPr>
        <w:t>万元，比2021年预算</w:t>
      </w:r>
      <w:r>
        <w:rPr>
          <w:rFonts w:hint="eastAsia" w:ascii="仿宋_GB2312" w:hAnsi="仿宋_GB2312" w:eastAsia="仿宋_GB2312" w:cs="仿宋_GB2312"/>
          <w:b w:val="0"/>
          <w:bCs w:val="0"/>
          <w:sz w:val="32"/>
          <w:szCs w:val="32"/>
          <w:lang w:eastAsia="zh-CN"/>
        </w:rPr>
        <w:t>增加</w:t>
      </w:r>
      <w:r>
        <w:rPr>
          <w:rFonts w:hint="eastAsia" w:ascii="仿宋_GB2312" w:hAnsi="仿宋_GB2312" w:eastAsia="仿宋_GB2312" w:cs="仿宋_GB2312"/>
          <w:b w:val="0"/>
          <w:bCs w:val="0"/>
          <w:sz w:val="32"/>
          <w:szCs w:val="32"/>
          <w:lang w:val="en-US" w:eastAsia="zh-CN"/>
        </w:rPr>
        <w:t>4.25</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增长</w:t>
      </w:r>
      <w:r>
        <w:rPr>
          <w:rFonts w:hint="eastAsia" w:ascii="仿宋_GB2312" w:hAnsi="仿宋_GB2312" w:eastAsia="仿宋_GB2312" w:cs="仿宋_GB2312"/>
          <w:b w:val="0"/>
          <w:bCs w:val="0"/>
          <w:sz w:val="32"/>
          <w:szCs w:val="32"/>
          <w:lang w:val="en-US" w:eastAsia="zh-CN"/>
        </w:rPr>
        <w:t>29.72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增长</w:t>
      </w:r>
      <w:r>
        <w:rPr>
          <w:rFonts w:hint="eastAsia" w:ascii="仿宋_GB2312" w:hAnsi="仿宋_GB2312" w:eastAsia="仿宋_GB2312" w:cs="仿宋_GB2312"/>
          <w:b w:val="0"/>
          <w:bCs w:val="0"/>
          <w:color w:val="000000" w:themeColor="text1"/>
          <w:sz w:val="32"/>
          <w:szCs w:val="32"/>
          <w14:textFill>
            <w14:solidFill>
              <w14:schemeClr w14:val="tx1"/>
            </w14:solidFill>
          </w14:textFill>
        </w:rPr>
        <w:t>原因主要是</w:t>
      </w:r>
      <w:r>
        <w:rPr>
          <w:rFonts w:hint="eastAsia" w:ascii="仿宋_GB2312" w:hAnsi="仿宋" w:eastAsia="仿宋_GB2312"/>
          <w:color w:val="000000"/>
          <w:sz w:val="32"/>
          <w:szCs w:val="32"/>
        </w:rPr>
        <w:t>行政</w:t>
      </w:r>
      <w:r>
        <w:rPr>
          <w:rFonts w:hint="eastAsia" w:ascii="仿宋_GB2312" w:hAnsi="仿宋" w:eastAsia="仿宋_GB2312"/>
          <w:color w:val="000000"/>
          <w:sz w:val="32"/>
          <w:szCs w:val="32"/>
          <w:lang w:eastAsia="zh-CN"/>
        </w:rPr>
        <w:t>事业</w:t>
      </w:r>
      <w:r>
        <w:rPr>
          <w:rFonts w:hint="eastAsia" w:ascii="仿宋_GB2312" w:hAnsi="仿宋" w:eastAsia="仿宋_GB2312"/>
          <w:color w:val="000000"/>
          <w:sz w:val="32"/>
          <w:szCs w:val="32"/>
        </w:rPr>
        <w:t>单位医疗随工资变动增加</w:t>
      </w:r>
      <w:r>
        <w:rPr>
          <w:rFonts w:hint="eastAsia" w:ascii="仿宋_GB2312" w:hAnsi="仿宋" w:eastAsia="仿宋_GB2312"/>
          <w:sz w:val="32"/>
          <w:szCs w:val="32"/>
        </w:rPr>
        <w:t>。</w:t>
      </w:r>
    </w:p>
    <w:p>
      <w:pPr>
        <w:pStyle w:val="6"/>
        <w:jc w:val="left"/>
        <w:rPr>
          <w:rFonts w:hint="eastAsia" w:ascii="仿宋_GB2312" w:hAnsi="仿宋_GB2312" w:eastAsia="仿宋_GB2312" w:cs="仿宋_GB2312"/>
          <w:b w:val="0"/>
          <w:bCs w:val="0"/>
          <w:color w:val="C00000"/>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.卫生健康支出（类）行政事业单位医疗（款）</w:t>
      </w:r>
      <w:r>
        <w:rPr>
          <w:rFonts w:hint="eastAsia" w:ascii="仿宋_GB2312" w:hAnsi="仿宋_GB2312" w:eastAsia="仿宋_GB2312" w:cs="仿宋_GB2312"/>
          <w:b/>
          <w:bCs/>
          <w:sz w:val="32"/>
          <w:szCs w:val="32"/>
          <w:lang w:eastAsia="zh-CN"/>
        </w:rPr>
        <w:t>事业</w:t>
      </w:r>
      <w:r>
        <w:rPr>
          <w:rFonts w:hint="eastAsia" w:ascii="仿宋_GB2312" w:hAnsi="仿宋_GB2312" w:eastAsia="仿宋_GB2312" w:cs="仿宋_GB2312"/>
          <w:b/>
          <w:bCs/>
          <w:sz w:val="32"/>
          <w:szCs w:val="32"/>
        </w:rPr>
        <w:t>单位医疗（项）</w:t>
      </w:r>
      <w:r>
        <w:rPr>
          <w:rFonts w:hint="eastAsia" w:ascii="仿宋_GB2312" w:hAnsi="仿宋_GB2312" w:eastAsia="仿宋_GB2312" w:cs="仿宋_GB2312"/>
          <w:b w:val="0"/>
          <w:bCs w:val="0"/>
          <w:sz w:val="32"/>
          <w:szCs w:val="32"/>
        </w:rPr>
        <w:t>2022年预算</w:t>
      </w:r>
      <w:r>
        <w:rPr>
          <w:rFonts w:hint="eastAsia" w:ascii="仿宋_GB2312" w:hAnsi="仿宋_GB2312" w:eastAsia="仿宋_GB2312" w:cs="仿宋_GB2312"/>
          <w:b w:val="0"/>
          <w:bCs w:val="0"/>
          <w:sz w:val="32"/>
          <w:szCs w:val="32"/>
          <w:lang w:val="en-US" w:eastAsia="zh-CN"/>
        </w:rPr>
        <w:t>10.46</w:t>
      </w:r>
      <w:r>
        <w:rPr>
          <w:rFonts w:hint="eastAsia" w:ascii="仿宋_GB2312" w:hAnsi="仿宋_GB2312" w:eastAsia="仿宋_GB2312" w:cs="仿宋_GB2312"/>
          <w:b w:val="0"/>
          <w:bCs w:val="0"/>
          <w:sz w:val="32"/>
          <w:szCs w:val="32"/>
        </w:rPr>
        <w:t>万元，比2021年预算</w:t>
      </w:r>
      <w:r>
        <w:rPr>
          <w:rFonts w:hint="eastAsia" w:ascii="仿宋_GB2312" w:hAnsi="仿宋_GB2312" w:eastAsia="仿宋_GB2312" w:cs="仿宋_GB2312"/>
          <w:b w:val="0"/>
          <w:bCs w:val="0"/>
          <w:sz w:val="32"/>
          <w:szCs w:val="32"/>
          <w:lang w:eastAsia="zh-CN"/>
        </w:rPr>
        <w:t>减少</w:t>
      </w:r>
      <w:r>
        <w:rPr>
          <w:rFonts w:hint="eastAsia" w:ascii="仿宋_GB2312" w:hAnsi="仿宋_GB2312" w:eastAsia="仿宋_GB2312" w:cs="仿宋_GB2312"/>
          <w:b w:val="0"/>
          <w:bCs w:val="0"/>
          <w:sz w:val="32"/>
          <w:szCs w:val="32"/>
          <w:lang w:val="en-US" w:eastAsia="zh-CN"/>
        </w:rPr>
        <w:t>0.29</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下降</w:t>
      </w:r>
      <w:r>
        <w:rPr>
          <w:rFonts w:hint="eastAsia" w:ascii="仿宋_GB2312" w:hAnsi="仿宋_GB2312" w:eastAsia="仿宋_GB2312" w:cs="仿宋_GB2312"/>
          <w:b w:val="0"/>
          <w:bCs w:val="0"/>
          <w:sz w:val="32"/>
          <w:szCs w:val="32"/>
          <w:lang w:val="en-US" w:eastAsia="zh-CN"/>
        </w:rPr>
        <w:t>2.7</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下降</w:t>
      </w:r>
      <w:r>
        <w:rPr>
          <w:rFonts w:hint="eastAsia" w:ascii="仿宋_GB2312" w:hAnsi="仿宋_GB2312" w:eastAsia="仿宋_GB2312" w:cs="仿宋_GB2312"/>
          <w:b w:val="0"/>
          <w:bCs w:val="0"/>
          <w:color w:val="000000" w:themeColor="text1"/>
          <w:sz w:val="32"/>
          <w:szCs w:val="32"/>
          <w14:textFill>
            <w14:solidFill>
              <w14:schemeClr w14:val="tx1"/>
            </w14:solidFill>
          </w14:textFill>
        </w:rPr>
        <w:t>原因主要是</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事业人员减少</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ind w:firstLine="643" w:firstLineChars="200"/>
        <w:rPr>
          <w:rFonts w:hint="eastAsia" w:ascii="仿宋_GB2312" w:hAnsi="仿宋_GB2312" w:eastAsia="仿宋_GB2312" w:cs="仿宋_GB2312"/>
          <w:b w:val="0"/>
          <w:bCs w:val="0"/>
          <w:color w:val="C00000"/>
          <w:sz w:val="32"/>
          <w:szCs w:val="32"/>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.卫生健康支出（类）行政事业单位医疗（款）公务员医疗补助（项）</w:t>
      </w:r>
      <w:r>
        <w:rPr>
          <w:rFonts w:hint="eastAsia" w:ascii="仿宋_GB2312" w:hAnsi="仿宋_GB2312" w:eastAsia="仿宋_GB2312" w:cs="仿宋_GB2312"/>
          <w:b w:val="0"/>
          <w:bCs w:val="0"/>
          <w:sz w:val="32"/>
          <w:szCs w:val="32"/>
        </w:rPr>
        <w:t>2022年预算</w:t>
      </w:r>
      <w:r>
        <w:rPr>
          <w:rFonts w:hint="eastAsia" w:ascii="仿宋_GB2312" w:hAnsi="仿宋_GB2312" w:eastAsia="仿宋_GB2312" w:cs="仿宋_GB2312"/>
          <w:b w:val="0"/>
          <w:bCs w:val="0"/>
          <w:sz w:val="32"/>
          <w:szCs w:val="32"/>
          <w:lang w:val="en-US" w:eastAsia="zh-CN"/>
        </w:rPr>
        <w:t>8.06</w:t>
      </w:r>
      <w:r>
        <w:rPr>
          <w:rFonts w:hint="eastAsia" w:ascii="仿宋_GB2312" w:hAnsi="仿宋_GB2312" w:eastAsia="仿宋_GB2312" w:cs="仿宋_GB2312"/>
          <w:b w:val="0"/>
          <w:bCs w:val="0"/>
          <w:sz w:val="32"/>
          <w:szCs w:val="32"/>
        </w:rPr>
        <w:t>万元，比2021年预算</w:t>
      </w:r>
      <w:r>
        <w:rPr>
          <w:rFonts w:hint="eastAsia" w:ascii="仿宋_GB2312" w:hAnsi="仿宋_GB2312" w:eastAsia="仿宋_GB2312" w:cs="仿宋_GB2312"/>
          <w:b w:val="0"/>
          <w:bCs w:val="0"/>
          <w:sz w:val="32"/>
          <w:szCs w:val="32"/>
          <w:lang w:eastAsia="zh-CN"/>
        </w:rPr>
        <w:t>增加</w:t>
      </w:r>
      <w:r>
        <w:rPr>
          <w:rFonts w:hint="eastAsia" w:ascii="仿宋_GB2312" w:hAnsi="仿宋_GB2312" w:eastAsia="仿宋_GB2312" w:cs="仿宋_GB2312"/>
          <w:b w:val="0"/>
          <w:bCs w:val="0"/>
          <w:sz w:val="32"/>
          <w:szCs w:val="32"/>
          <w:lang w:val="en-US" w:eastAsia="zh-CN"/>
        </w:rPr>
        <w:t>2.56</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增长</w:t>
      </w:r>
      <w:r>
        <w:rPr>
          <w:rFonts w:hint="eastAsia" w:ascii="仿宋_GB2312" w:hAnsi="仿宋_GB2312" w:eastAsia="仿宋_GB2312" w:cs="仿宋_GB2312"/>
          <w:b w:val="0"/>
          <w:bCs w:val="0"/>
          <w:sz w:val="32"/>
          <w:szCs w:val="32"/>
          <w:lang w:val="en-US" w:eastAsia="zh-CN"/>
        </w:rPr>
        <w:t>46.55</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增长</w:t>
      </w:r>
      <w:r>
        <w:rPr>
          <w:rFonts w:hint="eastAsia" w:ascii="仿宋_GB2312" w:hAnsi="仿宋_GB2312" w:eastAsia="仿宋_GB2312" w:cs="仿宋_GB2312"/>
          <w:b w:val="0"/>
          <w:bCs w:val="0"/>
          <w:color w:val="000000" w:themeColor="text1"/>
          <w:sz w:val="32"/>
          <w:szCs w:val="32"/>
          <w14:textFill>
            <w14:solidFill>
              <w14:schemeClr w14:val="tx1"/>
            </w14:solidFill>
          </w14:textFill>
        </w:rPr>
        <w:t>原因主要是</w:t>
      </w:r>
      <w:r>
        <w:rPr>
          <w:rFonts w:hint="eastAsia" w:ascii="仿宋_GB2312" w:hAnsi="仿宋" w:eastAsia="仿宋_GB2312"/>
          <w:color w:val="000000"/>
          <w:sz w:val="32"/>
          <w:szCs w:val="32"/>
        </w:rPr>
        <w:t>行政</w:t>
      </w:r>
      <w:r>
        <w:rPr>
          <w:rFonts w:hint="eastAsia" w:ascii="仿宋_GB2312" w:hAnsi="仿宋" w:eastAsia="仿宋_GB2312"/>
          <w:color w:val="000000"/>
          <w:sz w:val="32"/>
          <w:szCs w:val="32"/>
          <w:lang w:eastAsia="zh-CN"/>
        </w:rPr>
        <w:t>事业</w:t>
      </w:r>
      <w:r>
        <w:rPr>
          <w:rFonts w:hint="eastAsia" w:ascii="仿宋_GB2312" w:hAnsi="仿宋" w:eastAsia="仿宋_GB2312"/>
          <w:color w:val="000000"/>
          <w:sz w:val="32"/>
          <w:szCs w:val="32"/>
        </w:rPr>
        <w:t>单位医疗随工资变动增加</w:t>
      </w:r>
      <w:r>
        <w:rPr>
          <w:rFonts w:hint="eastAsia" w:ascii="仿宋_GB2312" w:hAnsi="仿宋" w:eastAsia="仿宋_GB2312"/>
          <w:sz w:val="32"/>
          <w:szCs w:val="32"/>
        </w:rPr>
        <w:t>。</w:t>
      </w:r>
    </w:p>
    <w:p>
      <w:pPr>
        <w:ind w:firstLine="643" w:firstLineChars="200"/>
        <w:rPr>
          <w:rFonts w:hint="eastAsia" w:ascii="仿宋_GB2312" w:hAnsi="仿宋_GB2312" w:eastAsia="仿宋_GB2312" w:cs="仿宋_GB2312"/>
          <w:b w:val="0"/>
          <w:bCs w:val="0"/>
          <w:color w:val="C00000"/>
          <w:sz w:val="32"/>
          <w:szCs w:val="32"/>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.卫生健康支出（类）行政事业单位医疗（款）其他行政事业单位医疗支出（项）</w:t>
      </w:r>
      <w:r>
        <w:rPr>
          <w:rFonts w:hint="eastAsia" w:ascii="仿宋_GB2312" w:hAnsi="仿宋_GB2312" w:eastAsia="仿宋_GB2312" w:cs="仿宋_GB2312"/>
          <w:b w:val="0"/>
          <w:bCs w:val="0"/>
          <w:sz w:val="32"/>
          <w:szCs w:val="32"/>
        </w:rPr>
        <w:t>2022年预算</w:t>
      </w:r>
      <w:r>
        <w:rPr>
          <w:rFonts w:hint="eastAsia" w:ascii="仿宋_GB2312" w:hAnsi="仿宋_GB2312" w:eastAsia="仿宋_GB2312" w:cs="仿宋_GB2312"/>
          <w:b w:val="0"/>
          <w:bCs w:val="0"/>
          <w:sz w:val="32"/>
          <w:szCs w:val="32"/>
          <w:lang w:val="en-US" w:eastAsia="zh-CN"/>
        </w:rPr>
        <w:t>0.19</w:t>
      </w:r>
      <w:r>
        <w:rPr>
          <w:rFonts w:hint="eastAsia" w:ascii="仿宋_GB2312" w:hAnsi="仿宋_GB2312" w:eastAsia="仿宋_GB2312" w:cs="仿宋_GB2312"/>
          <w:b w:val="0"/>
          <w:bCs w:val="0"/>
          <w:sz w:val="32"/>
          <w:szCs w:val="32"/>
        </w:rPr>
        <w:t>万元，比2021年预算</w:t>
      </w:r>
      <w:r>
        <w:rPr>
          <w:rFonts w:hint="eastAsia" w:ascii="仿宋_GB2312" w:hAnsi="仿宋_GB2312" w:eastAsia="仿宋_GB2312" w:cs="仿宋_GB2312"/>
          <w:b w:val="0"/>
          <w:bCs w:val="0"/>
          <w:sz w:val="32"/>
          <w:szCs w:val="32"/>
          <w:lang w:eastAsia="zh-CN"/>
        </w:rPr>
        <w:t>减少</w:t>
      </w:r>
      <w:r>
        <w:rPr>
          <w:rFonts w:hint="eastAsia" w:ascii="仿宋_GB2312" w:hAnsi="仿宋_GB2312" w:eastAsia="仿宋_GB2312" w:cs="仿宋_GB2312"/>
          <w:b w:val="0"/>
          <w:bCs w:val="0"/>
          <w:sz w:val="32"/>
          <w:szCs w:val="32"/>
          <w:lang w:val="en-US" w:eastAsia="zh-CN"/>
        </w:rPr>
        <w:t>0.31</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下降</w:t>
      </w:r>
      <w:r>
        <w:rPr>
          <w:rFonts w:hint="eastAsia" w:ascii="仿宋_GB2312" w:hAnsi="仿宋_GB2312" w:eastAsia="仿宋_GB2312" w:cs="仿宋_GB2312"/>
          <w:b w:val="0"/>
          <w:bCs w:val="0"/>
          <w:sz w:val="32"/>
          <w:szCs w:val="32"/>
          <w:lang w:val="en-US" w:eastAsia="zh-CN"/>
        </w:rPr>
        <w:t>62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下降</w:t>
      </w:r>
      <w:r>
        <w:rPr>
          <w:rFonts w:hint="eastAsia" w:ascii="仿宋_GB2312" w:hAnsi="仿宋_GB2312" w:eastAsia="仿宋_GB2312" w:cs="仿宋_GB2312"/>
          <w:b w:val="0"/>
          <w:bCs w:val="0"/>
          <w:color w:val="000000" w:themeColor="text1"/>
          <w:sz w:val="32"/>
          <w:szCs w:val="32"/>
          <w14:textFill>
            <w14:solidFill>
              <w14:schemeClr w14:val="tx1"/>
            </w14:solidFill>
          </w14:textFill>
        </w:rPr>
        <w:t>原因主要是</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事业人员减少</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pStyle w:val="6"/>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rPr>
        <w:t>.城乡社区支出（类）城乡社区管理事务（款）一般行政管理事务（项）</w:t>
      </w:r>
      <w:r>
        <w:rPr>
          <w:rFonts w:hint="eastAsia" w:ascii="仿宋_GB2312" w:hAnsi="仿宋_GB2312" w:eastAsia="仿宋_GB2312" w:cs="仿宋_GB2312"/>
          <w:b w:val="0"/>
          <w:bCs w:val="0"/>
          <w:sz w:val="32"/>
          <w:szCs w:val="32"/>
        </w:rPr>
        <w:t>2022年预算</w:t>
      </w:r>
      <w:r>
        <w:rPr>
          <w:rFonts w:hint="eastAsia" w:ascii="仿宋_GB2312" w:hAnsi="仿宋_GB2312" w:eastAsia="仿宋_GB2312" w:cs="仿宋_GB2312"/>
          <w:b w:val="0"/>
          <w:bCs w:val="0"/>
          <w:sz w:val="32"/>
          <w:szCs w:val="32"/>
          <w:lang w:val="en-US" w:eastAsia="zh-CN"/>
        </w:rPr>
        <w:t>243.96</w:t>
      </w:r>
      <w:r>
        <w:rPr>
          <w:rFonts w:hint="eastAsia" w:ascii="仿宋_GB2312" w:hAnsi="仿宋_GB2312" w:eastAsia="仿宋_GB2312" w:cs="仿宋_GB2312"/>
          <w:b w:val="0"/>
          <w:bCs w:val="0"/>
          <w:sz w:val="32"/>
          <w:szCs w:val="32"/>
        </w:rPr>
        <w:t>万元，比2021年预算</w:t>
      </w:r>
      <w:r>
        <w:rPr>
          <w:rFonts w:hint="eastAsia" w:ascii="仿宋_GB2312" w:hAnsi="仿宋_GB2312" w:eastAsia="仿宋_GB2312" w:cs="仿宋_GB2312"/>
          <w:b w:val="0"/>
          <w:bCs w:val="0"/>
          <w:sz w:val="32"/>
          <w:szCs w:val="32"/>
          <w:lang w:eastAsia="zh-CN"/>
        </w:rPr>
        <w:t>增加</w:t>
      </w:r>
      <w:r>
        <w:rPr>
          <w:rFonts w:hint="eastAsia" w:ascii="仿宋_GB2312" w:hAnsi="仿宋_GB2312" w:eastAsia="仿宋_GB2312" w:cs="仿宋_GB2312"/>
          <w:b w:val="0"/>
          <w:bCs w:val="0"/>
          <w:sz w:val="32"/>
          <w:szCs w:val="32"/>
          <w:lang w:val="en-US" w:eastAsia="zh-CN"/>
        </w:rPr>
        <w:t>243.96</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增长</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去年无此项预算。</w:t>
      </w:r>
    </w:p>
    <w:p>
      <w:pPr>
        <w:ind w:firstLine="643"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.城乡社区支出（类）其他城乡社区支出（款）其他城乡社区支出（项）</w:t>
      </w:r>
      <w:r>
        <w:rPr>
          <w:rFonts w:hint="eastAsia" w:ascii="仿宋_GB2312" w:hAnsi="仿宋_GB2312" w:eastAsia="仿宋_GB2312" w:cs="仿宋_GB2312"/>
          <w:b w:val="0"/>
          <w:bCs w:val="0"/>
          <w:sz w:val="32"/>
          <w:szCs w:val="32"/>
        </w:rPr>
        <w:t>2022年预算</w:t>
      </w:r>
      <w:r>
        <w:rPr>
          <w:rFonts w:hint="eastAsia" w:ascii="仿宋_GB2312" w:hAnsi="仿宋_GB2312" w:eastAsia="仿宋_GB2312" w:cs="仿宋_GB2312"/>
          <w:b w:val="0"/>
          <w:bCs w:val="0"/>
          <w:sz w:val="32"/>
          <w:szCs w:val="32"/>
          <w:lang w:val="en-US" w:eastAsia="zh-CN"/>
        </w:rPr>
        <w:t>310</w:t>
      </w:r>
      <w:r>
        <w:rPr>
          <w:rFonts w:hint="eastAsia" w:ascii="仿宋_GB2312" w:hAnsi="仿宋_GB2312" w:eastAsia="仿宋_GB2312" w:cs="仿宋_GB2312"/>
          <w:b w:val="0"/>
          <w:bCs w:val="0"/>
          <w:sz w:val="32"/>
          <w:szCs w:val="32"/>
        </w:rPr>
        <w:t>万元，比2021年预算</w:t>
      </w:r>
      <w:r>
        <w:rPr>
          <w:rFonts w:hint="eastAsia" w:ascii="仿宋_GB2312" w:hAnsi="仿宋_GB2312" w:eastAsia="仿宋_GB2312" w:cs="仿宋_GB2312"/>
          <w:b w:val="0"/>
          <w:bCs w:val="0"/>
          <w:sz w:val="32"/>
          <w:szCs w:val="32"/>
          <w:lang w:eastAsia="zh-CN"/>
        </w:rPr>
        <w:t>增加</w:t>
      </w:r>
      <w:r>
        <w:rPr>
          <w:rFonts w:hint="eastAsia" w:ascii="仿宋_GB2312" w:hAnsi="仿宋_GB2312" w:eastAsia="仿宋_GB2312" w:cs="仿宋_GB2312"/>
          <w:b w:val="0"/>
          <w:bCs w:val="0"/>
          <w:sz w:val="32"/>
          <w:szCs w:val="32"/>
          <w:lang w:val="en-US" w:eastAsia="zh-CN"/>
        </w:rPr>
        <w:t>310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增长</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去年无此项预算。</w:t>
      </w:r>
    </w:p>
    <w:p>
      <w:pPr>
        <w:ind w:firstLine="643"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.农林水支出（类）农业农村（款）行政运行（项）</w:t>
      </w:r>
      <w:r>
        <w:rPr>
          <w:rFonts w:hint="eastAsia" w:ascii="仿宋_GB2312" w:hAnsi="仿宋_GB2312" w:eastAsia="仿宋_GB2312" w:cs="仿宋_GB2312"/>
          <w:b w:val="0"/>
          <w:bCs w:val="0"/>
          <w:sz w:val="32"/>
          <w:szCs w:val="32"/>
        </w:rPr>
        <w:t>2022年预算</w:t>
      </w:r>
      <w:r>
        <w:rPr>
          <w:rFonts w:hint="eastAsia" w:ascii="仿宋_GB2312" w:hAnsi="仿宋_GB2312" w:eastAsia="仿宋_GB2312" w:cs="仿宋_GB2312"/>
          <w:b w:val="0"/>
          <w:bCs w:val="0"/>
          <w:sz w:val="32"/>
          <w:szCs w:val="32"/>
          <w:lang w:val="en-US" w:eastAsia="zh-CN"/>
        </w:rPr>
        <w:t>123.86</w:t>
      </w:r>
      <w:r>
        <w:rPr>
          <w:rFonts w:hint="eastAsia" w:ascii="仿宋_GB2312" w:hAnsi="仿宋_GB2312" w:eastAsia="仿宋_GB2312" w:cs="仿宋_GB2312"/>
          <w:b w:val="0"/>
          <w:bCs w:val="0"/>
          <w:sz w:val="32"/>
          <w:szCs w:val="32"/>
        </w:rPr>
        <w:t>万元，比2021年预算</w:t>
      </w:r>
      <w:r>
        <w:rPr>
          <w:rFonts w:hint="eastAsia" w:ascii="仿宋_GB2312" w:hAnsi="仿宋_GB2312" w:eastAsia="仿宋_GB2312" w:cs="仿宋_GB2312"/>
          <w:b w:val="0"/>
          <w:bCs w:val="0"/>
          <w:sz w:val="32"/>
          <w:szCs w:val="32"/>
          <w:lang w:eastAsia="zh-CN"/>
        </w:rPr>
        <w:t>增加</w:t>
      </w:r>
      <w:r>
        <w:rPr>
          <w:rFonts w:hint="eastAsia" w:ascii="仿宋_GB2312" w:hAnsi="仿宋_GB2312" w:eastAsia="仿宋_GB2312" w:cs="仿宋_GB2312"/>
          <w:b w:val="0"/>
          <w:bCs w:val="0"/>
          <w:sz w:val="32"/>
          <w:szCs w:val="32"/>
          <w:lang w:val="en-US" w:eastAsia="zh-CN"/>
        </w:rPr>
        <w:t>123.86</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增长</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仿宋" w:eastAsia="仿宋_GB2312"/>
          <w:sz w:val="32"/>
          <w:szCs w:val="32"/>
          <w:highlight w:val="none"/>
          <w:lang w:eastAsia="zh-CN"/>
        </w:rPr>
        <w:t>增长</w:t>
      </w:r>
      <w:r>
        <w:rPr>
          <w:rFonts w:hint="eastAsia" w:ascii="仿宋_GB2312" w:hAnsi="仿宋" w:eastAsia="仿宋_GB2312"/>
          <w:sz w:val="32"/>
          <w:szCs w:val="32"/>
          <w:highlight w:val="none"/>
        </w:rPr>
        <w:t>原因主要是</w:t>
      </w:r>
      <w:r>
        <w:rPr>
          <w:rFonts w:hint="eastAsia" w:ascii="仿宋_GB2312" w:hAnsi="仿宋" w:eastAsia="仿宋_GB2312"/>
          <w:sz w:val="32"/>
          <w:szCs w:val="32"/>
          <w:highlight w:val="none"/>
          <w:lang w:eastAsia="zh-CN"/>
        </w:rPr>
        <w:t>项目调整，财政事务行政运行减少</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16</w:t>
      </w:r>
      <w:r>
        <w:rPr>
          <w:rFonts w:hint="eastAsia" w:ascii="仿宋_GB2312" w:hAnsi="仿宋_GB2312" w:eastAsia="仿宋_GB2312" w:cs="仿宋_GB2312"/>
          <w:b/>
          <w:bCs/>
          <w:sz w:val="32"/>
          <w:szCs w:val="32"/>
        </w:rPr>
        <w:t>.农林水支出（类）农业农村（款）一般行政管理事务（项）</w:t>
      </w:r>
      <w:r>
        <w:rPr>
          <w:rFonts w:hint="eastAsia" w:ascii="仿宋_GB2312" w:hAnsi="仿宋_GB2312" w:eastAsia="仿宋_GB2312" w:cs="仿宋_GB2312"/>
          <w:b w:val="0"/>
          <w:bCs w:val="0"/>
          <w:sz w:val="32"/>
          <w:szCs w:val="32"/>
        </w:rPr>
        <w:t>2022年预算</w:t>
      </w:r>
      <w:r>
        <w:rPr>
          <w:rFonts w:hint="eastAsia" w:ascii="仿宋_GB2312" w:hAnsi="仿宋_GB2312" w:eastAsia="仿宋_GB2312" w:cs="仿宋_GB2312"/>
          <w:b w:val="0"/>
          <w:bCs w:val="0"/>
          <w:sz w:val="32"/>
          <w:szCs w:val="32"/>
          <w:lang w:val="en-US" w:eastAsia="zh-CN"/>
        </w:rPr>
        <w:t>26.64</w:t>
      </w:r>
      <w:r>
        <w:rPr>
          <w:rFonts w:hint="eastAsia" w:ascii="仿宋_GB2312" w:hAnsi="仿宋_GB2312" w:eastAsia="仿宋_GB2312" w:cs="仿宋_GB2312"/>
          <w:b w:val="0"/>
          <w:bCs w:val="0"/>
          <w:sz w:val="32"/>
          <w:szCs w:val="32"/>
        </w:rPr>
        <w:t>万元，比2021年预算</w:t>
      </w:r>
      <w:r>
        <w:rPr>
          <w:rFonts w:hint="eastAsia" w:ascii="仿宋_GB2312" w:hAnsi="仿宋_GB2312" w:eastAsia="仿宋_GB2312" w:cs="仿宋_GB2312"/>
          <w:b w:val="0"/>
          <w:bCs w:val="0"/>
          <w:sz w:val="32"/>
          <w:szCs w:val="32"/>
          <w:lang w:eastAsia="zh-CN"/>
        </w:rPr>
        <w:t>增加</w:t>
      </w:r>
      <w:r>
        <w:rPr>
          <w:rFonts w:hint="eastAsia" w:ascii="仿宋_GB2312" w:hAnsi="仿宋_GB2312" w:eastAsia="仿宋_GB2312" w:cs="仿宋_GB2312"/>
          <w:b w:val="0"/>
          <w:bCs w:val="0"/>
          <w:sz w:val="32"/>
          <w:szCs w:val="32"/>
          <w:lang w:val="en-US" w:eastAsia="zh-CN"/>
        </w:rPr>
        <w:t>26.64</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增长</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仿宋" w:eastAsia="仿宋_GB2312"/>
          <w:sz w:val="32"/>
          <w:szCs w:val="32"/>
          <w:highlight w:val="none"/>
          <w:lang w:eastAsia="zh-CN"/>
        </w:rPr>
        <w:t>增长</w:t>
      </w:r>
      <w:r>
        <w:rPr>
          <w:rFonts w:hint="eastAsia" w:ascii="仿宋_GB2312" w:hAnsi="仿宋" w:eastAsia="仿宋_GB2312"/>
          <w:sz w:val="32"/>
          <w:szCs w:val="32"/>
          <w:highlight w:val="none"/>
        </w:rPr>
        <w:t>原因主要是</w:t>
      </w:r>
      <w:r>
        <w:rPr>
          <w:rFonts w:hint="eastAsia" w:ascii="仿宋_GB2312" w:hAnsi="仿宋" w:eastAsia="仿宋_GB2312"/>
          <w:sz w:val="32"/>
          <w:szCs w:val="32"/>
          <w:highlight w:val="none"/>
          <w:lang w:eastAsia="zh-CN"/>
        </w:rPr>
        <w:t>项目调整，财政事务行政运行减少</w:t>
      </w:r>
      <w:r>
        <w:rPr>
          <w:rFonts w:hint="eastAsia" w:ascii="仿宋_GB2312" w:hAnsi="仿宋" w:eastAsia="仿宋_GB2312"/>
          <w:sz w:val="32"/>
          <w:szCs w:val="32"/>
          <w:highlight w:val="none"/>
        </w:rPr>
        <w:t>。</w:t>
      </w:r>
    </w:p>
    <w:p>
      <w:pPr>
        <w:ind w:firstLine="643"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17</w:t>
      </w:r>
      <w:r>
        <w:rPr>
          <w:rFonts w:hint="eastAsia" w:ascii="仿宋_GB2312" w:hAnsi="仿宋_GB2312" w:eastAsia="仿宋_GB2312" w:cs="仿宋_GB2312"/>
          <w:b/>
          <w:bCs/>
          <w:sz w:val="32"/>
          <w:szCs w:val="32"/>
        </w:rPr>
        <w:t>.农林水支出（类）农村综合改革（款）对村级公益事业建设的补助（项）</w:t>
      </w:r>
      <w:r>
        <w:rPr>
          <w:rFonts w:hint="eastAsia" w:ascii="仿宋_GB2312" w:hAnsi="仿宋_GB2312" w:eastAsia="仿宋_GB2312" w:cs="仿宋_GB2312"/>
          <w:b w:val="0"/>
          <w:bCs w:val="0"/>
          <w:sz w:val="32"/>
          <w:szCs w:val="32"/>
        </w:rPr>
        <w:t>2022年预算</w:t>
      </w:r>
      <w:r>
        <w:rPr>
          <w:rFonts w:hint="eastAsia" w:ascii="仿宋_GB2312" w:hAnsi="仿宋_GB2312" w:eastAsia="仿宋_GB2312" w:cs="仿宋_GB2312"/>
          <w:b w:val="0"/>
          <w:bCs w:val="0"/>
          <w:sz w:val="32"/>
          <w:szCs w:val="32"/>
          <w:lang w:val="en-US" w:eastAsia="zh-CN"/>
        </w:rPr>
        <w:t>53</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与去年持平。</w:t>
      </w:r>
    </w:p>
    <w:p>
      <w:pPr>
        <w:ind w:firstLine="643" w:firstLineChars="200"/>
        <w:rPr>
          <w:rFonts w:hint="eastAsia"/>
        </w:rPr>
      </w:pPr>
      <w:r>
        <w:rPr>
          <w:rFonts w:hint="eastAsia" w:ascii="仿宋_GB2312" w:hAnsi="仿宋_GB2312" w:eastAsia="仿宋_GB2312" w:cs="仿宋_GB2312"/>
          <w:b/>
          <w:bCs/>
          <w:sz w:val="32"/>
          <w:szCs w:val="32"/>
          <w:lang w:val="en-US" w:eastAsia="zh-CN"/>
        </w:rPr>
        <w:t>18</w:t>
      </w:r>
      <w:r>
        <w:rPr>
          <w:rFonts w:hint="eastAsia" w:ascii="仿宋_GB2312" w:hAnsi="仿宋_GB2312" w:eastAsia="仿宋_GB2312" w:cs="仿宋_GB2312"/>
          <w:b/>
          <w:bCs/>
          <w:sz w:val="32"/>
          <w:szCs w:val="32"/>
        </w:rPr>
        <w:t>.农林水支出（类）普惠金融发展支出（款）农业保险保费补贴（项）</w:t>
      </w:r>
      <w:r>
        <w:rPr>
          <w:rFonts w:hint="eastAsia" w:ascii="仿宋_GB2312" w:hAnsi="仿宋_GB2312" w:eastAsia="仿宋_GB2312" w:cs="仿宋_GB2312"/>
          <w:b w:val="0"/>
          <w:bCs w:val="0"/>
          <w:sz w:val="32"/>
          <w:szCs w:val="32"/>
        </w:rPr>
        <w:t>2022年预算</w:t>
      </w:r>
      <w:r>
        <w:rPr>
          <w:rFonts w:hint="eastAsia" w:ascii="仿宋_GB2312" w:hAnsi="仿宋_GB2312" w:eastAsia="仿宋_GB2312" w:cs="仿宋_GB2312"/>
          <w:b w:val="0"/>
          <w:bCs w:val="0"/>
          <w:sz w:val="32"/>
          <w:szCs w:val="32"/>
          <w:lang w:val="en-US" w:eastAsia="zh-CN"/>
        </w:rPr>
        <w:t>30</w:t>
      </w:r>
      <w:r>
        <w:rPr>
          <w:rFonts w:hint="eastAsia" w:ascii="仿宋_GB2312" w:hAnsi="仿宋_GB2312" w:eastAsia="仿宋_GB2312" w:cs="仿宋_GB2312"/>
          <w:b w:val="0"/>
          <w:bCs w:val="0"/>
          <w:sz w:val="32"/>
          <w:szCs w:val="32"/>
        </w:rPr>
        <w:t>万元，比2021年预算</w:t>
      </w:r>
      <w:r>
        <w:rPr>
          <w:rFonts w:hint="eastAsia" w:ascii="仿宋_GB2312" w:hAnsi="仿宋_GB2312" w:eastAsia="仿宋_GB2312" w:cs="仿宋_GB2312"/>
          <w:b w:val="0"/>
          <w:bCs w:val="0"/>
          <w:sz w:val="32"/>
          <w:szCs w:val="32"/>
          <w:lang w:eastAsia="zh-CN"/>
        </w:rPr>
        <w:t>增加</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增长</w:t>
      </w:r>
      <w:r>
        <w:rPr>
          <w:rFonts w:hint="eastAsia" w:ascii="仿宋_GB2312" w:hAnsi="仿宋_GB2312" w:eastAsia="仿宋_GB2312" w:cs="仿宋_GB2312"/>
          <w:b w:val="0"/>
          <w:bCs w:val="0"/>
          <w:sz w:val="32"/>
          <w:szCs w:val="32"/>
          <w:lang w:val="en-US" w:eastAsia="zh-CN"/>
        </w:rPr>
        <w:t>50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增长</w:t>
      </w:r>
      <w:r>
        <w:rPr>
          <w:rFonts w:hint="eastAsia" w:ascii="仿宋_GB2312" w:hAnsi="仿宋_GB2312" w:eastAsia="仿宋_GB2312" w:cs="仿宋_GB2312"/>
          <w:b w:val="0"/>
          <w:bCs w:val="0"/>
          <w:color w:val="000000" w:themeColor="text1"/>
          <w:sz w:val="32"/>
          <w:szCs w:val="32"/>
          <w14:textFill>
            <w14:solidFill>
              <w14:schemeClr w14:val="tx1"/>
            </w14:solidFill>
          </w14:textFill>
        </w:rPr>
        <w:t>原因主要是</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农业保险承保地亩数增加</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adjustRightInd w:val="0"/>
        <w:snapToGrid w:val="0"/>
        <w:spacing w:line="600" w:lineRule="exact"/>
        <w:ind w:firstLine="643" w:firstLineChars="200"/>
        <w:rPr>
          <w:rFonts w:hint="eastAsia" w:ascii="仿宋_GB2312" w:hAnsi="仿宋" w:eastAsia="仿宋_GB2312"/>
          <w:color w:val="C00000"/>
          <w:sz w:val="32"/>
          <w:szCs w:val="32"/>
        </w:rPr>
      </w:pPr>
      <w:r>
        <w:rPr>
          <w:rFonts w:hint="eastAsia" w:ascii="仿宋_GB2312" w:hAnsi="仿宋" w:eastAsia="仿宋_GB2312"/>
          <w:b/>
          <w:sz w:val="32"/>
          <w:szCs w:val="32"/>
          <w:lang w:val="en-US" w:eastAsia="zh-CN"/>
        </w:rPr>
        <w:t>19</w:t>
      </w:r>
      <w:r>
        <w:rPr>
          <w:rFonts w:hint="eastAsia" w:ascii="仿宋_GB2312" w:hAnsi="仿宋" w:eastAsia="仿宋_GB2312"/>
          <w:b/>
          <w:sz w:val="32"/>
          <w:szCs w:val="32"/>
        </w:rPr>
        <w:t>.住房保障支出（类）住房改革支出（款）住房公积金（项）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48.54</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24.54</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33.58</w:t>
      </w:r>
      <w:r>
        <w:rPr>
          <w:rFonts w:hint="eastAsia" w:ascii="仿宋_GB2312" w:hAnsi="仿宋" w:eastAsia="仿宋_GB2312"/>
          <w:sz w:val="32"/>
          <w:szCs w:val="32"/>
        </w:rPr>
        <w:t>%，</w:t>
      </w:r>
      <w:r>
        <w:rPr>
          <w:rFonts w:hint="eastAsia" w:ascii="仿宋_GB2312" w:hAnsi="仿宋" w:eastAsia="仿宋_GB2312"/>
          <w:sz w:val="32"/>
          <w:szCs w:val="32"/>
          <w:highlight w:val="none"/>
        </w:rPr>
        <w:t>下降原因主要是</w:t>
      </w:r>
      <w:r>
        <w:rPr>
          <w:rFonts w:hint="eastAsia" w:ascii="仿宋_GB2312" w:hAnsi="仿宋" w:eastAsia="仿宋_GB2312"/>
          <w:sz w:val="32"/>
          <w:szCs w:val="32"/>
          <w:highlight w:val="none"/>
          <w:lang w:eastAsia="zh-CN"/>
        </w:rPr>
        <w:t>增加提租补贴购房补贴项</w:t>
      </w:r>
      <w:r>
        <w:rPr>
          <w:rFonts w:hint="eastAsia" w:ascii="仿宋_GB2312" w:hAnsi="仿宋" w:eastAsia="仿宋_GB2312"/>
          <w:sz w:val="32"/>
          <w:szCs w:val="32"/>
          <w:highlight w:val="none"/>
        </w:rPr>
        <w:t>。</w:t>
      </w:r>
    </w:p>
    <w:p>
      <w:pPr>
        <w:pStyle w:val="6"/>
        <w:jc w:val="left"/>
        <w:rPr>
          <w:rFonts w:hint="eastAsia" w:ascii="仿宋_GB2312" w:hAnsi="仿宋" w:eastAsia="仿宋_GB2312" w:cs="仿宋_GB2312"/>
          <w:b w:val="0"/>
          <w:bCs w:val="0"/>
          <w:sz w:val="32"/>
          <w:szCs w:val="32"/>
          <w:highlight w:val="none"/>
        </w:rPr>
      </w:pPr>
      <w:r>
        <w:rPr>
          <w:rFonts w:hint="eastAsia" w:ascii="仿宋_GB2312" w:hAnsi="仿宋" w:eastAsia="仿宋_GB2312"/>
          <w:b/>
          <w:sz w:val="32"/>
          <w:szCs w:val="32"/>
          <w:lang w:val="en-US" w:eastAsia="zh-CN"/>
        </w:rPr>
        <w:t>20</w:t>
      </w:r>
      <w:r>
        <w:rPr>
          <w:rFonts w:hint="eastAsia" w:ascii="仿宋_GB2312" w:hAnsi="仿宋" w:eastAsia="仿宋_GB2312"/>
          <w:b/>
          <w:sz w:val="32"/>
          <w:szCs w:val="32"/>
        </w:rPr>
        <w:t>.住房保障支出（类）住房改革支出（款）</w:t>
      </w:r>
      <w:r>
        <w:rPr>
          <w:rFonts w:hint="eastAsia" w:ascii="仿宋_GB2312" w:hAnsi="仿宋" w:eastAsia="仿宋_GB2312"/>
          <w:b/>
          <w:sz w:val="32"/>
          <w:szCs w:val="32"/>
          <w:lang w:eastAsia="zh-CN"/>
        </w:rPr>
        <w:t>提租补贴</w:t>
      </w:r>
      <w:r>
        <w:rPr>
          <w:rFonts w:hint="eastAsia" w:ascii="仿宋_GB2312" w:hAnsi="仿宋" w:eastAsia="仿宋_GB2312"/>
          <w:b/>
          <w:sz w:val="32"/>
          <w:szCs w:val="32"/>
        </w:rPr>
        <w:t>（项）</w:t>
      </w:r>
      <w:r>
        <w:rPr>
          <w:rFonts w:hint="eastAsia" w:ascii="仿宋_GB2312" w:hAnsi="仿宋" w:eastAsia="仿宋_GB2312"/>
          <w:b w:val="0"/>
          <w:bCs w:val="0"/>
          <w:sz w:val="32"/>
          <w:szCs w:val="32"/>
          <w:lang w:eastAsia="zh-CN"/>
        </w:rPr>
        <w:t>2022</w:t>
      </w:r>
      <w:r>
        <w:rPr>
          <w:rFonts w:hint="eastAsia" w:ascii="仿宋_GB2312" w:hAnsi="仿宋" w:eastAsia="仿宋_GB2312"/>
          <w:b w:val="0"/>
          <w:bCs w:val="0"/>
          <w:sz w:val="32"/>
          <w:szCs w:val="32"/>
        </w:rPr>
        <w:t>年预算</w:t>
      </w:r>
      <w:r>
        <w:rPr>
          <w:rFonts w:hint="eastAsia" w:ascii="仿宋_GB2312" w:hAnsi="仿宋" w:eastAsia="仿宋_GB2312"/>
          <w:b w:val="0"/>
          <w:bCs w:val="0"/>
          <w:sz w:val="32"/>
          <w:szCs w:val="32"/>
          <w:lang w:val="en-US" w:eastAsia="zh-CN"/>
        </w:rPr>
        <w:t>18.83</w:t>
      </w:r>
      <w:r>
        <w:rPr>
          <w:rFonts w:hint="eastAsia" w:ascii="仿宋_GB2312" w:hAnsi="仿宋" w:eastAsia="仿宋_GB2312"/>
          <w:b w:val="0"/>
          <w:bCs w:val="0"/>
          <w:sz w:val="32"/>
          <w:szCs w:val="32"/>
        </w:rPr>
        <w:t>万元，比</w:t>
      </w:r>
      <w:r>
        <w:rPr>
          <w:rFonts w:hint="eastAsia" w:ascii="仿宋_GB2312" w:hAnsi="仿宋" w:eastAsia="仿宋_GB2312"/>
          <w:b w:val="0"/>
          <w:bCs w:val="0"/>
          <w:sz w:val="32"/>
          <w:szCs w:val="32"/>
          <w:lang w:eastAsia="zh-CN"/>
        </w:rPr>
        <w:t>2021</w:t>
      </w:r>
      <w:r>
        <w:rPr>
          <w:rFonts w:hint="eastAsia" w:ascii="仿宋_GB2312" w:hAnsi="仿宋" w:eastAsia="仿宋_GB2312"/>
          <w:b w:val="0"/>
          <w:bCs w:val="0"/>
          <w:sz w:val="32"/>
          <w:szCs w:val="32"/>
        </w:rPr>
        <w:t>年预算</w:t>
      </w:r>
      <w:r>
        <w:rPr>
          <w:rFonts w:hint="eastAsia" w:ascii="仿宋_GB2312" w:hAnsi="仿宋" w:eastAsia="仿宋_GB2312"/>
          <w:b w:val="0"/>
          <w:bCs w:val="0"/>
          <w:sz w:val="32"/>
          <w:szCs w:val="32"/>
          <w:lang w:eastAsia="zh-CN"/>
        </w:rPr>
        <w:t>增加</w:t>
      </w:r>
      <w:r>
        <w:rPr>
          <w:rFonts w:hint="eastAsia" w:ascii="仿宋_GB2312" w:hAnsi="仿宋" w:eastAsia="仿宋_GB2312"/>
          <w:b w:val="0"/>
          <w:bCs w:val="0"/>
          <w:sz w:val="32"/>
          <w:szCs w:val="32"/>
          <w:lang w:val="en-US" w:eastAsia="zh-CN"/>
        </w:rPr>
        <w:t>18.83</w:t>
      </w:r>
      <w:r>
        <w:rPr>
          <w:rFonts w:hint="eastAsia" w:ascii="仿宋_GB2312" w:hAnsi="仿宋" w:eastAsia="仿宋_GB2312"/>
          <w:b w:val="0"/>
          <w:bCs w:val="0"/>
          <w:sz w:val="32"/>
          <w:szCs w:val="32"/>
        </w:rPr>
        <w:t>万元，</w:t>
      </w:r>
      <w:r>
        <w:rPr>
          <w:rFonts w:hint="eastAsia" w:ascii="仿宋_GB2312" w:hAnsi="仿宋" w:eastAsia="仿宋_GB2312"/>
          <w:b w:val="0"/>
          <w:bCs w:val="0"/>
          <w:sz w:val="32"/>
          <w:szCs w:val="32"/>
          <w:lang w:eastAsia="zh-CN"/>
        </w:rPr>
        <w:t>增长</w:t>
      </w:r>
      <w:r>
        <w:rPr>
          <w:rFonts w:hint="eastAsia" w:ascii="仿宋_GB2312" w:hAnsi="仿宋" w:eastAsia="仿宋_GB2312"/>
          <w:b w:val="0"/>
          <w:bCs w:val="0"/>
          <w:sz w:val="32"/>
          <w:szCs w:val="32"/>
          <w:lang w:val="en-US" w:eastAsia="zh-CN"/>
        </w:rPr>
        <w:t>100</w:t>
      </w:r>
      <w:r>
        <w:rPr>
          <w:rFonts w:hint="eastAsia" w:ascii="仿宋_GB2312" w:hAnsi="仿宋" w:eastAsia="仿宋_GB2312"/>
          <w:b w:val="0"/>
          <w:bCs w:val="0"/>
          <w:sz w:val="32"/>
          <w:szCs w:val="32"/>
        </w:rPr>
        <w:t>%，</w:t>
      </w:r>
      <w:r>
        <w:rPr>
          <w:rFonts w:hint="eastAsia" w:ascii="仿宋_GB2312" w:hAnsi="仿宋" w:eastAsia="仿宋_GB2312" w:cs="仿宋_GB2312"/>
          <w:b w:val="0"/>
          <w:bCs w:val="0"/>
          <w:sz w:val="32"/>
          <w:szCs w:val="32"/>
          <w:highlight w:val="none"/>
        </w:rPr>
        <w:t>增长原因主要是功能科目变动。</w:t>
      </w:r>
    </w:p>
    <w:p>
      <w:pPr>
        <w:ind w:firstLine="643" w:firstLineChars="200"/>
      </w:pPr>
      <w:r>
        <w:rPr>
          <w:rFonts w:hint="eastAsia" w:ascii="仿宋_GB2312" w:hAnsi="仿宋" w:eastAsia="仿宋_GB2312"/>
          <w:b/>
          <w:sz w:val="32"/>
          <w:szCs w:val="32"/>
          <w:lang w:val="en-US" w:eastAsia="zh-CN"/>
        </w:rPr>
        <w:t>21</w:t>
      </w:r>
      <w:r>
        <w:rPr>
          <w:rFonts w:hint="eastAsia" w:ascii="仿宋_GB2312" w:hAnsi="仿宋" w:eastAsia="仿宋_GB2312"/>
          <w:b/>
          <w:sz w:val="32"/>
          <w:szCs w:val="32"/>
        </w:rPr>
        <w:t>.住房保障支出（类）住房改革支出（款）</w:t>
      </w:r>
      <w:r>
        <w:rPr>
          <w:rFonts w:hint="eastAsia" w:ascii="仿宋_GB2312" w:hAnsi="仿宋" w:eastAsia="仿宋_GB2312"/>
          <w:b/>
          <w:sz w:val="32"/>
          <w:szCs w:val="32"/>
          <w:lang w:eastAsia="zh-CN"/>
        </w:rPr>
        <w:t>购房补贴</w:t>
      </w:r>
      <w:r>
        <w:rPr>
          <w:rFonts w:hint="eastAsia" w:ascii="仿宋_GB2312" w:hAnsi="仿宋" w:eastAsia="仿宋_GB2312"/>
          <w:b/>
          <w:sz w:val="32"/>
          <w:szCs w:val="32"/>
        </w:rPr>
        <w:t>（项）</w:t>
      </w:r>
      <w:r>
        <w:rPr>
          <w:rFonts w:hint="eastAsia" w:ascii="仿宋_GB2312" w:hAnsi="仿宋" w:eastAsia="仿宋_GB2312"/>
          <w:b w:val="0"/>
          <w:bCs w:val="0"/>
          <w:sz w:val="32"/>
          <w:szCs w:val="32"/>
          <w:lang w:eastAsia="zh-CN"/>
        </w:rPr>
        <w:t>2022</w:t>
      </w:r>
      <w:r>
        <w:rPr>
          <w:rFonts w:hint="eastAsia" w:ascii="仿宋_GB2312" w:hAnsi="仿宋" w:eastAsia="仿宋_GB2312"/>
          <w:b w:val="0"/>
          <w:bCs w:val="0"/>
          <w:sz w:val="32"/>
          <w:szCs w:val="32"/>
        </w:rPr>
        <w:t>年预算</w:t>
      </w:r>
      <w:r>
        <w:rPr>
          <w:rFonts w:hint="eastAsia" w:ascii="仿宋_GB2312" w:hAnsi="仿宋" w:eastAsia="仿宋_GB2312"/>
          <w:b w:val="0"/>
          <w:bCs w:val="0"/>
          <w:sz w:val="32"/>
          <w:szCs w:val="32"/>
          <w:lang w:val="en-US" w:eastAsia="zh-CN"/>
        </w:rPr>
        <w:t>20.23</w:t>
      </w:r>
      <w:r>
        <w:rPr>
          <w:rFonts w:hint="eastAsia" w:ascii="仿宋_GB2312" w:hAnsi="仿宋" w:eastAsia="仿宋_GB2312"/>
          <w:b w:val="0"/>
          <w:bCs w:val="0"/>
          <w:sz w:val="32"/>
          <w:szCs w:val="32"/>
        </w:rPr>
        <w:t>万元，比</w:t>
      </w:r>
      <w:r>
        <w:rPr>
          <w:rFonts w:hint="eastAsia" w:ascii="仿宋_GB2312" w:hAnsi="仿宋" w:eastAsia="仿宋_GB2312"/>
          <w:b w:val="0"/>
          <w:bCs w:val="0"/>
          <w:sz w:val="32"/>
          <w:szCs w:val="32"/>
          <w:lang w:eastAsia="zh-CN"/>
        </w:rPr>
        <w:t>2021</w:t>
      </w:r>
      <w:r>
        <w:rPr>
          <w:rFonts w:hint="eastAsia" w:ascii="仿宋_GB2312" w:hAnsi="仿宋" w:eastAsia="仿宋_GB2312"/>
          <w:b w:val="0"/>
          <w:bCs w:val="0"/>
          <w:sz w:val="32"/>
          <w:szCs w:val="32"/>
        </w:rPr>
        <w:t>年预算</w:t>
      </w:r>
      <w:r>
        <w:rPr>
          <w:rFonts w:hint="eastAsia" w:ascii="仿宋_GB2312" w:hAnsi="仿宋" w:eastAsia="仿宋_GB2312"/>
          <w:b w:val="0"/>
          <w:bCs w:val="0"/>
          <w:sz w:val="32"/>
          <w:szCs w:val="32"/>
          <w:lang w:eastAsia="zh-CN"/>
        </w:rPr>
        <w:t>增加</w:t>
      </w:r>
      <w:r>
        <w:rPr>
          <w:rFonts w:hint="eastAsia" w:ascii="仿宋_GB2312" w:hAnsi="仿宋" w:eastAsia="仿宋_GB2312"/>
          <w:b w:val="0"/>
          <w:bCs w:val="0"/>
          <w:sz w:val="32"/>
          <w:szCs w:val="32"/>
          <w:lang w:val="en-US" w:eastAsia="zh-CN"/>
        </w:rPr>
        <w:t>20.23</w:t>
      </w:r>
      <w:r>
        <w:rPr>
          <w:rFonts w:hint="eastAsia" w:ascii="仿宋_GB2312" w:hAnsi="仿宋" w:eastAsia="仿宋_GB2312"/>
          <w:b w:val="0"/>
          <w:bCs w:val="0"/>
          <w:sz w:val="32"/>
          <w:szCs w:val="32"/>
        </w:rPr>
        <w:t>万元，</w:t>
      </w:r>
      <w:r>
        <w:rPr>
          <w:rFonts w:hint="eastAsia" w:ascii="仿宋_GB2312" w:hAnsi="仿宋" w:eastAsia="仿宋_GB2312"/>
          <w:b w:val="0"/>
          <w:bCs w:val="0"/>
          <w:sz w:val="32"/>
          <w:szCs w:val="32"/>
          <w:lang w:eastAsia="zh-CN"/>
        </w:rPr>
        <w:t>增长</w:t>
      </w:r>
      <w:r>
        <w:rPr>
          <w:rFonts w:hint="eastAsia" w:ascii="仿宋_GB2312" w:hAnsi="仿宋" w:eastAsia="仿宋_GB2312"/>
          <w:b w:val="0"/>
          <w:bCs w:val="0"/>
          <w:sz w:val="32"/>
          <w:szCs w:val="32"/>
          <w:lang w:val="en-US" w:eastAsia="zh-CN"/>
        </w:rPr>
        <w:t>100</w:t>
      </w:r>
      <w:r>
        <w:rPr>
          <w:rFonts w:hint="eastAsia" w:ascii="仿宋_GB2312" w:hAnsi="仿宋" w:eastAsia="仿宋_GB2312"/>
          <w:b w:val="0"/>
          <w:bCs w:val="0"/>
          <w:sz w:val="32"/>
          <w:szCs w:val="32"/>
        </w:rPr>
        <w:t>%，</w:t>
      </w:r>
      <w:r>
        <w:rPr>
          <w:rFonts w:hint="eastAsia" w:ascii="仿宋_GB2312" w:hAnsi="仿宋" w:eastAsia="仿宋_GB2312" w:cs="仿宋_GB2312"/>
          <w:b w:val="0"/>
          <w:bCs w:val="0"/>
          <w:sz w:val="32"/>
          <w:szCs w:val="32"/>
          <w:highlight w:val="none"/>
        </w:rPr>
        <w:t>增长原因主要是功能科目变动。</w:t>
      </w:r>
    </w:p>
    <w:p>
      <w:pPr>
        <w:pStyle w:val="5"/>
        <w:adjustRightInd w:val="0"/>
        <w:snapToGrid w:val="0"/>
        <w:spacing w:before="0" w:beforeAutospacing="0" w:after="0" w:afterAutospacing="0" w:line="600" w:lineRule="exact"/>
        <w:ind w:firstLine="640" w:firstLineChars="200"/>
        <w:rPr>
          <w:rFonts w:ascii="黑体" w:eastAsia="黑体"/>
          <w:color w:val="000000" w:themeColor="text1"/>
          <w14:textFill>
            <w14:solidFill>
              <w14:schemeClr w14:val="tx1"/>
            </w14:solidFill>
          </w14:textFill>
        </w:rPr>
      </w:pPr>
      <w:r>
        <w:rPr>
          <w:rFonts w:hint="eastAsia" w:ascii="黑体" w:hAnsi="仿宋" w:eastAsia="黑体" w:cs="Times New Roman"/>
          <w:color w:val="000000" w:themeColor="text1"/>
          <w:kern w:val="2"/>
          <w:sz w:val="32"/>
          <w:szCs w:val="32"/>
          <w14:textFill>
            <w14:solidFill>
              <w14:schemeClr w14:val="tx1"/>
            </w14:solidFill>
          </w14:textFill>
        </w:rPr>
        <w:t>六、关于</w:t>
      </w:r>
      <w:r>
        <w:rPr>
          <w:rFonts w:hint="eastAsia" w:ascii="黑体" w:hAnsi="仿宋" w:eastAsia="黑体" w:cs="Times New Roman"/>
          <w:color w:val="000000" w:themeColor="text1"/>
          <w:kern w:val="2"/>
          <w:sz w:val="32"/>
          <w:szCs w:val="32"/>
          <w:lang w:eastAsia="zh-CN"/>
          <w14:textFill>
            <w14:solidFill>
              <w14:schemeClr w14:val="tx1"/>
            </w14:solidFill>
          </w14:textFill>
        </w:rPr>
        <w:t>2022</w:t>
      </w:r>
      <w:r>
        <w:rPr>
          <w:rFonts w:hint="eastAsia" w:ascii="黑体" w:hAnsi="仿宋" w:eastAsia="黑体" w:cs="Times New Roman"/>
          <w:color w:val="000000" w:themeColor="text1"/>
          <w:kern w:val="2"/>
          <w:sz w:val="32"/>
          <w:szCs w:val="32"/>
          <w14:textFill>
            <w14:solidFill>
              <w14:schemeClr w14:val="tx1"/>
            </w14:solidFill>
          </w14:textFill>
        </w:rPr>
        <w:t>年一般公共预算基本支出表的说明</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相山区财政局2022</w:t>
      </w:r>
      <w:r>
        <w:rPr>
          <w:rFonts w:hint="eastAsia" w:ascii="仿宋_GB2312" w:hAnsi="仿宋" w:eastAsia="仿宋_GB2312"/>
          <w:sz w:val="32"/>
          <w:szCs w:val="32"/>
        </w:rPr>
        <w:t>年一般公共预算基本支出</w:t>
      </w:r>
      <w:r>
        <w:rPr>
          <w:rFonts w:hint="eastAsia" w:ascii="仿宋_GB2312" w:hAnsi="仿宋" w:eastAsia="仿宋_GB2312"/>
          <w:sz w:val="32"/>
          <w:szCs w:val="32"/>
          <w:lang w:val="en-US" w:eastAsia="zh-CN"/>
        </w:rPr>
        <w:t>574.94</w:t>
      </w:r>
      <w:r>
        <w:rPr>
          <w:rFonts w:hint="eastAsia" w:ascii="仿宋_GB2312" w:hAnsi="仿宋" w:eastAsia="仿宋_GB2312"/>
          <w:sz w:val="32"/>
          <w:szCs w:val="32"/>
        </w:rPr>
        <w:t>万元，其中，人员经费</w:t>
      </w:r>
      <w:r>
        <w:rPr>
          <w:rFonts w:hint="eastAsia" w:ascii="仿宋_GB2312" w:hAnsi="仿宋" w:eastAsia="仿宋_GB2312"/>
          <w:sz w:val="32"/>
          <w:szCs w:val="32"/>
          <w:lang w:val="en-US" w:eastAsia="zh-CN"/>
        </w:rPr>
        <w:t>517.28</w:t>
      </w:r>
      <w:r>
        <w:rPr>
          <w:rFonts w:hint="eastAsia" w:ascii="仿宋_GB2312" w:hAnsi="仿宋" w:eastAsia="仿宋_GB2312"/>
          <w:sz w:val="32"/>
          <w:szCs w:val="32"/>
        </w:rPr>
        <w:t>万元，公用经费</w:t>
      </w:r>
      <w:r>
        <w:rPr>
          <w:rFonts w:hint="eastAsia" w:ascii="仿宋_GB2312" w:hAnsi="仿宋" w:eastAsia="仿宋_GB2312"/>
          <w:sz w:val="32"/>
          <w:szCs w:val="32"/>
          <w:lang w:val="en-US" w:eastAsia="zh-CN"/>
        </w:rPr>
        <w:t>57.66</w:t>
      </w:r>
      <w:r>
        <w:rPr>
          <w:rFonts w:hint="eastAsia" w:ascii="仿宋_GB2312" w:hAnsi="仿宋" w:eastAsia="仿宋_GB2312"/>
          <w:sz w:val="32"/>
          <w:szCs w:val="32"/>
        </w:rPr>
        <w:t>万元。</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（一）人员经费</w:t>
      </w:r>
      <w:r>
        <w:rPr>
          <w:rFonts w:hint="eastAsia" w:ascii="仿宋_GB2312" w:hAnsi="仿宋" w:eastAsia="仿宋_GB2312"/>
          <w:sz w:val="32"/>
          <w:szCs w:val="32"/>
          <w:lang w:val="en-US" w:eastAsia="zh-CN"/>
        </w:rPr>
        <w:t>517.28</w:t>
      </w:r>
      <w:r>
        <w:rPr>
          <w:rFonts w:hint="eastAsia" w:ascii="仿宋_GB2312" w:hAnsi="仿宋" w:eastAsia="仿宋_GB2312"/>
          <w:sz w:val="32"/>
          <w:szCs w:val="32"/>
        </w:rPr>
        <w:t>万元，主要包括:</w:t>
      </w:r>
      <w:r>
        <w:rPr>
          <w:rFonts w:hint="eastAsia" w:ascii="仿宋_GB2312" w:hAnsi="仿宋" w:eastAsia="仿宋_GB2312"/>
          <w:sz w:val="32"/>
          <w:szCs w:val="32"/>
          <w:u w:val="none"/>
        </w:rPr>
        <w:t>基本工资、津贴补贴、奖金、绩效工资、机关事业单位基本养老保险费、职业年金缴费、职工基本医疗保险缴费、公务员医疗补助缴费、其他社会保障缴费、住房公积金、其他工资福利支出</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培训费、工会经费、福利费、其他商品服务支出、</w:t>
      </w:r>
      <w:r>
        <w:rPr>
          <w:rFonts w:hint="eastAsia" w:ascii="仿宋_GB2312" w:hAnsi="仿宋" w:eastAsia="仿宋_GB2312" w:cs="仿宋_GB2312"/>
          <w:sz w:val="32"/>
          <w:szCs w:val="32"/>
          <w:lang w:eastAsia="zh-CN"/>
        </w:rPr>
        <w:t>退休费、</w:t>
      </w:r>
      <w:r>
        <w:rPr>
          <w:rFonts w:hint="eastAsia" w:ascii="仿宋_GB2312" w:hAnsi="仿宋" w:eastAsia="仿宋_GB2312"/>
          <w:sz w:val="32"/>
          <w:szCs w:val="32"/>
          <w:u w:val="none"/>
        </w:rPr>
        <w:t>医疗费、</w:t>
      </w:r>
      <w:r>
        <w:rPr>
          <w:rFonts w:hint="eastAsia" w:ascii="仿宋_GB2312" w:hAnsi="仿宋" w:eastAsia="仿宋_GB2312" w:cs="仿宋_GB2312"/>
          <w:sz w:val="32"/>
          <w:szCs w:val="32"/>
        </w:rPr>
        <w:t>其他对个人和家庭的补助支出。</w:t>
      </w:r>
    </w:p>
    <w:p>
      <w:pPr>
        <w:ind w:firstLine="640" w:firstLineChars="200"/>
        <w:rPr>
          <w:rFonts w:ascii="仿宋_GB2312" w:hAnsi="仿宋" w:eastAsia="仿宋_GB2312"/>
          <w:sz w:val="32"/>
          <w:szCs w:val="32"/>
          <w:u w:val="none"/>
        </w:rPr>
      </w:pPr>
      <w:r>
        <w:rPr>
          <w:rFonts w:hint="eastAsia" w:ascii="仿宋_GB2312" w:hAnsi="仿宋" w:eastAsia="仿宋_GB2312"/>
          <w:sz w:val="32"/>
          <w:szCs w:val="32"/>
        </w:rPr>
        <w:t>（二）公用经费</w:t>
      </w:r>
      <w:r>
        <w:rPr>
          <w:rFonts w:hint="eastAsia" w:ascii="仿宋_GB2312" w:hAnsi="仿宋" w:eastAsia="仿宋_GB2312"/>
          <w:sz w:val="32"/>
          <w:szCs w:val="32"/>
          <w:lang w:val="en-US" w:eastAsia="zh-CN"/>
        </w:rPr>
        <w:t>57.66</w:t>
      </w:r>
      <w:r>
        <w:rPr>
          <w:rFonts w:hint="eastAsia" w:ascii="仿宋_GB2312" w:hAnsi="仿宋" w:eastAsia="仿宋_GB2312"/>
          <w:sz w:val="32"/>
          <w:szCs w:val="32"/>
        </w:rPr>
        <w:t>万元，主要包括：</w:t>
      </w:r>
      <w:r>
        <w:rPr>
          <w:rFonts w:hint="eastAsia" w:ascii="仿宋_GB2312" w:hAnsi="仿宋" w:eastAsia="仿宋_GB2312"/>
          <w:sz w:val="32"/>
          <w:szCs w:val="32"/>
          <w:u w:val="none"/>
        </w:rPr>
        <w:t>办公费、维修（护）费、公务接待费、委托业务费、其他交通费用、其他商品服务支出。</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w:t>
      </w:r>
      <w:r>
        <w:rPr>
          <w:rFonts w:hint="eastAsia" w:ascii="黑体" w:hAnsi="仿宋" w:eastAsia="黑体"/>
          <w:sz w:val="32"/>
          <w:szCs w:val="32"/>
          <w:lang w:eastAsia="zh-CN"/>
        </w:rPr>
        <w:t>2022</w:t>
      </w:r>
      <w:r>
        <w:rPr>
          <w:rFonts w:hint="eastAsia" w:ascii="黑体" w:hAnsi="仿宋" w:eastAsia="黑体"/>
          <w:sz w:val="32"/>
          <w:szCs w:val="32"/>
        </w:rPr>
        <w:t>年政府性基金预算支出表的说明</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left="0" w:leftChars="0" w:right="0" w:rightChars="0" w:firstLine="0" w:firstLineChars="0"/>
        <w:jc w:val="both"/>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相山区财政局2022</w:t>
      </w:r>
      <w:r>
        <w:rPr>
          <w:rFonts w:hint="eastAsia" w:ascii="仿宋_GB2312" w:hAnsi="仿宋" w:eastAsia="仿宋_GB2312"/>
          <w:sz w:val="32"/>
          <w:szCs w:val="32"/>
        </w:rPr>
        <w:t>年没有政府性基金预算拨款收入，也没有使用政府性基金预算拨款安排的支出。</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w:t>
      </w:r>
      <w:r>
        <w:rPr>
          <w:rFonts w:hint="eastAsia" w:ascii="黑体" w:hAnsi="仿宋" w:eastAsia="黑体"/>
          <w:sz w:val="32"/>
          <w:szCs w:val="32"/>
          <w:lang w:eastAsia="zh-CN"/>
        </w:rPr>
        <w:t>2022</w:t>
      </w:r>
      <w:r>
        <w:rPr>
          <w:rFonts w:hint="eastAsia" w:ascii="黑体" w:hAnsi="仿宋" w:eastAsia="黑体"/>
          <w:sz w:val="32"/>
          <w:szCs w:val="32"/>
        </w:rPr>
        <w:t>年国有资本经营预算支出表的说明</w:t>
      </w:r>
    </w:p>
    <w:p>
      <w:pPr>
        <w:pStyle w:val="5"/>
        <w:adjustRightInd w:val="0"/>
        <w:snapToGrid w:val="0"/>
        <w:spacing w:before="0" w:beforeAutospacing="0" w:after="0" w:afterAutospacing="0" w:line="600" w:lineRule="exact"/>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相山区财政局2022</w:t>
      </w:r>
      <w:r>
        <w:rPr>
          <w:rFonts w:hint="eastAsia" w:ascii="仿宋_GB2312" w:hAnsi="仿宋" w:eastAsia="仿宋_GB2312"/>
          <w:sz w:val="32"/>
          <w:szCs w:val="32"/>
        </w:rPr>
        <w:t>年没有国有资本经营预算拨款收入，也没有使用国有资本经营预算拨款安排的支出。</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九、关于</w:t>
      </w:r>
      <w:r>
        <w:rPr>
          <w:rFonts w:hint="eastAsia" w:ascii="黑体" w:hAnsi="仿宋" w:eastAsia="黑体"/>
          <w:sz w:val="32"/>
          <w:szCs w:val="32"/>
          <w:lang w:eastAsia="zh-CN"/>
        </w:rPr>
        <w:t>2022</w:t>
      </w:r>
      <w:r>
        <w:rPr>
          <w:rFonts w:hint="eastAsia" w:ascii="黑体" w:hAnsi="仿宋" w:eastAsia="黑体"/>
          <w:sz w:val="32"/>
          <w:szCs w:val="32"/>
        </w:rPr>
        <w:t>年项目支出表的说明</w:t>
      </w:r>
    </w:p>
    <w:p>
      <w:pPr>
        <w:pStyle w:val="5"/>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相山区财政局2022</w:t>
      </w:r>
      <w:r>
        <w:rPr>
          <w:rFonts w:hint="eastAsia" w:ascii="仿宋_GB2312" w:hAnsi="仿宋" w:eastAsia="仿宋_GB2312"/>
          <w:sz w:val="32"/>
          <w:szCs w:val="32"/>
        </w:rPr>
        <w:t>年预算共安排项目支出</w:t>
      </w:r>
      <w:r>
        <w:rPr>
          <w:rFonts w:hint="eastAsia" w:ascii="仿宋_GB2312" w:hAnsi="仿宋" w:eastAsia="仿宋_GB2312"/>
          <w:sz w:val="32"/>
          <w:szCs w:val="32"/>
          <w:lang w:val="en-US" w:eastAsia="zh-CN"/>
        </w:rPr>
        <w:t>737.2</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317.2</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75.52</w:t>
      </w:r>
      <w:r>
        <w:rPr>
          <w:rFonts w:hint="eastAsia" w:ascii="仿宋_GB2312" w:hAnsi="仿宋" w:eastAsia="仿宋_GB2312"/>
          <w:sz w:val="32"/>
          <w:szCs w:val="32"/>
        </w:rPr>
        <w:t>%，</w:t>
      </w:r>
      <w:r>
        <w:rPr>
          <w:rFonts w:hint="eastAsia" w:ascii="仿宋_GB2312" w:hAnsi="仿宋" w:eastAsia="仿宋_GB2312"/>
          <w:color w:val="000000" w:themeColor="text1"/>
          <w:sz w:val="32"/>
          <w:szCs w:val="32"/>
          <w14:textFill>
            <w14:solidFill>
              <w14:schemeClr w14:val="tx1"/>
            </w14:solidFill>
          </w14:textFill>
        </w:rPr>
        <w:t>增长原因主要</w:t>
      </w:r>
      <w:r>
        <w:rPr>
          <w:rFonts w:hint="eastAsia" w:ascii="仿宋_GB2312" w:hAnsi="仿宋" w:eastAsia="仿宋_GB2312"/>
          <w:color w:val="000000" w:themeColor="text1"/>
          <w:sz w:val="32"/>
          <w:szCs w:val="32"/>
          <w:lang w:eastAsia="zh-CN"/>
          <w14:textFill>
            <w14:solidFill>
              <w14:schemeClr w14:val="tx1"/>
            </w14:solidFill>
          </w14:textFill>
        </w:rPr>
        <w:t>一</w:t>
      </w:r>
      <w:r>
        <w:rPr>
          <w:rFonts w:hint="eastAsia" w:ascii="仿宋_GB2312" w:hAnsi="仿宋" w:eastAsia="仿宋_GB2312"/>
          <w:color w:val="000000" w:themeColor="text1"/>
          <w:sz w:val="32"/>
          <w:szCs w:val="32"/>
          <w14:textFill>
            <w14:solidFill>
              <w14:schemeClr w14:val="tx1"/>
            </w14:solidFill>
          </w14:textFill>
        </w:rPr>
        <w:t>是</w:t>
      </w:r>
      <w:r>
        <w:rPr>
          <w:rFonts w:hint="eastAsia" w:ascii="仿宋_GB2312" w:hAnsi="仿宋" w:eastAsia="仿宋_GB2312"/>
          <w:color w:val="000000" w:themeColor="text1"/>
          <w:sz w:val="32"/>
          <w:szCs w:val="32"/>
          <w:lang w:eastAsia="zh-CN"/>
          <w14:textFill>
            <w14:solidFill>
              <w14:schemeClr w14:val="tx1"/>
            </w14:solidFill>
          </w14:textFill>
        </w:rPr>
        <w:t>工作经费</w:t>
      </w:r>
      <w:r>
        <w:rPr>
          <w:rFonts w:hint="eastAsia" w:ascii="仿宋_GB2312" w:hAnsi="仿宋" w:eastAsia="仿宋_GB2312"/>
          <w:color w:val="000000" w:themeColor="text1"/>
          <w:sz w:val="32"/>
          <w:szCs w:val="32"/>
          <w:lang w:val="en-US" w:eastAsia="zh-CN"/>
          <w14:textFill>
            <w14:solidFill>
              <w14:schemeClr w14:val="tx1"/>
            </w14:solidFill>
          </w14:textFill>
        </w:rPr>
        <w:t>232.56万元</w:t>
      </w:r>
      <w:r>
        <w:rPr>
          <w:rFonts w:hint="eastAsia" w:ascii="仿宋_GB2312" w:hAnsi="仿宋" w:eastAsia="仿宋_GB2312"/>
          <w:color w:val="000000" w:themeColor="text1"/>
          <w:sz w:val="32"/>
          <w:szCs w:val="32"/>
          <w:lang w:eastAsia="zh-CN"/>
          <w14:textFill>
            <w14:solidFill>
              <w14:schemeClr w14:val="tx1"/>
            </w14:solidFill>
          </w14:textFill>
        </w:rPr>
        <w:t>调入项目支出；二是软件升级维护增加</w:t>
      </w:r>
      <w:r>
        <w:rPr>
          <w:rFonts w:hint="eastAsia" w:ascii="仿宋_GB2312" w:hAnsi="仿宋" w:eastAsia="仿宋_GB2312"/>
          <w:color w:val="000000" w:themeColor="text1"/>
          <w:sz w:val="32"/>
          <w:szCs w:val="32"/>
          <w:lang w:val="en-US" w:eastAsia="zh-CN"/>
          <w14:textFill>
            <w14:solidFill>
              <w14:schemeClr w14:val="tx1"/>
            </w14:solidFill>
          </w14:textFill>
        </w:rPr>
        <w:t>62万元，企业新三板、四板挂牌奖励金增加10万元，政策性农业保险增加10万元，选派干部增加2.64万元</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sz w:val="32"/>
          <w:szCs w:val="32"/>
        </w:rPr>
        <w:t>主要包括：本年财政拨款安排</w:t>
      </w:r>
      <w:r>
        <w:rPr>
          <w:rFonts w:hint="eastAsia" w:ascii="仿宋_GB2312" w:hAnsi="仿宋" w:eastAsia="仿宋_GB2312"/>
          <w:sz w:val="32"/>
          <w:szCs w:val="32"/>
          <w:lang w:val="en-US" w:eastAsia="zh-CN"/>
        </w:rPr>
        <w:t>737.2</w:t>
      </w:r>
      <w:r>
        <w:rPr>
          <w:rFonts w:hint="eastAsia" w:ascii="仿宋_GB2312" w:hAnsi="仿宋" w:eastAsia="仿宋_GB2312"/>
          <w:sz w:val="32"/>
          <w:szCs w:val="32"/>
        </w:rPr>
        <w:t>万元（</w:t>
      </w:r>
      <w:r>
        <w:rPr>
          <w:rFonts w:hint="eastAsia" w:ascii="仿宋_GB2312" w:hAnsi="仿宋" w:eastAsia="仿宋_GB2312"/>
          <w:sz w:val="32"/>
          <w:szCs w:val="32"/>
          <w:lang w:eastAsia="zh-CN"/>
        </w:rPr>
        <w:t>全部为</w:t>
      </w:r>
      <w:r>
        <w:rPr>
          <w:rFonts w:hint="eastAsia" w:ascii="仿宋_GB2312" w:hAnsi="仿宋" w:eastAsia="仿宋_GB2312"/>
          <w:sz w:val="32"/>
          <w:szCs w:val="32"/>
        </w:rPr>
        <w:t>一般公共预算拨款）。</w:t>
      </w:r>
      <w:r>
        <w:rPr>
          <w:rFonts w:ascii="仿宋_GB2312" w:hAnsi="仿宋" w:eastAsia="仿宋_GB2312"/>
          <w:sz w:val="32"/>
          <w:szCs w:val="32"/>
        </w:rPr>
        <w:t xml:space="preserve"> </w:t>
      </w:r>
    </w:p>
    <w:p>
      <w:pPr>
        <w:pStyle w:val="5"/>
        <w:numPr>
          <w:ilvl w:val="0"/>
          <w:numId w:val="4"/>
        </w:numPr>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rPr>
        <w:t>关于</w:t>
      </w:r>
      <w:r>
        <w:rPr>
          <w:rFonts w:hint="eastAsia" w:ascii="黑体" w:hAnsi="仿宋" w:eastAsia="黑体"/>
          <w:sz w:val="32"/>
          <w:szCs w:val="32"/>
          <w:lang w:eastAsia="zh-CN"/>
        </w:rPr>
        <w:t>2022</w:t>
      </w:r>
      <w:r>
        <w:rPr>
          <w:rFonts w:hint="eastAsia" w:ascii="黑体" w:hAnsi="仿宋" w:eastAsia="黑体"/>
          <w:sz w:val="32"/>
          <w:szCs w:val="32"/>
        </w:rPr>
        <w:t>年政府采购支出表的说明</w:t>
      </w:r>
    </w:p>
    <w:p>
      <w:pPr>
        <w:pStyle w:val="5"/>
        <w:numPr>
          <w:numId w:val="0"/>
        </w:numPr>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相山区财政局2022</w:t>
      </w:r>
      <w:r>
        <w:rPr>
          <w:rFonts w:hint="eastAsia" w:ascii="仿宋_GB2312" w:hAnsi="仿宋" w:eastAsia="仿宋_GB2312"/>
          <w:sz w:val="32"/>
          <w:szCs w:val="32"/>
        </w:rPr>
        <w:t>年没有使用一般公共预算拨款、政府性基金预算拨款、国有资本经营预算拨款、财政专户管理资金和单位资金安排的政府采购支出。</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十一、关于</w:t>
      </w:r>
      <w:r>
        <w:rPr>
          <w:rFonts w:hint="eastAsia" w:ascii="黑体" w:hAnsi="仿宋" w:eastAsia="黑体"/>
          <w:sz w:val="32"/>
          <w:szCs w:val="32"/>
          <w:lang w:eastAsia="zh-CN"/>
        </w:rPr>
        <w:t>2022</w:t>
      </w:r>
      <w:r>
        <w:rPr>
          <w:rFonts w:hint="eastAsia" w:ascii="黑体" w:hAnsi="仿宋" w:eastAsia="黑体"/>
          <w:sz w:val="32"/>
          <w:szCs w:val="32"/>
        </w:rPr>
        <w:t>年政府购买服务支出表的说明</w:t>
      </w:r>
    </w:p>
    <w:p>
      <w:pPr>
        <w:pStyle w:val="5"/>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相山区财政局2022</w:t>
      </w:r>
      <w:r>
        <w:rPr>
          <w:rFonts w:hint="eastAsia" w:ascii="仿宋_GB2312" w:hAnsi="仿宋" w:eastAsia="仿宋_GB2312"/>
          <w:sz w:val="32"/>
          <w:szCs w:val="32"/>
        </w:rPr>
        <w:t>年没有安排政府购买服务支出。</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十二、其他重要事项情况说明</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lang w:val="en-US" w:eastAsia="zh-CN"/>
        </w:rPr>
        <w:t>1</w:t>
      </w:r>
      <w:r>
        <w:rPr>
          <w:rFonts w:hint="eastAsia" w:ascii="仿宋_GB2312" w:hAnsi="楷体" w:eastAsia="仿宋_GB2312"/>
          <w:b/>
          <w:sz w:val="32"/>
          <w:szCs w:val="32"/>
        </w:rPr>
        <w:t>.“软件升级维护”项目。</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1）项目概述。主要用于保障财政网络系统的日常运维服务等相关支出，主要包括：政府采购云平台、直达资金系统、资产管理系统、非税征管系统、地方政府债务管理系统、政务公开系统、预算管理一体化等。</w:t>
      </w:r>
    </w:p>
    <w:p>
      <w:pPr>
        <w:spacing w:line="600" w:lineRule="exact"/>
        <w:ind w:firstLine="585" w:firstLineChars="183"/>
        <w:rPr>
          <w:rFonts w:ascii="仿宋_GB2312" w:hAnsi="楷体" w:eastAsia="仿宋_GB2312"/>
          <w:sz w:val="32"/>
          <w:szCs w:val="32"/>
        </w:rPr>
      </w:pPr>
      <w:r>
        <w:rPr>
          <w:rFonts w:hint="eastAsia" w:ascii="仿宋_GB2312" w:hAnsi="楷体" w:eastAsia="仿宋_GB2312"/>
          <w:sz w:val="32"/>
          <w:szCs w:val="32"/>
        </w:rPr>
        <w:t>（2）立项依据。根据《预算法》和深化国库集中改革的要求、加强地方政府债务管理、行政事业单位资产管理等有关规定。</w:t>
      </w:r>
      <w:r>
        <w:rPr>
          <w:rFonts w:hint="eastAsia" w:ascii="仿宋_GB2312" w:hAnsi="楷体" w:eastAsia="仿宋_GB2312"/>
          <w:sz w:val="32"/>
          <w:szCs w:val="32"/>
        </w:rPr>
        <w:tab/>
      </w:r>
      <w:r>
        <w:rPr>
          <w:rFonts w:hint="eastAsia" w:ascii="仿宋_GB2312" w:hAnsi="楷体" w:eastAsia="仿宋_GB2312"/>
          <w:sz w:val="32"/>
          <w:szCs w:val="32"/>
        </w:rPr>
        <w:tab/>
      </w:r>
      <w:r>
        <w:rPr>
          <w:rFonts w:hint="eastAsia" w:ascii="仿宋_GB2312" w:hAnsi="楷体" w:eastAsia="仿宋_GB2312"/>
          <w:sz w:val="32"/>
          <w:szCs w:val="32"/>
        </w:rPr>
        <w:tab/>
      </w:r>
      <w:r>
        <w:rPr>
          <w:rFonts w:hint="eastAsia" w:ascii="仿宋_GB2312" w:hAnsi="楷体" w:eastAsia="仿宋_GB2312"/>
          <w:sz w:val="32"/>
          <w:szCs w:val="32"/>
        </w:rPr>
        <w:tab/>
      </w:r>
      <w:r>
        <w:rPr>
          <w:rFonts w:hint="eastAsia" w:ascii="仿宋_GB2312" w:hAnsi="楷体" w:eastAsia="仿宋_GB2312"/>
          <w:sz w:val="32"/>
          <w:szCs w:val="32"/>
        </w:rPr>
        <w:tab/>
      </w:r>
      <w:r>
        <w:rPr>
          <w:rFonts w:hint="eastAsia" w:ascii="仿宋_GB2312" w:hAnsi="楷体" w:eastAsia="仿宋_GB2312"/>
          <w:sz w:val="32"/>
          <w:szCs w:val="32"/>
        </w:rPr>
        <w:tab/>
      </w:r>
      <w:r>
        <w:rPr>
          <w:rFonts w:hint="eastAsia" w:ascii="仿宋_GB2312" w:hAnsi="楷体" w:eastAsia="仿宋_GB2312"/>
          <w:sz w:val="32"/>
          <w:szCs w:val="32"/>
        </w:rPr>
        <w:tab/>
      </w:r>
      <w:r>
        <w:rPr>
          <w:rFonts w:hint="eastAsia" w:ascii="仿宋_GB2312" w:hAnsi="楷体" w:eastAsia="仿宋_GB2312"/>
          <w:sz w:val="32"/>
          <w:szCs w:val="32"/>
        </w:rPr>
        <w:tab/>
      </w:r>
      <w:r>
        <w:rPr>
          <w:rFonts w:hint="eastAsia" w:ascii="仿宋_GB2312" w:hAnsi="楷体" w:eastAsia="仿宋_GB2312"/>
          <w:sz w:val="32"/>
          <w:szCs w:val="32"/>
        </w:rPr>
        <w:tab/>
      </w:r>
    </w:p>
    <w:p>
      <w:pPr>
        <w:spacing w:line="600" w:lineRule="exact"/>
        <w:ind w:firstLine="585" w:firstLineChars="183"/>
        <w:rPr>
          <w:rFonts w:ascii="仿宋_GB2312" w:hAnsi="楷体" w:eastAsia="仿宋_GB2312"/>
          <w:sz w:val="32"/>
          <w:szCs w:val="32"/>
          <w:u w:val="single"/>
        </w:rPr>
      </w:pPr>
      <w:r>
        <w:rPr>
          <w:rFonts w:hint="eastAsia" w:ascii="仿宋_GB2312" w:hAnsi="楷体" w:eastAsia="仿宋_GB2312"/>
          <w:sz w:val="32"/>
          <w:szCs w:val="32"/>
        </w:rPr>
        <w:t>（3）实施主体。</w:t>
      </w:r>
      <w:r>
        <w:rPr>
          <w:rFonts w:hint="eastAsia" w:ascii="仿宋_GB2312" w:hAnsi="楷体" w:eastAsia="仿宋_GB2312"/>
          <w:sz w:val="32"/>
          <w:szCs w:val="32"/>
          <w:lang w:eastAsia="zh-CN"/>
        </w:rPr>
        <w:t>相山区财政局</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楷体" w:eastAsia="仿宋_GB2312"/>
          <w:sz w:val="32"/>
          <w:szCs w:val="32"/>
        </w:rPr>
        <w:t>（4）起止时间。</w:t>
      </w:r>
      <w:r>
        <w:rPr>
          <w:rFonts w:hint="eastAsia" w:ascii="仿宋_GB2312" w:hAnsi="仿宋" w:eastAsia="仿宋_GB2312"/>
          <w:sz w:val="32"/>
          <w:szCs w:val="32"/>
          <w:lang w:val="en-US" w:eastAsia="zh-CN"/>
        </w:rPr>
        <w:t>2022年1月至12月</w:t>
      </w:r>
    </w:p>
    <w:p>
      <w:pPr>
        <w:spacing w:line="600" w:lineRule="exact"/>
        <w:ind w:firstLine="642"/>
        <w:rPr>
          <w:rFonts w:ascii="仿宋_GB2312" w:hAnsi="仿宋_GB2312" w:eastAsia="仿宋_GB2312" w:cs="仿宋_GB2312"/>
          <w:bCs/>
          <w:sz w:val="30"/>
          <w:szCs w:val="30"/>
        </w:rPr>
      </w:pPr>
      <w:r>
        <w:rPr>
          <w:rFonts w:hint="eastAsia" w:ascii="仿宋_GB2312" w:hAnsi="楷体" w:eastAsia="仿宋_GB2312"/>
          <w:sz w:val="32"/>
          <w:szCs w:val="32"/>
        </w:rPr>
        <w:t>（5）项目内容。</w:t>
      </w:r>
      <w:r>
        <w:rPr>
          <w:rFonts w:hint="eastAsia" w:ascii="仿宋_GB2312" w:hAnsi="仿宋" w:eastAsia="仿宋_GB2312"/>
          <w:sz w:val="32"/>
          <w:szCs w:val="32"/>
        </w:rPr>
        <w:t>主要用于财政各网络系统的运维服务费用</w:t>
      </w:r>
    </w:p>
    <w:p>
      <w:pPr>
        <w:adjustRightInd w:val="0"/>
        <w:snapToGrid w:val="0"/>
        <w:spacing w:line="600" w:lineRule="exact"/>
        <w:ind w:firstLine="640" w:firstLineChars="200"/>
        <w:rPr>
          <w:rFonts w:hint="default" w:ascii="仿宋_GB2312" w:hAnsi="仿宋" w:eastAsia="仿宋_GB2312"/>
          <w:sz w:val="32"/>
          <w:szCs w:val="32"/>
          <w:lang w:val="en-US" w:eastAsia="zh-CN"/>
        </w:rPr>
      </w:pPr>
      <w:r>
        <w:rPr>
          <w:rFonts w:hint="eastAsia" w:ascii="仿宋_GB2312" w:hAnsi="楷体" w:eastAsia="仿宋_GB2312"/>
          <w:sz w:val="32"/>
          <w:szCs w:val="32"/>
        </w:rPr>
        <w:t>（6）年度预算安排。</w:t>
      </w:r>
      <w:r>
        <w:rPr>
          <w:rFonts w:hint="eastAsia" w:ascii="仿宋_GB2312" w:hAnsi="仿宋" w:eastAsia="仿宋_GB2312"/>
          <w:sz w:val="32"/>
          <w:szCs w:val="32"/>
          <w:lang w:val="en-US" w:eastAsia="zh-CN"/>
        </w:rPr>
        <w:t>82万元</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（7）绩效目标。</w:t>
      </w:r>
    </w:p>
    <w:tbl>
      <w:tblPr>
        <w:tblStyle w:val="7"/>
        <w:tblpPr w:leftFromText="180" w:rightFromText="180" w:vertAnchor="text" w:horzAnchor="page" w:tblpX="1886" w:tblpY="585"/>
        <w:tblOverlap w:val="never"/>
        <w:tblW w:w="9164" w:type="dxa"/>
        <w:tblInd w:w="0" w:type="dxa"/>
        <w:tblLayout w:type="fixed"/>
        <w:tblCellMar>
          <w:top w:w="0" w:type="dxa"/>
          <w:left w:w="108" w:type="dxa"/>
          <w:bottom w:w="0" w:type="dxa"/>
          <w:right w:w="108" w:type="dxa"/>
        </w:tblCellMar>
      </w:tblPr>
      <w:tblGrid>
        <w:gridCol w:w="416"/>
        <w:gridCol w:w="820"/>
        <w:gridCol w:w="940"/>
        <w:gridCol w:w="1783"/>
        <w:gridCol w:w="645"/>
        <w:gridCol w:w="1223"/>
        <w:gridCol w:w="622"/>
        <w:gridCol w:w="1110"/>
        <w:gridCol w:w="675"/>
        <w:gridCol w:w="930"/>
      </w:tblGrid>
      <w:tr>
        <w:tblPrEx>
          <w:tblCellMar>
            <w:top w:w="0" w:type="dxa"/>
            <w:left w:w="108" w:type="dxa"/>
            <w:bottom w:w="0" w:type="dxa"/>
            <w:right w:w="108" w:type="dxa"/>
          </w:tblCellMar>
        </w:tblPrEx>
        <w:trPr>
          <w:trHeight w:val="360" w:hRule="atLeast"/>
        </w:trPr>
        <w:tc>
          <w:tcPr>
            <w:tcW w:w="9164" w:type="dxa"/>
            <w:gridSpan w:val="10"/>
            <w:tcBorders>
              <w:top w:val="nil"/>
              <w:left w:val="nil"/>
              <w:bottom w:val="nil"/>
              <w:right w:val="nil"/>
            </w:tcBorders>
            <w:noWrap w:val="0"/>
            <w:vAlign w:val="center"/>
          </w:tcPr>
          <w:p>
            <w:pPr>
              <w:jc w:val="center"/>
              <w:rPr>
                <w:rFonts w:ascii="宋体" w:hAnsi="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70" w:hRule="atLeast"/>
        </w:trPr>
        <w:tc>
          <w:tcPr>
            <w:tcW w:w="9164" w:type="dxa"/>
            <w:gridSpan w:val="10"/>
            <w:tcBorders>
              <w:top w:val="nil"/>
              <w:left w:val="nil"/>
              <w:bottom w:val="nil"/>
              <w:right w:val="nil"/>
            </w:tcBorders>
            <w:noWrap w:val="0"/>
            <w:vAlign w:val="center"/>
          </w:tcPr>
          <w:p>
            <w:pPr>
              <w:jc w:val="center"/>
              <w:rPr>
                <w:rFonts w:ascii="宋体" w:hAnsi="宋体" w:cs="宋体"/>
                <w:sz w:val="20"/>
                <w:szCs w:val="20"/>
              </w:rPr>
            </w:pPr>
            <w:r>
              <w:rPr>
                <w:rFonts w:hint="eastAsia"/>
                <w:sz w:val="20"/>
                <w:szCs w:val="20"/>
              </w:rPr>
              <w:t>（2022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项目名称</w:t>
            </w:r>
          </w:p>
        </w:tc>
        <w:tc>
          <w:tcPr>
            <w:tcW w:w="7928" w:type="dxa"/>
            <w:gridSpan w:val="8"/>
            <w:tcBorders>
              <w:top w:val="single" w:color="auto" w:sz="4" w:space="0"/>
              <w:left w:val="nil"/>
              <w:bottom w:val="single" w:color="auto" w:sz="4" w:space="0"/>
              <w:right w:val="single" w:color="000000" w:sz="4" w:space="0"/>
            </w:tcBorders>
            <w:noWrap w:val="0"/>
            <w:vAlign w:val="center"/>
          </w:tcPr>
          <w:p>
            <w:pPr>
              <w:jc w:val="center"/>
              <w:rPr>
                <w:rFonts w:ascii="宋体" w:hAnsi="宋体" w:cs="宋体"/>
                <w:color w:val="000000"/>
                <w:sz w:val="20"/>
                <w:szCs w:val="20"/>
              </w:rPr>
            </w:pPr>
            <w:r>
              <w:rPr>
                <w:rFonts w:hint="eastAsia" w:ascii="宋体" w:hAnsi="宋体" w:cs="宋体"/>
                <w:color w:val="000000"/>
                <w:sz w:val="20"/>
                <w:szCs w:val="20"/>
              </w:rPr>
              <w:t>软件升级维护</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实施单位</w:t>
            </w:r>
          </w:p>
        </w:tc>
        <w:tc>
          <w:tcPr>
            <w:tcW w:w="7928" w:type="dxa"/>
            <w:gridSpan w:val="8"/>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lang w:eastAsia="zh-CN"/>
              </w:rPr>
              <w:t>相山区财政局</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项目属性</w:t>
            </w:r>
          </w:p>
        </w:tc>
        <w:tc>
          <w:tcPr>
            <w:tcW w:w="7928" w:type="dxa"/>
            <w:gridSpan w:val="8"/>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color w:val="000000"/>
                <w:sz w:val="20"/>
                <w:szCs w:val="20"/>
              </w:rPr>
              <w:t>常年项目</w:t>
            </w:r>
          </w:p>
        </w:tc>
      </w:tr>
      <w:tr>
        <w:tblPrEx>
          <w:tblCellMar>
            <w:top w:w="0" w:type="dxa"/>
            <w:left w:w="108" w:type="dxa"/>
            <w:bottom w:w="0" w:type="dxa"/>
            <w:right w:w="108" w:type="dxa"/>
          </w:tblCellMar>
        </w:tblPrEx>
        <w:trPr>
          <w:trHeight w:val="330" w:hRule="atLeast"/>
        </w:trPr>
        <w:tc>
          <w:tcPr>
            <w:tcW w:w="2176"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eastAsia="宋体"/>
                <w:sz w:val="20"/>
                <w:szCs w:val="20"/>
                <w:lang w:eastAsia="zh-CN"/>
              </w:rPr>
            </w:pPr>
            <w:r>
              <w:rPr>
                <w:rFonts w:hint="eastAsia"/>
                <w:sz w:val="20"/>
                <w:szCs w:val="20"/>
              </w:rPr>
              <w:t>项目资金</w:t>
            </w:r>
          </w:p>
          <w:p>
            <w:pPr>
              <w:jc w:val="center"/>
              <w:rPr>
                <w:rFonts w:ascii="宋体" w:hAnsi="宋体" w:cs="宋体"/>
                <w:sz w:val="20"/>
                <w:szCs w:val="20"/>
              </w:rPr>
            </w:pPr>
            <w:r>
              <w:rPr>
                <w:rFonts w:hint="eastAsia"/>
                <w:sz w:val="20"/>
                <w:szCs w:val="20"/>
              </w:rPr>
              <w:t>（万元）</w:t>
            </w:r>
          </w:p>
        </w:tc>
        <w:tc>
          <w:tcPr>
            <w:tcW w:w="1783"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中期资金总额：</w:t>
            </w:r>
          </w:p>
        </w:tc>
        <w:tc>
          <w:tcPr>
            <w:tcW w:w="186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lang w:val="en-US" w:eastAsia="zh-CN"/>
              </w:rPr>
              <w:t>82万元</w:t>
            </w:r>
          </w:p>
        </w:tc>
        <w:tc>
          <w:tcPr>
            <w:tcW w:w="1732"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年度资金总额：</w:t>
            </w:r>
          </w:p>
        </w:tc>
        <w:tc>
          <w:tcPr>
            <w:tcW w:w="1605"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lang w:val="en-US" w:eastAsia="zh-CN"/>
              </w:rPr>
              <w:t>82万元</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jc w:val="center"/>
              <w:rPr>
                <w:rFonts w:ascii="宋体" w:hAnsi="宋体" w:cs="宋体"/>
                <w:sz w:val="20"/>
                <w:szCs w:val="20"/>
              </w:rPr>
            </w:pPr>
          </w:p>
        </w:tc>
        <w:tc>
          <w:tcPr>
            <w:tcW w:w="1783"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其中：财政拨款</w:t>
            </w:r>
          </w:p>
        </w:tc>
        <w:tc>
          <w:tcPr>
            <w:tcW w:w="186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lang w:val="en-US" w:eastAsia="zh-CN"/>
              </w:rPr>
              <w:t>82万元</w:t>
            </w:r>
          </w:p>
        </w:tc>
        <w:tc>
          <w:tcPr>
            <w:tcW w:w="1732"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其中：财政拨款</w:t>
            </w:r>
          </w:p>
        </w:tc>
        <w:tc>
          <w:tcPr>
            <w:tcW w:w="1605"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lang w:val="en-US" w:eastAsia="zh-CN"/>
              </w:rPr>
              <w:t>82万元</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jc w:val="center"/>
              <w:rPr>
                <w:rFonts w:ascii="宋体" w:hAnsi="宋体" w:cs="宋体"/>
                <w:sz w:val="20"/>
                <w:szCs w:val="20"/>
              </w:rPr>
            </w:pPr>
          </w:p>
        </w:tc>
        <w:tc>
          <w:tcPr>
            <w:tcW w:w="1783"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其他资金</w:t>
            </w:r>
          </w:p>
        </w:tc>
        <w:tc>
          <w:tcPr>
            <w:tcW w:w="18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p>
        </w:tc>
        <w:tc>
          <w:tcPr>
            <w:tcW w:w="1732"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其他资金</w:t>
            </w:r>
          </w:p>
        </w:tc>
        <w:tc>
          <w:tcPr>
            <w:tcW w:w="1605"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总</w:t>
            </w:r>
          </w:p>
          <w:p>
            <w:pPr>
              <w:jc w:val="center"/>
              <w:rPr>
                <w:rFonts w:hint="eastAsia" w:eastAsia="宋体"/>
                <w:sz w:val="20"/>
                <w:szCs w:val="20"/>
                <w:lang w:eastAsia="zh-CN"/>
              </w:rPr>
            </w:pPr>
            <w:r>
              <w:rPr>
                <w:rFonts w:hint="eastAsia"/>
                <w:sz w:val="20"/>
                <w:szCs w:val="20"/>
              </w:rPr>
              <w:t>体</w:t>
            </w:r>
          </w:p>
          <w:p>
            <w:pPr>
              <w:jc w:val="center"/>
              <w:rPr>
                <w:rFonts w:hint="eastAsia" w:eastAsia="宋体"/>
                <w:sz w:val="20"/>
                <w:szCs w:val="20"/>
                <w:lang w:eastAsia="zh-CN"/>
              </w:rPr>
            </w:pPr>
            <w:r>
              <w:rPr>
                <w:rFonts w:hint="eastAsia"/>
                <w:sz w:val="20"/>
                <w:szCs w:val="20"/>
              </w:rPr>
              <w:t>目</w:t>
            </w:r>
          </w:p>
          <w:p>
            <w:pPr>
              <w:jc w:val="center"/>
              <w:rPr>
                <w:rFonts w:ascii="宋体" w:hAnsi="宋体" w:cs="宋体"/>
                <w:sz w:val="20"/>
                <w:szCs w:val="20"/>
              </w:rPr>
            </w:pPr>
            <w:r>
              <w:rPr>
                <w:rFonts w:hint="eastAsia"/>
                <w:sz w:val="20"/>
                <w:szCs w:val="20"/>
              </w:rPr>
              <w:t>标</w:t>
            </w:r>
          </w:p>
        </w:tc>
        <w:tc>
          <w:tcPr>
            <w:tcW w:w="5411" w:type="dxa"/>
            <w:gridSpan w:val="5"/>
            <w:tcBorders>
              <w:top w:val="single" w:color="auto" w:sz="4" w:space="0"/>
              <w:left w:val="nil"/>
              <w:bottom w:val="single" w:color="auto" w:sz="4" w:space="0"/>
              <w:right w:val="nil"/>
            </w:tcBorders>
            <w:noWrap w:val="0"/>
            <w:vAlign w:val="center"/>
          </w:tcPr>
          <w:p>
            <w:pPr>
              <w:jc w:val="center"/>
              <w:rPr>
                <w:rFonts w:ascii="宋体" w:hAnsi="宋体" w:cs="宋体"/>
                <w:sz w:val="20"/>
                <w:szCs w:val="20"/>
              </w:rPr>
            </w:pPr>
            <w:r>
              <w:rPr>
                <w:rFonts w:hint="eastAsia"/>
                <w:sz w:val="20"/>
                <w:szCs w:val="20"/>
              </w:rPr>
              <w:t>中期目标（20</w:t>
            </w:r>
            <w:r>
              <w:rPr>
                <w:rFonts w:hint="eastAsia"/>
                <w:sz w:val="20"/>
                <w:szCs w:val="20"/>
                <w:lang w:val="en-US" w:eastAsia="zh-CN"/>
              </w:rPr>
              <w:t>22</w:t>
            </w:r>
            <w:r>
              <w:rPr>
                <w:rFonts w:hint="eastAsia"/>
                <w:sz w:val="20"/>
                <w:szCs w:val="20"/>
              </w:rPr>
              <w:t>年—20</w:t>
            </w:r>
            <w:r>
              <w:rPr>
                <w:rFonts w:hint="eastAsia"/>
                <w:sz w:val="20"/>
                <w:szCs w:val="20"/>
                <w:lang w:val="en-US" w:eastAsia="zh-CN"/>
              </w:rPr>
              <w:t>22</w:t>
            </w:r>
            <w:r>
              <w:rPr>
                <w:rFonts w:hint="eastAsia"/>
                <w:sz w:val="20"/>
                <w:szCs w:val="20"/>
              </w:rPr>
              <w:t>年）</w:t>
            </w:r>
          </w:p>
        </w:tc>
        <w:tc>
          <w:tcPr>
            <w:tcW w:w="3337" w:type="dxa"/>
            <w:gridSpan w:val="4"/>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p>
        </w:tc>
        <w:tc>
          <w:tcPr>
            <w:tcW w:w="5411" w:type="dxa"/>
            <w:gridSpan w:val="5"/>
            <w:tcBorders>
              <w:top w:val="single" w:color="auto" w:sz="4" w:space="0"/>
              <w:left w:val="nil"/>
              <w:bottom w:val="single" w:color="auto" w:sz="4" w:space="0"/>
              <w:right w:val="nil"/>
            </w:tcBorders>
            <w:noWrap w:val="0"/>
            <w:vAlign w:val="center"/>
          </w:tcPr>
          <w:p>
            <w:pPr>
              <w:keepNext w:val="0"/>
              <w:keepLines w:val="0"/>
              <w:widowControl/>
              <w:suppressLineNumbers w:val="0"/>
              <w:jc w:val="center"/>
              <w:textAlignment w:val="bottom"/>
              <w:rPr>
                <w:rFonts w:ascii="等线" w:hAnsi="等线" w:eastAsia="等线" w:cs="等线"/>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保障财政各网络系统的正常运行，提高公共服务能力和财政管理效率。</w:t>
            </w:r>
          </w:p>
        </w:tc>
        <w:tc>
          <w:tcPr>
            <w:tcW w:w="3337"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bottom"/>
              <w:rPr>
                <w:rFonts w:ascii="等线" w:hAnsi="等线" w:eastAsia="等线" w:cs="等线"/>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保障财政各网络系统的正常运行，提高公共服务能力和财政管理效率。</w:t>
            </w:r>
          </w:p>
        </w:tc>
      </w:tr>
      <w:tr>
        <w:tblPrEx>
          <w:tblCellMar>
            <w:top w:w="0" w:type="dxa"/>
            <w:left w:w="108" w:type="dxa"/>
            <w:bottom w:w="0" w:type="dxa"/>
            <w:right w:w="108" w:type="dxa"/>
          </w:tblCellMar>
        </w:tblPrEx>
        <w:trPr>
          <w:trHeight w:val="908" w:hRule="atLeast"/>
        </w:trPr>
        <w:tc>
          <w:tcPr>
            <w:tcW w:w="416"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绩</w:t>
            </w:r>
          </w:p>
          <w:p>
            <w:pPr>
              <w:jc w:val="center"/>
              <w:rPr>
                <w:rFonts w:hint="eastAsia" w:eastAsia="宋体"/>
                <w:sz w:val="20"/>
                <w:szCs w:val="20"/>
                <w:lang w:eastAsia="zh-CN"/>
              </w:rPr>
            </w:pPr>
            <w:r>
              <w:rPr>
                <w:rFonts w:hint="eastAsia"/>
                <w:sz w:val="20"/>
                <w:szCs w:val="20"/>
              </w:rPr>
              <w:t>效</w:t>
            </w:r>
          </w:p>
          <w:p>
            <w:pPr>
              <w:jc w:val="center"/>
              <w:rPr>
                <w:rFonts w:hint="eastAsia" w:eastAsia="宋体"/>
                <w:sz w:val="20"/>
                <w:szCs w:val="20"/>
                <w:lang w:eastAsia="zh-CN"/>
              </w:rPr>
            </w:pPr>
            <w:r>
              <w:rPr>
                <w:rFonts w:hint="eastAsia"/>
                <w:sz w:val="20"/>
                <w:szCs w:val="20"/>
              </w:rPr>
              <w:t>指</w:t>
            </w:r>
          </w:p>
          <w:p>
            <w:pPr>
              <w:jc w:val="center"/>
              <w:rPr>
                <w:rFonts w:ascii="宋体" w:hAnsi="宋体" w:cs="宋体"/>
                <w:sz w:val="20"/>
                <w:szCs w:val="20"/>
              </w:rPr>
            </w:pPr>
            <w:r>
              <w:rPr>
                <w:rFonts w:hint="eastAsia"/>
                <w:sz w:val="20"/>
                <w:szCs w:val="20"/>
              </w:rPr>
              <w:t>标</w:t>
            </w:r>
          </w:p>
        </w:tc>
        <w:tc>
          <w:tcPr>
            <w:tcW w:w="820" w:type="dxa"/>
            <w:tcBorders>
              <w:top w:val="nil"/>
              <w:left w:val="nil"/>
              <w:bottom w:val="nil"/>
              <w:right w:val="single" w:color="auto" w:sz="4" w:space="0"/>
            </w:tcBorders>
            <w:noWrap w:val="0"/>
            <w:vAlign w:val="center"/>
          </w:tcPr>
          <w:p>
            <w:pPr>
              <w:jc w:val="center"/>
              <w:rPr>
                <w:rFonts w:hint="eastAsia" w:eastAsia="宋体"/>
                <w:sz w:val="20"/>
                <w:szCs w:val="20"/>
                <w:lang w:eastAsia="zh-CN"/>
              </w:rPr>
            </w:pPr>
            <w:r>
              <w:rPr>
                <w:rFonts w:hint="eastAsia"/>
                <w:sz w:val="20"/>
                <w:szCs w:val="20"/>
              </w:rPr>
              <w:t>一级</w:t>
            </w:r>
          </w:p>
          <w:p>
            <w:pPr>
              <w:jc w:val="center"/>
              <w:rPr>
                <w:rFonts w:ascii="宋体" w:hAnsi="宋体" w:cs="宋体"/>
                <w:sz w:val="20"/>
                <w:szCs w:val="20"/>
              </w:rPr>
            </w:pPr>
            <w:r>
              <w:rPr>
                <w:rFonts w:hint="eastAsia"/>
                <w:sz w:val="20"/>
                <w:szCs w:val="20"/>
              </w:rPr>
              <w:t>指标</w:t>
            </w:r>
          </w:p>
        </w:tc>
        <w:tc>
          <w:tcPr>
            <w:tcW w:w="940" w:type="dxa"/>
            <w:tcBorders>
              <w:top w:val="nil"/>
              <w:left w:val="nil"/>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783"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三级指标</w:t>
            </w:r>
          </w:p>
        </w:tc>
        <w:tc>
          <w:tcPr>
            <w:tcW w:w="645"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1223"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绩效标准</w:t>
            </w:r>
          </w:p>
        </w:tc>
        <w:tc>
          <w:tcPr>
            <w:tcW w:w="622" w:type="dxa"/>
            <w:tcBorders>
              <w:top w:val="nil"/>
              <w:left w:val="nil"/>
              <w:bottom w:val="single" w:color="auto" w:sz="4" w:space="0"/>
              <w:right w:val="single" w:color="auto" w:sz="4" w:space="0"/>
            </w:tcBorders>
            <w:noWrap w:val="0"/>
            <w:vAlign w:val="center"/>
          </w:tcPr>
          <w:p>
            <w:pPr>
              <w:jc w:val="center"/>
              <w:rPr>
                <w:sz w:val="20"/>
                <w:szCs w:val="20"/>
              </w:rPr>
            </w:pPr>
            <w:r>
              <w:rPr>
                <w:rFonts w:hint="eastAsia"/>
                <w:sz w:val="20"/>
                <w:szCs w:val="20"/>
              </w:rPr>
              <w:t>二级</w:t>
            </w:r>
          </w:p>
          <w:p>
            <w:pPr>
              <w:jc w:val="center"/>
              <w:rPr>
                <w:rFonts w:ascii="宋体" w:hAnsi="宋体" w:cs="宋体"/>
                <w:sz w:val="20"/>
                <w:szCs w:val="20"/>
              </w:rPr>
            </w:pPr>
            <w:r>
              <w:rPr>
                <w:rFonts w:hint="eastAsia"/>
                <w:sz w:val="20"/>
                <w:szCs w:val="20"/>
              </w:rPr>
              <w:t>指标</w:t>
            </w:r>
          </w:p>
        </w:tc>
        <w:tc>
          <w:tcPr>
            <w:tcW w:w="1110" w:type="dxa"/>
            <w:tcBorders>
              <w:top w:val="nil"/>
              <w:left w:val="nil"/>
              <w:bottom w:val="single" w:color="auto" w:sz="4" w:space="0"/>
              <w:right w:val="nil"/>
            </w:tcBorders>
            <w:noWrap w:val="0"/>
            <w:vAlign w:val="center"/>
          </w:tcPr>
          <w:p>
            <w:pPr>
              <w:jc w:val="center"/>
              <w:rPr>
                <w:rFonts w:ascii="宋体" w:hAnsi="宋体" w:cs="宋体"/>
                <w:sz w:val="20"/>
                <w:szCs w:val="20"/>
              </w:rPr>
            </w:pPr>
            <w:r>
              <w:rPr>
                <w:rFonts w:hint="eastAsia"/>
                <w:sz w:val="20"/>
                <w:szCs w:val="20"/>
              </w:rPr>
              <w:t>三级指标</w:t>
            </w:r>
          </w:p>
        </w:tc>
        <w:tc>
          <w:tcPr>
            <w:tcW w:w="675"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指标值</w:t>
            </w:r>
          </w:p>
        </w:tc>
        <w:tc>
          <w:tcPr>
            <w:tcW w:w="93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8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eastAsia="zh-CN"/>
              </w:rPr>
            </w:pPr>
            <w:r>
              <w:rPr>
                <w:rFonts w:hint="eastAsia" w:ascii="Times New Roman" w:hAnsi="Times New Roman" w:eastAsia="宋体" w:cs="Times New Roman"/>
                <w:sz w:val="20"/>
                <w:szCs w:val="20"/>
              </w:rPr>
              <w:t>产</w:t>
            </w:r>
          </w:p>
          <w:p>
            <w:pPr>
              <w:jc w:val="center"/>
              <w:rPr>
                <w:rFonts w:hint="eastAsia" w:ascii="Times New Roman" w:hAnsi="Times New Roman" w:eastAsia="宋体" w:cs="Times New Roman"/>
                <w:sz w:val="20"/>
                <w:szCs w:val="20"/>
                <w:lang w:eastAsia="zh-CN"/>
              </w:rPr>
            </w:pPr>
            <w:r>
              <w:rPr>
                <w:rFonts w:hint="eastAsia" w:ascii="Times New Roman" w:hAnsi="Times New Roman" w:eastAsia="宋体" w:cs="Times New Roman"/>
                <w:sz w:val="20"/>
                <w:szCs w:val="20"/>
              </w:rPr>
              <w:t>出</w:t>
            </w:r>
          </w:p>
          <w:p>
            <w:pPr>
              <w:jc w:val="center"/>
              <w:rPr>
                <w:rFonts w:hint="eastAsia" w:ascii="Times New Roman" w:hAnsi="Times New Roman" w:eastAsia="宋体" w:cs="Times New Roman"/>
                <w:sz w:val="20"/>
                <w:szCs w:val="20"/>
                <w:lang w:eastAsia="zh-CN"/>
              </w:rPr>
            </w:pPr>
            <w:r>
              <w:rPr>
                <w:rFonts w:hint="eastAsia" w:ascii="Times New Roman" w:hAnsi="Times New Roman" w:eastAsia="宋体" w:cs="Times New Roman"/>
                <w:sz w:val="20"/>
                <w:szCs w:val="20"/>
              </w:rPr>
              <w:t>指</w:t>
            </w:r>
          </w:p>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标</w:t>
            </w:r>
          </w:p>
        </w:tc>
        <w:tc>
          <w:tcPr>
            <w:tcW w:w="940"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数量</w:t>
            </w:r>
          </w:p>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指标</w:t>
            </w:r>
          </w:p>
        </w:tc>
        <w:tc>
          <w:tcPr>
            <w:tcW w:w="178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建成使用的软件系统实施各项财政系统的维护，适应财政科学化、信息规范化的需要</w:t>
            </w:r>
          </w:p>
        </w:tc>
        <w:tc>
          <w:tcPr>
            <w:tcW w:w="64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100</w:t>
            </w:r>
          </w:p>
        </w:tc>
        <w:tc>
          <w:tcPr>
            <w:tcW w:w="122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实施各项财政系统的维护，适应财政科学化、信息规范化的需要</w:t>
            </w:r>
          </w:p>
        </w:tc>
        <w:tc>
          <w:tcPr>
            <w:tcW w:w="622"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数量</w:t>
            </w:r>
          </w:p>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指标</w:t>
            </w:r>
          </w:p>
        </w:tc>
        <w:tc>
          <w:tcPr>
            <w:tcW w:w="111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建成使用的软件系统实施各项财政系统的维护，适应财政科学化、信息规范化的需要</w:t>
            </w:r>
          </w:p>
        </w:tc>
        <w:tc>
          <w:tcPr>
            <w:tcW w:w="67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100</w:t>
            </w:r>
          </w:p>
        </w:tc>
        <w:tc>
          <w:tcPr>
            <w:tcW w:w="93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实施各项财政系统的维护，适应财政科学化、信息规范化的需要</w:t>
            </w:r>
          </w:p>
        </w:tc>
      </w:tr>
      <w:tr>
        <w:tblPrEx>
          <w:tblCellMar>
            <w:top w:w="0" w:type="dxa"/>
            <w:left w:w="108" w:type="dxa"/>
            <w:bottom w:w="0" w:type="dxa"/>
            <w:right w:w="108" w:type="dxa"/>
          </w:tblCellMar>
        </w:tblPrEx>
        <w:trPr>
          <w:trHeight w:val="1032"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质量</w:t>
            </w:r>
          </w:p>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指标</w:t>
            </w:r>
          </w:p>
        </w:tc>
        <w:tc>
          <w:tcPr>
            <w:tcW w:w="178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机房运维服务达标率</w:t>
            </w:r>
          </w:p>
        </w:tc>
        <w:tc>
          <w:tcPr>
            <w:tcW w:w="64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100</w:t>
            </w:r>
          </w:p>
        </w:tc>
        <w:tc>
          <w:tcPr>
            <w:tcW w:w="122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各信息系统日常维护合格率100%，系统功能达标率≥98%，各系统事故发生频率＜2%，系统故障在1天内处理完成。</w:t>
            </w:r>
          </w:p>
        </w:tc>
        <w:tc>
          <w:tcPr>
            <w:tcW w:w="622"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质量</w:t>
            </w:r>
          </w:p>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指标</w:t>
            </w:r>
          </w:p>
        </w:tc>
        <w:tc>
          <w:tcPr>
            <w:tcW w:w="111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机房运维服务达标率</w:t>
            </w:r>
          </w:p>
        </w:tc>
        <w:tc>
          <w:tcPr>
            <w:tcW w:w="67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100</w:t>
            </w:r>
          </w:p>
        </w:tc>
        <w:tc>
          <w:tcPr>
            <w:tcW w:w="93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各信息系统日常维护合格率100%，系统功能达标率≥98%，各系统事故发生频率＜2%，系统故障在1天内处理完成。</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时效</w:t>
            </w:r>
          </w:p>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指标</w:t>
            </w:r>
          </w:p>
        </w:tc>
        <w:tc>
          <w:tcPr>
            <w:tcW w:w="178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等保测评及安全运维周期</w:t>
            </w:r>
          </w:p>
        </w:tc>
        <w:tc>
          <w:tcPr>
            <w:tcW w:w="64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定性</w:t>
            </w:r>
          </w:p>
        </w:tc>
        <w:tc>
          <w:tcPr>
            <w:tcW w:w="122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保障财政业务顺利安全运行</w:t>
            </w:r>
          </w:p>
        </w:tc>
        <w:tc>
          <w:tcPr>
            <w:tcW w:w="622"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时效</w:t>
            </w:r>
          </w:p>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指标</w:t>
            </w:r>
          </w:p>
        </w:tc>
        <w:tc>
          <w:tcPr>
            <w:tcW w:w="111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等保测评及安全运维周期</w:t>
            </w:r>
          </w:p>
        </w:tc>
        <w:tc>
          <w:tcPr>
            <w:tcW w:w="67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定性</w:t>
            </w:r>
          </w:p>
        </w:tc>
        <w:tc>
          <w:tcPr>
            <w:tcW w:w="93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保障财政业务顺利安全运行</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成本</w:t>
            </w:r>
          </w:p>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指标</w:t>
            </w:r>
          </w:p>
        </w:tc>
        <w:tc>
          <w:tcPr>
            <w:tcW w:w="178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完成本年度网络系统运维服务费用</w:t>
            </w:r>
          </w:p>
        </w:tc>
        <w:tc>
          <w:tcPr>
            <w:tcW w:w="64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82</w:t>
            </w:r>
            <w:r>
              <w:rPr>
                <w:rFonts w:hint="eastAsia" w:ascii="Times New Roman" w:hAnsi="Times New Roman" w:eastAsia="宋体" w:cs="Times New Roman"/>
                <w:sz w:val="20"/>
                <w:szCs w:val="20"/>
              </w:rPr>
              <w:t>万元</w:t>
            </w:r>
          </w:p>
        </w:tc>
        <w:tc>
          <w:tcPr>
            <w:tcW w:w="122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622"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成本</w:t>
            </w:r>
          </w:p>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指标</w:t>
            </w:r>
          </w:p>
        </w:tc>
        <w:tc>
          <w:tcPr>
            <w:tcW w:w="111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完成本年度网络系统运维服务费用</w:t>
            </w:r>
          </w:p>
        </w:tc>
        <w:tc>
          <w:tcPr>
            <w:tcW w:w="67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82</w:t>
            </w:r>
            <w:r>
              <w:rPr>
                <w:rFonts w:hint="eastAsia" w:ascii="Times New Roman" w:hAnsi="Times New Roman" w:eastAsia="宋体" w:cs="Times New Roman"/>
                <w:sz w:val="20"/>
                <w:szCs w:val="20"/>
              </w:rPr>
              <w:t>万元</w:t>
            </w:r>
          </w:p>
        </w:tc>
        <w:tc>
          <w:tcPr>
            <w:tcW w:w="93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经济效益指标</w:t>
            </w:r>
          </w:p>
        </w:tc>
        <w:tc>
          <w:tcPr>
            <w:tcW w:w="178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指标1：</w:t>
            </w:r>
          </w:p>
        </w:tc>
        <w:tc>
          <w:tcPr>
            <w:tcW w:w="64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eastAsia="zh-CN"/>
              </w:rPr>
              <w:t>无</w:t>
            </w:r>
          </w:p>
        </w:tc>
        <w:tc>
          <w:tcPr>
            <w:tcW w:w="122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p>
        </w:tc>
        <w:tc>
          <w:tcPr>
            <w:tcW w:w="622"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经济效益指标</w:t>
            </w:r>
          </w:p>
        </w:tc>
        <w:tc>
          <w:tcPr>
            <w:tcW w:w="111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指标1：</w:t>
            </w:r>
          </w:p>
        </w:tc>
        <w:tc>
          <w:tcPr>
            <w:tcW w:w="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eastAsia="zh-CN"/>
              </w:rPr>
              <w:t>无</w:t>
            </w:r>
          </w:p>
        </w:tc>
        <w:tc>
          <w:tcPr>
            <w:tcW w:w="93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社会效益指标</w:t>
            </w:r>
          </w:p>
        </w:tc>
        <w:tc>
          <w:tcPr>
            <w:tcW w:w="178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保障财政各网络系统的正常运行，提高公共服务能力和财政管理效率。</w:t>
            </w:r>
          </w:p>
        </w:tc>
        <w:tc>
          <w:tcPr>
            <w:tcW w:w="64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影响明显</w:t>
            </w:r>
          </w:p>
        </w:tc>
        <w:tc>
          <w:tcPr>
            <w:tcW w:w="122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p>
        </w:tc>
        <w:tc>
          <w:tcPr>
            <w:tcW w:w="622"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社会效益指标</w:t>
            </w:r>
          </w:p>
        </w:tc>
        <w:tc>
          <w:tcPr>
            <w:tcW w:w="111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保障财政各网络系统的正常运行，提高公共服务能力和财政管理效率。</w:t>
            </w:r>
          </w:p>
        </w:tc>
        <w:tc>
          <w:tcPr>
            <w:tcW w:w="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影响明显</w:t>
            </w:r>
          </w:p>
        </w:tc>
        <w:tc>
          <w:tcPr>
            <w:tcW w:w="93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生态效益指标</w:t>
            </w:r>
          </w:p>
        </w:tc>
        <w:tc>
          <w:tcPr>
            <w:tcW w:w="178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指标1：</w:t>
            </w:r>
          </w:p>
        </w:tc>
        <w:tc>
          <w:tcPr>
            <w:tcW w:w="64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eastAsia="zh-CN"/>
              </w:rPr>
              <w:t>无</w:t>
            </w:r>
          </w:p>
        </w:tc>
        <w:tc>
          <w:tcPr>
            <w:tcW w:w="122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p>
        </w:tc>
        <w:tc>
          <w:tcPr>
            <w:tcW w:w="622"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生态效益指标</w:t>
            </w:r>
          </w:p>
        </w:tc>
        <w:tc>
          <w:tcPr>
            <w:tcW w:w="111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指标1：</w:t>
            </w:r>
          </w:p>
        </w:tc>
        <w:tc>
          <w:tcPr>
            <w:tcW w:w="67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eastAsia="zh-CN"/>
              </w:rPr>
              <w:t>无</w:t>
            </w:r>
          </w:p>
        </w:tc>
        <w:tc>
          <w:tcPr>
            <w:tcW w:w="93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82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940"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lang w:eastAsia="zh-CN"/>
              </w:rPr>
            </w:pPr>
            <w:r>
              <w:rPr>
                <w:rFonts w:hint="eastAsia" w:ascii="Times New Roman" w:hAnsi="Times New Roman" w:eastAsia="宋体" w:cs="Times New Roman"/>
                <w:sz w:val="20"/>
                <w:szCs w:val="20"/>
              </w:rPr>
              <w:t>可持续影响</w:t>
            </w:r>
          </w:p>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指标</w:t>
            </w:r>
          </w:p>
        </w:tc>
        <w:tc>
          <w:tcPr>
            <w:tcW w:w="178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信息化系统建设为提高财政执行力提供长期保障</w:t>
            </w:r>
          </w:p>
        </w:tc>
        <w:tc>
          <w:tcPr>
            <w:tcW w:w="64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定性</w:t>
            </w:r>
          </w:p>
        </w:tc>
        <w:tc>
          <w:tcPr>
            <w:tcW w:w="122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保障财政各网络系统的正常运行，提高公共服务能力和财政管理效率。</w:t>
            </w:r>
          </w:p>
        </w:tc>
        <w:tc>
          <w:tcPr>
            <w:tcW w:w="622" w:type="dxa"/>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可持续影响指标</w:t>
            </w:r>
          </w:p>
        </w:tc>
        <w:tc>
          <w:tcPr>
            <w:tcW w:w="111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信息化系统建设为提高财政执行力提供长期保障</w:t>
            </w:r>
          </w:p>
        </w:tc>
        <w:tc>
          <w:tcPr>
            <w:tcW w:w="67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定性</w:t>
            </w:r>
          </w:p>
        </w:tc>
        <w:tc>
          <w:tcPr>
            <w:tcW w:w="93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保障财政各网络系统的正常运行，提高公共服务能力和财政管理效率。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820"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满意度指标</w:t>
            </w:r>
          </w:p>
        </w:tc>
        <w:tc>
          <w:tcPr>
            <w:tcW w:w="940"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服务对象满意度指标</w:t>
            </w:r>
          </w:p>
        </w:tc>
        <w:tc>
          <w:tcPr>
            <w:tcW w:w="178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被评价单位满意度</w:t>
            </w:r>
          </w:p>
        </w:tc>
        <w:tc>
          <w:tcPr>
            <w:tcW w:w="64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100%</w:t>
            </w:r>
          </w:p>
        </w:tc>
        <w:tc>
          <w:tcPr>
            <w:tcW w:w="122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622"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服务对</w:t>
            </w:r>
          </w:p>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象满意</w:t>
            </w:r>
          </w:p>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度指标</w:t>
            </w:r>
          </w:p>
        </w:tc>
        <w:tc>
          <w:tcPr>
            <w:tcW w:w="111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被评价单位满意度</w:t>
            </w:r>
          </w:p>
        </w:tc>
        <w:tc>
          <w:tcPr>
            <w:tcW w:w="67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100%</w:t>
            </w:r>
          </w:p>
        </w:tc>
        <w:tc>
          <w:tcPr>
            <w:tcW w:w="93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820"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940"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178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被检查单位满意度</w:t>
            </w:r>
          </w:p>
        </w:tc>
        <w:tc>
          <w:tcPr>
            <w:tcW w:w="64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100%</w:t>
            </w:r>
          </w:p>
        </w:tc>
        <w:tc>
          <w:tcPr>
            <w:tcW w:w="1223"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622"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sz w:val="20"/>
                <w:szCs w:val="20"/>
              </w:rPr>
            </w:pPr>
          </w:p>
        </w:tc>
        <w:tc>
          <w:tcPr>
            <w:tcW w:w="111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被检查单位满意度</w:t>
            </w:r>
          </w:p>
        </w:tc>
        <w:tc>
          <w:tcPr>
            <w:tcW w:w="675"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rPr>
              <w:t>100%</w:t>
            </w:r>
          </w:p>
        </w:tc>
        <w:tc>
          <w:tcPr>
            <w:tcW w:w="930"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0"/>
              </w:rPr>
            </w:pPr>
          </w:p>
        </w:tc>
      </w:tr>
    </w:tbl>
    <w:p>
      <w:pPr>
        <w:jc w:val="center"/>
        <w:rPr>
          <w:rFonts w:hint="eastAsia" w:ascii="Times New Roman" w:hAnsi="Times New Roman" w:eastAsia="宋体" w:cs="Times New Roman"/>
          <w:sz w:val="20"/>
          <w:szCs w:val="20"/>
        </w:rPr>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（二）机关运行经费。</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lang w:eastAsia="zh-CN"/>
        </w:rPr>
        <w:t>相山区财政局</w:t>
      </w:r>
      <w:r>
        <w:rPr>
          <w:rFonts w:hint="eastAsia" w:ascii="仿宋_GB2312" w:hAnsi="仿宋" w:eastAsia="仿宋_GB2312"/>
          <w:sz w:val="32"/>
          <w:szCs w:val="32"/>
          <w:lang w:eastAsia="zh-CN"/>
        </w:rPr>
        <w:t>2022</w:t>
      </w:r>
      <w:r>
        <w:rPr>
          <w:rFonts w:hint="eastAsia" w:ascii="仿宋_GB2312" w:hAnsi="仿宋" w:eastAsia="仿宋_GB2312"/>
          <w:sz w:val="32"/>
          <w:szCs w:val="32"/>
        </w:rPr>
        <w:t>年机关运行经费财政拨款预算</w:t>
      </w:r>
      <w:r>
        <w:rPr>
          <w:rFonts w:hint="eastAsia" w:ascii="仿宋_GB2312" w:hAnsi="仿宋" w:eastAsia="仿宋_GB2312"/>
          <w:sz w:val="32"/>
          <w:szCs w:val="32"/>
          <w:lang w:val="en-US" w:eastAsia="zh-CN"/>
        </w:rPr>
        <w:t>57.66</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93.37</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61.82</w:t>
      </w:r>
      <w:r>
        <w:rPr>
          <w:rFonts w:hint="eastAsia" w:ascii="仿宋_GB2312" w:hAnsi="仿宋" w:eastAsia="仿宋_GB2312"/>
          <w:sz w:val="32"/>
          <w:szCs w:val="32"/>
        </w:rPr>
        <w:t>%，下降主要原因是</w:t>
      </w:r>
      <w:r>
        <w:rPr>
          <w:rFonts w:hint="eastAsia" w:ascii="仿宋_GB2312" w:hAnsi="仿宋" w:eastAsia="仿宋_GB2312"/>
          <w:sz w:val="32"/>
          <w:szCs w:val="32"/>
          <w:highlight w:val="none"/>
          <w:lang w:eastAsia="zh-CN"/>
        </w:rPr>
        <w:t>工作经费减少</w:t>
      </w:r>
      <w:r>
        <w:rPr>
          <w:rFonts w:hint="eastAsia" w:ascii="仿宋_GB2312" w:hAnsi="仿宋" w:eastAsia="仿宋_GB2312"/>
          <w:sz w:val="32"/>
          <w:szCs w:val="32"/>
        </w:rPr>
        <w:t>。</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仿宋" w:eastAsia="仿宋_GB2312" w:cs="宋体"/>
          <w:kern w:val="0"/>
          <w:sz w:val="32"/>
          <w:szCs w:val="32"/>
          <w:lang w:eastAsia="zh-CN"/>
        </w:rPr>
        <w:t>相山区财政局</w:t>
      </w:r>
      <w:r>
        <w:rPr>
          <w:rFonts w:hint="eastAsia" w:ascii="仿宋_GB2312" w:hAnsi="楷体" w:eastAsia="仿宋_GB2312"/>
          <w:sz w:val="32"/>
          <w:szCs w:val="32"/>
          <w:lang w:eastAsia="zh-CN"/>
        </w:rPr>
        <w:t>2022</w:t>
      </w:r>
      <w:r>
        <w:rPr>
          <w:rFonts w:hint="eastAsia" w:ascii="仿宋_GB2312" w:hAnsi="楷体" w:eastAsia="仿宋_GB2312"/>
          <w:sz w:val="32"/>
          <w:szCs w:val="32"/>
        </w:rPr>
        <w:t>年政府采购预算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万元。其中：政府采购货物预算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万元，政府采购工程预算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万元，政府采购服务预算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（四）国有资产占有使用情况。</w:t>
      </w:r>
    </w:p>
    <w:p>
      <w:pPr>
        <w:adjustRightInd w:val="0"/>
        <w:snapToGrid w:val="0"/>
        <w:spacing w:line="600" w:lineRule="exact"/>
        <w:ind w:firstLine="640" w:firstLineChars="200"/>
        <w:rPr>
          <w:rFonts w:ascii="仿宋_GB2312" w:hAnsi="楷体" w:eastAsia="仿宋_GB2312"/>
          <w:color w:val="3366FF"/>
          <w:sz w:val="32"/>
          <w:szCs w:val="32"/>
        </w:rPr>
      </w:pPr>
      <w:r>
        <w:rPr>
          <w:rFonts w:hint="eastAsia" w:ascii="仿宋_GB2312" w:hAnsi="仿宋" w:eastAsia="仿宋_GB2312"/>
          <w:sz w:val="32"/>
          <w:szCs w:val="32"/>
        </w:rPr>
        <w:t>截至</w:t>
      </w:r>
      <w:r>
        <w:rPr>
          <w:rFonts w:hint="eastAsia" w:ascii="仿宋_GB2312" w:hAnsi="仿宋" w:eastAsia="仿宋_GB2312"/>
          <w:sz w:val="32"/>
          <w:szCs w:val="32"/>
          <w:lang w:eastAsia="zh-CN"/>
        </w:rPr>
        <w:t>2021</w:t>
      </w:r>
      <w:r>
        <w:rPr>
          <w:rFonts w:hint="eastAsia" w:ascii="仿宋_GB2312" w:hAnsi="仿宋" w:eastAsia="仿宋_GB2312"/>
          <w:sz w:val="32"/>
          <w:szCs w:val="32"/>
        </w:rPr>
        <w:t>年12月31日，</w:t>
      </w:r>
      <w:r>
        <w:rPr>
          <w:rFonts w:hint="eastAsia" w:ascii="仿宋_GB2312" w:hAnsi="仿宋" w:eastAsia="仿宋_GB2312" w:cs="宋体"/>
          <w:kern w:val="0"/>
          <w:sz w:val="32"/>
          <w:szCs w:val="32"/>
          <w:lang w:eastAsia="zh-CN"/>
        </w:rPr>
        <w:t>相山区财政局</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1</w:t>
      </w:r>
      <w:r>
        <w:rPr>
          <w:rFonts w:hint="eastAsia" w:ascii="仿宋_GB2312" w:hAnsi="楷体" w:eastAsia="仿宋_GB2312"/>
          <w:sz w:val="32"/>
          <w:szCs w:val="32"/>
        </w:rPr>
        <w:t>辆，单位价值50万元以上的通用设备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lang w:eastAsia="zh-CN"/>
        </w:rPr>
        <w:t>2022</w:t>
      </w:r>
      <w:r>
        <w:rPr>
          <w:rFonts w:hint="eastAsia" w:ascii="仿宋_GB2312" w:hAnsi="楷体" w:eastAsia="仿宋_GB2312"/>
          <w:sz w:val="32"/>
          <w:szCs w:val="32"/>
        </w:rPr>
        <w:t>年部门预算安排购置公务用车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万元；安排购置单位价值100万元以上专用设备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（五）绩效目标设置情况。</w:t>
      </w:r>
    </w:p>
    <w:p>
      <w:pPr>
        <w:adjustRightInd w:val="0"/>
        <w:snapToGrid w:val="0"/>
        <w:spacing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2022</w:t>
      </w:r>
      <w:r>
        <w:rPr>
          <w:rFonts w:hint="eastAsia" w:ascii="仿宋_GB2312" w:hAnsi="仿宋" w:eastAsia="仿宋_GB2312"/>
          <w:sz w:val="32"/>
          <w:szCs w:val="32"/>
        </w:rPr>
        <w:t>年，</w:t>
      </w:r>
      <w:r>
        <w:rPr>
          <w:rFonts w:hint="eastAsia" w:ascii="仿宋_GB2312" w:hAnsi="仿宋" w:eastAsia="仿宋_GB2312" w:cs="宋体"/>
          <w:kern w:val="0"/>
          <w:sz w:val="32"/>
          <w:szCs w:val="32"/>
          <w:lang w:eastAsia="zh-CN"/>
        </w:rPr>
        <w:t>相山区财政局</w:t>
      </w:r>
      <w:r>
        <w:rPr>
          <w:rFonts w:hint="eastAsia" w:ascii="仿宋_GB2312" w:hAnsi="仿宋" w:eastAsia="仿宋_GB2312"/>
          <w:sz w:val="32"/>
          <w:szCs w:val="32"/>
          <w:lang w:val="en-US" w:eastAsia="zh-CN"/>
        </w:rPr>
        <w:t>10</w:t>
      </w:r>
      <w:r>
        <w:rPr>
          <w:rFonts w:hint="eastAsia" w:ascii="仿宋_GB2312" w:hAnsi="仿宋" w:eastAsia="仿宋_GB2312"/>
          <w:sz w:val="32"/>
          <w:szCs w:val="32"/>
        </w:rPr>
        <w:t>个项目实行了绩效目标管理，涉及一般公共预算当年财政拨款</w:t>
      </w:r>
      <w:r>
        <w:rPr>
          <w:rFonts w:hint="eastAsia" w:ascii="仿宋_GB2312" w:hAnsi="仿宋" w:eastAsia="仿宋_GB2312"/>
          <w:sz w:val="32"/>
          <w:szCs w:val="32"/>
          <w:lang w:val="en-US" w:eastAsia="zh-CN"/>
        </w:rPr>
        <w:t>737.2</w:t>
      </w:r>
      <w:r>
        <w:rPr>
          <w:rFonts w:hint="eastAsia" w:ascii="仿宋_GB2312" w:hAnsi="仿宋" w:eastAsia="仿宋_GB2312"/>
          <w:sz w:val="32"/>
          <w:szCs w:val="32"/>
        </w:rPr>
        <w:t>万元、政府性基金预算当年财政拨款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万元、财政专户管理资金当年安排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万元和单位资金安排安排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3316"/>
        </w:tabs>
        <w:adjustRightInd w:val="0"/>
        <w:snapToGrid w:val="0"/>
        <w:spacing w:line="600" w:lineRule="exact"/>
        <w:outlineLvl w:val="0"/>
        <w:rPr>
          <w:rFonts w:ascii="黑体" w:eastAsia="黑体" w:cs="宋体"/>
          <w:sz w:val="36"/>
          <w:szCs w:val="36"/>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ascii="黑体" w:hAnsi="黑体" w:eastAsia="黑体"/>
          <w:sz w:val="32"/>
          <w:szCs w:val="32"/>
        </w:rPr>
      </w:pPr>
    </w:p>
    <w:p>
      <w:pPr>
        <w:adjustRightInd w:val="0"/>
        <w:snapToGrid w:val="0"/>
        <w:spacing w:line="600" w:lineRule="exact"/>
        <w:ind w:firstLine="640" w:firstLineChars="200"/>
        <w:rPr>
          <w:rFonts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指部门或单位从同级财政部门取得的财政预算资金。</w:t>
      </w:r>
    </w:p>
    <w:p>
      <w:pPr>
        <w:pStyle w:val="5"/>
        <w:adjustRightInd w:val="0"/>
        <w:snapToGrid w:val="0"/>
        <w:spacing w:line="600" w:lineRule="exact"/>
        <w:ind w:firstLine="627" w:firstLineChars="196"/>
        <w:rPr>
          <w:rFonts w:ascii="黑体" w:hAnsi="黑体" w:eastAsia="黑体"/>
          <w:sz w:val="32"/>
          <w:szCs w:val="32"/>
        </w:rPr>
      </w:pPr>
      <w:r>
        <w:rPr>
          <w:rFonts w:hint="eastAsia" w:ascii="黑体" w:hAnsi="仿宋" w:eastAsia="黑体" w:cstheme="minorBidi"/>
          <w:kern w:val="2"/>
          <w:sz w:val="32"/>
          <w:szCs w:val="32"/>
        </w:rPr>
        <w:t>二、事业收入：</w:t>
      </w:r>
      <w:r>
        <w:rPr>
          <w:rFonts w:hint="eastAsia" w:ascii="仿宋_GB2312" w:hAnsi="仿宋" w:eastAsia="仿宋_GB2312" w:cstheme="minorBidi"/>
          <w:kern w:val="2"/>
          <w:sz w:val="32"/>
          <w:szCs w:val="32"/>
        </w:rPr>
        <w:t>指事业单位开展专业业务活动及辅助活动所取得的收入。</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三、财政专户管理资金：</w:t>
      </w:r>
      <w:r>
        <w:rPr>
          <w:rFonts w:hint="eastAsia" w:ascii="仿宋_GB2312" w:hAnsi="仿宋" w:eastAsia="仿宋_GB2312" w:cs="Times New Roman"/>
          <w:kern w:val="2"/>
          <w:sz w:val="32"/>
          <w:szCs w:val="32"/>
        </w:rPr>
        <w:t>指按照非税收入管理相关规定，纳入财政专户管理的教育收费等。</w:t>
      </w:r>
    </w:p>
    <w:p>
      <w:pPr>
        <w:pStyle w:val="5"/>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四、事业单位经营收入：</w:t>
      </w:r>
      <w:r>
        <w:rPr>
          <w:rFonts w:hint="eastAsia" w:ascii="仿宋_GB2312" w:hAnsi="仿宋" w:eastAsia="仿宋_GB2312" w:cs="Times New Roman"/>
          <w:kern w:val="2"/>
          <w:sz w:val="32"/>
          <w:szCs w:val="32"/>
        </w:rPr>
        <w:t>指事业单位在专业业务活动及其辅助活动之外开展非独立核算经营活动取得的收入。</w:t>
      </w:r>
    </w:p>
    <w:p>
      <w:pPr>
        <w:pStyle w:val="5"/>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五、附属单位上缴收入：</w:t>
      </w:r>
      <w:r>
        <w:rPr>
          <w:rFonts w:hint="eastAsia" w:ascii="仿宋_GB2312" w:hAnsi="仿宋" w:eastAsia="仿宋_GB2312" w:cs="Times New Roman"/>
          <w:kern w:val="2"/>
          <w:sz w:val="32"/>
          <w:szCs w:val="32"/>
        </w:rPr>
        <w:t>本单位所属下级单位上缴给本单位的全部收入。</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六、上年结转：</w:t>
      </w:r>
      <w:r>
        <w:rPr>
          <w:rFonts w:hint="eastAsia" w:ascii="仿宋_GB2312" w:hAnsi="仿宋" w:eastAsia="仿宋_GB2312" w:cs="Times New Roman"/>
          <w:kern w:val="2"/>
          <w:sz w:val="32"/>
          <w:szCs w:val="32"/>
        </w:rPr>
        <w:t>指以前年度安排、结转到本年仍按原用途继续使用的资金。</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七、结转下年：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5"/>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rPr>
        <w:t>八、基本支出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5"/>
        <w:spacing w:before="0" w:beforeAutospacing="0" w:after="0" w:afterAutospacing="0" w:line="600" w:lineRule="exact"/>
        <w:ind w:firstLine="627" w:firstLineChars="196"/>
        <w:jc w:val="both"/>
        <w:rPr>
          <w:rFonts w:hint="eastAsia" w:ascii="仿宋_GB2312" w:hAnsi="黑体" w:eastAsia="仿宋_GB2312"/>
          <w:sz w:val="32"/>
          <w:szCs w:val="32"/>
          <w:lang w:eastAsia="zh-CN"/>
        </w:rPr>
      </w:pPr>
      <w:r>
        <w:rPr>
          <w:rFonts w:hint="eastAsia" w:ascii="黑体" w:hAnsi="黑体" w:eastAsia="黑体"/>
          <w:sz w:val="32"/>
          <w:szCs w:val="32"/>
        </w:rPr>
        <w:t>九、项目支出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p>
    <w:p>
      <w:pPr>
        <w:pStyle w:val="5"/>
        <w:spacing w:before="0" w:beforeAutospacing="0" w:after="0" w:afterAutospacing="0" w:line="600" w:lineRule="exact"/>
        <w:ind w:firstLine="627" w:firstLineChars="196"/>
        <w:jc w:val="both"/>
        <w:rPr>
          <w:rFonts w:ascii="仿宋_GB2312" w:hAnsi="黑体" w:eastAsia="仿宋_GB2312"/>
          <w:sz w:val="32"/>
          <w:szCs w:val="32"/>
        </w:rPr>
      </w:pPr>
      <w:r>
        <w:rPr>
          <w:rFonts w:hint="eastAsia" w:ascii="黑体" w:hAnsi="黑体" w:eastAsia="黑体"/>
          <w:sz w:val="32"/>
          <w:szCs w:val="32"/>
        </w:rPr>
        <w:t>十、机关运行经费:</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5"/>
        <w:adjustRightInd w:val="0"/>
        <w:snapToGrid w:val="0"/>
        <w:spacing w:before="0" w:beforeAutospacing="0" w:after="0" w:afterAutospacing="0" w:line="360" w:lineRule="auto"/>
        <w:ind w:left="359" w:leftChars="171"/>
        <w:jc w:val="both"/>
      </w:pPr>
    </w:p>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sdtPr>
    <w:sdtContent>
      <w:p>
        <w:pPr>
          <w:pStyle w:val="3"/>
          <w:jc w:val="right"/>
        </w:pPr>
        <w:r>
          <w:fldChar w:fldCharType="begin"/>
        </w:r>
        <w:r>
          <w:instrText xml:space="preserve"> PAGE   \* MERGEFORMAT </w:instrText>
        </w:r>
        <w:r>
          <w:fldChar w:fldCharType="separate"/>
        </w:r>
        <w:r>
          <w:rPr>
            <w:lang w:val="zh-CN"/>
          </w:rPr>
          <w:t>18</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38C00"/>
    <w:multiLevelType w:val="singleLevel"/>
    <w:tmpl w:val="B7138C00"/>
    <w:lvl w:ilvl="0" w:tentative="0">
      <w:start w:val="10"/>
      <w:numFmt w:val="chineseCounting"/>
      <w:suff w:val="nothing"/>
      <w:lvlText w:val="%1、"/>
      <w:lvlJc w:val="left"/>
      <w:rPr>
        <w:rFonts w:hint="eastAsia"/>
      </w:rPr>
    </w:lvl>
  </w:abstractNum>
  <w:abstractNum w:abstractNumId="1">
    <w:nsid w:val="EE75C3ED"/>
    <w:multiLevelType w:val="singleLevel"/>
    <w:tmpl w:val="EE75C3ED"/>
    <w:lvl w:ilvl="0" w:tentative="0">
      <w:start w:val="1"/>
      <w:numFmt w:val="chineseCounting"/>
      <w:suff w:val="nothing"/>
      <w:lvlText w:val="（%1）"/>
      <w:lvlJc w:val="left"/>
      <w:rPr>
        <w:rFonts w:hint="eastAsia"/>
      </w:rPr>
    </w:lvl>
  </w:abstractNum>
  <w:abstractNum w:abstractNumId="2">
    <w:nsid w:val="2A455CA7"/>
    <w:multiLevelType w:val="singleLevel"/>
    <w:tmpl w:val="2A455CA7"/>
    <w:lvl w:ilvl="0" w:tentative="0">
      <w:start w:val="2"/>
      <w:numFmt w:val="chineseCounting"/>
      <w:suff w:val="space"/>
      <w:lvlText w:val="第%1部分"/>
      <w:lvlJc w:val="left"/>
      <w:rPr>
        <w:rFonts w:hint="eastAsia"/>
      </w:rPr>
    </w:lvl>
  </w:abstractNum>
  <w:abstractNum w:abstractNumId="3">
    <w:nsid w:val="61F34332"/>
    <w:multiLevelType w:val="singleLevel"/>
    <w:tmpl w:val="61F34332"/>
    <w:lvl w:ilvl="0" w:tentative="0">
      <w:start w:val="2"/>
      <w:numFmt w:val="chineseCounting"/>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MDYzMmFkMjVjNjRmZDg0NWJlODA3NDY1NGNlZWUifQ=="/>
  </w:docVars>
  <w:rsids>
    <w:rsidRoot w:val="00DA7155"/>
    <w:rsid w:val="000003C1"/>
    <w:rsid w:val="00015821"/>
    <w:rsid w:val="00016DCE"/>
    <w:rsid w:val="00026E99"/>
    <w:rsid w:val="0005090D"/>
    <w:rsid w:val="00052923"/>
    <w:rsid w:val="0005523F"/>
    <w:rsid w:val="000720A0"/>
    <w:rsid w:val="000807F9"/>
    <w:rsid w:val="000812F3"/>
    <w:rsid w:val="000859AC"/>
    <w:rsid w:val="00086992"/>
    <w:rsid w:val="0009339B"/>
    <w:rsid w:val="000945B8"/>
    <w:rsid w:val="00095C1B"/>
    <w:rsid w:val="000B486F"/>
    <w:rsid w:val="000B701A"/>
    <w:rsid w:val="000E0593"/>
    <w:rsid w:val="000F001D"/>
    <w:rsid w:val="000F35AE"/>
    <w:rsid w:val="000F6876"/>
    <w:rsid w:val="0012431A"/>
    <w:rsid w:val="00130CD5"/>
    <w:rsid w:val="00143558"/>
    <w:rsid w:val="00145AB0"/>
    <w:rsid w:val="00150DF1"/>
    <w:rsid w:val="00152846"/>
    <w:rsid w:val="00152BF2"/>
    <w:rsid w:val="00161C3F"/>
    <w:rsid w:val="00165C02"/>
    <w:rsid w:val="00166692"/>
    <w:rsid w:val="001771E6"/>
    <w:rsid w:val="001803E7"/>
    <w:rsid w:val="00194491"/>
    <w:rsid w:val="001949D0"/>
    <w:rsid w:val="001A6389"/>
    <w:rsid w:val="001A70D0"/>
    <w:rsid w:val="001C3EA4"/>
    <w:rsid w:val="001C4E9A"/>
    <w:rsid w:val="001D4149"/>
    <w:rsid w:val="001E4162"/>
    <w:rsid w:val="001E717A"/>
    <w:rsid w:val="001F54C8"/>
    <w:rsid w:val="001F739C"/>
    <w:rsid w:val="0020776B"/>
    <w:rsid w:val="00210D08"/>
    <w:rsid w:val="00226E7B"/>
    <w:rsid w:val="00234110"/>
    <w:rsid w:val="002351AD"/>
    <w:rsid w:val="002458E8"/>
    <w:rsid w:val="0024741B"/>
    <w:rsid w:val="0025289A"/>
    <w:rsid w:val="00263B7E"/>
    <w:rsid w:val="002711F0"/>
    <w:rsid w:val="002725C5"/>
    <w:rsid w:val="00277F2D"/>
    <w:rsid w:val="00280650"/>
    <w:rsid w:val="002911C3"/>
    <w:rsid w:val="00294131"/>
    <w:rsid w:val="002A6B54"/>
    <w:rsid w:val="002C2BDF"/>
    <w:rsid w:val="002C781A"/>
    <w:rsid w:val="002E11DE"/>
    <w:rsid w:val="002E284A"/>
    <w:rsid w:val="002F54FF"/>
    <w:rsid w:val="002F6AE2"/>
    <w:rsid w:val="003066B6"/>
    <w:rsid w:val="00314DEA"/>
    <w:rsid w:val="00351103"/>
    <w:rsid w:val="00352640"/>
    <w:rsid w:val="00353EE7"/>
    <w:rsid w:val="00366256"/>
    <w:rsid w:val="00370476"/>
    <w:rsid w:val="00380820"/>
    <w:rsid w:val="00383CD8"/>
    <w:rsid w:val="003B060D"/>
    <w:rsid w:val="003C17BD"/>
    <w:rsid w:val="003C40FD"/>
    <w:rsid w:val="003D30B2"/>
    <w:rsid w:val="003E096B"/>
    <w:rsid w:val="003E237C"/>
    <w:rsid w:val="003E66A3"/>
    <w:rsid w:val="003E7441"/>
    <w:rsid w:val="003E7E98"/>
    <w:rsid w:val="003F2BE9"/>
    <w:rsid w:val="003F5900"/>
    <w:rsid w:val="00415416"/>
    <w:rsid w:val="00415ED5"/>
    <w:rsid w:val="0042415B"/>
    <w:rsid w:val="00425751"/>
    <w:rsid w:val="0042713F"/>
    <w:rsid w:val="00430C41"/>
    <w:rsid w:val="00431161"/>
    <w:rsid w:val="0044737F"/>
    <w:rsid w:val="00454492"/>
    <w:rsid w:val="00482476"/>
    <w:rsid w:val="0048574C"/>
    <w:rsid w:val="004A6577"/>
    <w:rsid w:val="004A7283"/>
    <w:rsid w:val="004C3BD5"/>
    <w:rsid w:val="00514735"/>
    <w:rsid w:val="00516B0F"/>
    <w:rsid w:val="00532161"/>
    <w:rsid w:val="0053715F"/>
    <w:rsid w:val="00542173"/>
    <w:rsid w:val="00544C35"/>
    <w:rsid w:val="00557E03"/>
    <w:rsid w:val="00562B09"/>
    <w:rsid w:val="00565987"/>
    <w:rsid w:val="00574EF2"/>
    <w:rsid w:val="00577B14"/>
    <w:rsid w:val="00582209"/>
    <w:rsid w:val="00584B72"/>
    <w:rsid w:val="005A1CDD"/>
    <w:rsid w:val="005A262C"/>
    <w:rsid w:val="005B0577"/>
    <w:rsid w:val="005B5372"/>
    <w:rsid w:val="005C2187"/>
    <w:rsid w:val="005D2121"/>
    <w:rsid w:val="005E1DBE"/>
    <w:rsid w:val="005E66C6"/>
    <w:rsid w:val="005F1DCD"/>
    <w:rsid w:val="00600DF2"/>
    <w:rsid w:val="00601B50"/>
    <w:rsid w:val="0060284C"/>
    <w:rsid w:val="00642C39"/>
    <w:rsid w:val="00647E00"/>
    <w:rsid w:val="00657804"/>
    <w:rsid w:val="00666BD8"/>
    <w:rsid w:val="00672AEA"/>
    <w:rsid w:val="0069039D"/>
    <w:rsid w:val="00693859"/>
    <w:rsid w:val="00694264"/>
    <w:rsid w:val="006A032A"/>
    <w:rsid w:val="006B17A0"/>
    <w:rsid w:val="006B6125"/>
    <w:rsid w:val="006D39F7"/>
    <w:rsid w:val="006E3F7A"/>
    <w:rsid w:val="006F28D7"/>
    <w:rsid w:val="007221FD"/>
    <w:rsid w:val="00722B93"/>
    <w:rsid w:val="007318DE"/>
    <w:rsid w:val="0074251D"/>
    <w:rsid w:val="00752451"/>
    <w:rsid w:val="00752F7A"/>
    <w:rsid w:val="0075731C"/>
    <w:rsid w:val="0076294D"/>
    <w:rsid w:val="00772BCD"/>
    <w:rsid w:val="00796E8E"/>
    <w:rsid w:val="007A0175"/>
    <w:rsid w:val="007A0E2A"/>
    <w:rsid w:val="007B0E13"/>
    <w:rsid w:val="007D2C1D"/>
    <w:rsid w:val="007E28D7"/>
    <w:rsid w:val="007E36F8"/>
    <w:rsid w:val="00831988"/>
    <w:rsid w:val="00842138"/>
    <w:rsid w:val="00860CC8"/>
    <w:rsid w:val="00863DEC"/>
    <w:rsid w:val="00891055"/>
    <w:rsid w:val="00893638"/>
    <w:rsid w:val="008A4D1E"/>
    <w:rsid w:val="008B0535"/>
    <w:rsid w:val="008D3932"/>
    <w:rsid w:val="008E7426"/>
    <w:rsid w:val="008F1230"/>
    <w:rsid w:val="008F5697"/>
    <w:rsid w:val="00905D7A"/>
    <w:rsid w:val="009154FB"/>
    <w:rsid w:val="00915909"/>
    <w:rsid w:val="00915D08"/>
    <w:rsid w:val="00922AD1"/>
    <w:rsid w:val="00930672"/>
    <w:rsid w:val="00935BC1"/>
    <w:rsid w:val="00943723"/>
    <w:rsid w:val="00960E56"/>
    <w:rsid w:val="00962167"/>
    <w:rsid w:val="009640FF"/>
    <w:rsid w:val="009730E4"/>
    <w:rsid w:val="00976479"/>
    <w:rsid w:val="0098716A"/>
    <w:rsid w:val="009874BC"/>
    <w:rsid w:val="0099011F"/>
    <w:rsid w:val="00990C8B"/>
    <w:rsid w:val="009A3572"/>
    <w:rsid w:val="009A5CC2"/>
    <w:rsid w:val="009C10D1"/>
    <w:rsid w:val="009C7F13"/>
    <w:rsid w:val="009E5A38"/>
    <w:rsid w:val="009F2E05"/>
    <w:rsid w:val="00A13C61"/>
    <w:rsid w:val="00A25CFC"/>
    <w:rsid w:val="00A26644"/>
    <w:rsid w:val="00A266F5"/>
    <w:rsid w:val="00A33786"/>
    <w:rsid w:val="00A34D62"/>
    <w:rsid w:val="00A46E97"/>
    <w:rsid w:val="00A51BB2"/>
    <w:rsid w:val="00A566E8"/>
    <w:rsid w:val="00A62DE6"/>
    <w:rsid w:val="00A64B80"/>
    <w:rsid w:val="00A66984"/>
    <w:rsid w:val="00A759CE"/>
    <w:rsid w:val="00A80366"/>
    <w:rsid w:val="00AA019E"/>
    <w:rsid w:val="00AA63E5"/>
    <w:rsid w:val="00AC6A43"/>
    <w:rsid w:val="00AD02CD"/>
    <w:rsid w:val="00AD7F7C"/>
    <w:rsid w:val="00AE6B99"/>
    <w:rsid w:val="00B106E8"/>
    <w:rsid w:val="00B214F8"/>
    <w:rsid w:val="00B24E1E"/>
    <w:rsid w:val="00B31578"/>
    <w:rsid w:val="00B37364"/>
    <w:rsid w:val="00B40A13"/>
    <w:rsid w:val="00B51464"/>
    <w:rsid w:val="00B60BEC"/>
    <w:rsid w:val="00B679AC"/>
    <w:rsid w:val="00B7597E"/>
    <w:rsid w:val="00B9441F"/>
    <w:rsid w:val="00B96C93"/>
    <w:rsid w:val="00BA005D"/>
    <w:rsid w:val="00BE6210"/>
    <w:rsid w:val="00BF40E0"/>
    <w:rsid w:val="00C07806"/>
    <w:rsid w:val="00C10BDA"/>
    <w:rsid w:val="00C25627"/>
    <w:rsid w:val="00C32C69"/>
    <w:rsid w:val="00C34B8B"/>
    <w:rsid w:val="00C415C6"/>
    <w:rsid w:val="00C56441"/>
    <w:rsid w:val="00C720B7"/>
    <w:rsid w:val="00C82039"/>
    <w:rsid w:val="00C83D02"/>
    <w:rsid w:val="00C87C34"/>
    <w:rsid w:val="00C907C3"/>
    <w:rsid w:val="00C925A2"/>
    <w:rsid w:val="00CB3A30"/>
    <w:rsid w:val="00CC691C"/>
    <w:rsid w:val="00CD124A"/>
    <w:rsid w:val="00CE5011"/>
    <w:rsid w:val="00CE506D"/>
    <w:rsid w:val="00CF2676"/>
    <w:rsid w:val="00CF68DB"/>
    <w:rsid w:val="00D23BD9"/>
    <w:rsid w:val="00D256A1"/>
    <w:rsid w:val="00D41522"/>
    <w:rsid w:val="00D62F2F"/>
    <w:rsid w:val="00D675E1"/>
    <w:rsid w:val="00D75DE3"/>
    <w:rsid w:val="00D93A0A"/>
    <w:rsid w:val="00DA114A"/>
    <w:rsid w:val="00DA6329"/>
    <w:rsid w:val="00DA7155"/>
    <w:rsid w:val="00DD3619"/>
    <w:rsid w:val="00DD3DB1"/>
    <w:rsid w:val="00DE43E7"/>
    <w:rsid w:val="00DE4AFE"/>
    <w:rsid w:val="00DF08DE"/>
    <w:rsid w:val="00E14721"/>
    <w:rsid w:val="00E31623"/>
    <w:rsid w:val="00E33FD5"/>
    <w:rsid w:val="00E34B24"/>
    <w:rsid w:val="00E35319"/>
    <w:rsid w:val="00E36BDC"/>
    <w:rsid w:val="00E6025A"/>
    <w:rsid w:val="00E60B42"/>
    <w:rsid w:val="00E616B4"/>
    <w:rsid w:val="00E658C5"/>
    <w:rsid w:val="00E717A2"/>
    <w:rsid w:val="00E955F8"/>
    <w:rsid w:val="00E9565D"/>
    <w:rsid w:val="00EA0754"/>
    <w:rsid w:val="00EA43F9"/>
    <w:rsid w:val="00EB3D13"/>
    <w:rsid w:val="00EB6ECB"/>
    <w:rsid w:val="00EC18BD"/>
    <w:rsid w:val="00EE3CAA"/>
    <w:rsid w:val="00EE56A3"/>
    <w:rsid w:val="00EF601B"/>
    <w:rsid w:val="00F177FD"/>
    <w:rsid w:val="00F20784"/>
    <w:rsid w:val="00F354AA"/>
    <w:rsid w:val="00F43207"/>
    <w:rsid w:val="00F447BE"/>
    <w:rsid w:val="00F45865"/>
    <w:rsid w:val="00F6260A"/>
    <w:rsid w:val="00F62848"/>
    <w:rsid w:val="00F65F2C"/>
    <w:rsid w:val="00F708D4"/>
    <w:rsid w:val="00F74D65"/>
    <w:rsid w:val="00FC0EE2"/>
    <w:rsid w:val="00FC4888"/>
    <w:rsid w:val="00FE398C"/>
    <w:rsid w:val="00FE475B"/>
    <w:rsid w:val="00FF6EF3"/>
    <w:rsid w:val="01596278"/>
    <w:rsid w:val="01FF05B0"/>
    <w:rsid w:val="031228B1"/>
    <w:rsid w:val="04847570"/>
    <w:rsid w:val="0A2037DA"/>
    <w:rsid w:val="0D5A25F6"/>
    <w:rsid w:val="0D9C7FD3"/>
    <w:rsid w:val="0E283076"/>
    <w:rsid w:val="106D0FD1"/>
    <w:rsid w:val="14377D86"/>
    <w:rsid w:val="166158D1"/>
    <w:rsid w:val="1AD46292"/>
    <w:rsid w:val="1C4F0C9B"/>
    <w:rsid w:val="2347066D"/>
    <w:rsid w:val="234863C1"/>
    <w:rsid w:val="24A26144"/>
    <w:rsid w:val="29201795"/>
    <w:rsid w:val="29366156"/>
    <w:rsid w:val="29EB1AE6"/>
    <w:rsid w:val="2A703C9F"/>
    <w:rsid w:val="34E03158"/>
    <w:rsid w:val="352F0DFC"/>
    <w:rsid w:val="373C29F8"/>
    <w:rsid w:val="38704314"/>
    <w:rsid w:val="3B7C3B77"/>
    <w:rsid w:val="3C4036DC"/>
    <w:rsid w:val="3E4B7EE3"/>
    <w:rsid w:val="3FB337BE"/>
    <w:rsid w:val="48F32361"/>
    <w:rsid w:val="494A0E00"/>
    <w:rsid w:val="4CFF70C4"/>
    <w:rsid w:val="52E80BEB"/>
    <w:rsid w:val="55302C55"/>
    <w:rsid w:val="597B7BEF"/>
    <w:rsid w:val="5D075BDA"/>
    <w:rsid w:val="5E6C2A09"/>
    <w:rsid w:val="60D97EB0"/>
    <w:rsid w:val="643D0718"/>
    <w:rsid w:val="65F25193"/>
    <w:rsid w:val="670009BB"/>
    <w:rsid w:val="67A9053E"/>
    <w:rsid w:val="69B9159D"/>
    <w:rsid w:val="6A07468C"/>
    <w:rsid w:val="6C797180"/>
    <w:rsid w:val="72882D68"/>
    <w:rsid w:val="72CC459A"/>
    <w:rsid w:val="73652C13"/>
    <w:rsid w:val="78620F7F"/>
    <w:rsid w:val="7E19249B"/>
    <w:rsid w:val="7EDB2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kern w:val="0"/>
      <w:sz w:val="32"/>
      <w:szCs w:val="32"/>
    </w:rPr>
  </w:style>
  <w:style w:type="character" w:default="1" w:styleId="8">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qFormat/>
    <w:uiPriority w:val="99"/>
    <w:pPr>
      <w:adjustRightInd w:val="0"/>
      <w:snapToGrid w:val="0"/>
      <w:spacing w:before="240" w:after="60" w:line="360" w:lineRule="auto"/>
      <w:ind w:firstLine="200" w:firstLineChars="200"/>
      <w:jc w:val="center"/>
      <w:outlineLvl w:val="0"/>
    </w:pPr>
    <w:rPr>
      <w:rFonts w:ascii="Arial" w:hAnsi="Arial"/>
      <w:b/>
      <w:bCs/>
    </w:rPr>
  </w:style>
  <w:style w:type="character" w:styleId="9">
    <w:name w:val="Strong"/>
    <w:basedOn w:val="8"/>
    <w:qFormat/>
    <w:uiPriority w:val="0"/>
    <w:rPr>
      <w:b/>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paragraph" w:customStyle="1" w:styleId="12">
    <w:name w:val="List Paragraph"/>
    <w:basedOn w:val="1"/>
    <w:qFormat/>
    <w:uiPriority w:val="34"/>
    <w:pPr>
      <w:ind w:firstLine="420" w:firstLineChars="200"/>
    </w:pPr>
  </w:style>
  <w:style w:type="paragraph" w:customStyle="1" w:styleId="13">
    <w:name w:val="Body text|1"/>
    <w:basedOn w:val="1"/>
    <w:qFormat/>
    <w:uiPriority w:val="0"/>
    <w:pPr>
      <w:spacing w:line="422"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Pages>
  <Words>11367</Words>
  <Characters>12401</Characters>
  <Lines>115</Lines>
  <Paragraphs>32</Paragraphs>
  <TotalTime>15</TotalTime>
  <ScaleCrop>false</ScaleCrop>
  <LinksUpToDate>false</LinksUpToDate>
  <CharactersWithSpaces>12602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2021-02-01T00:18:00Z</dcterms:created>
  <dc:creator>刘海</dc:creator>
  <cp:lastModifiedBy>Administrator</cp:lastModifiedBy>
  <cp:lastPrinted>2021-02-07T07:09:00Z</cp:lastPrinted>
  <dcterms:modified xsi:type="dcterms:W3CDTF">2022-10-27T01:54:11Z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5BFBC0D27E0E44C28E84AB42AAC28461</vt:lpwstr>
  </property>
</Properties>
</file>