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hAnsi="宋体"/>
          <w:sz w:val="28"/>
          <w:szCs w:val="28"/>
        </w:rPr>
      </w:pPr>
      <w:r>
        <w:rPr>
          <w:rFonts w:hint="eastAsia" w:ascii="宋体" w:hAnsi="宋体"/>
          <w:sz w:val="28"/>
          <w:szCs w:val="28"/>
        </w:rPr>
        <w:t>附件1</w:t>
      </w: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华文中宋" w:hAnsi="华文中宋" w:eastAsia="华文中宋" w:cs="华文中宋"/>
          <w:b/>
          <w:sz w:val="52"/>
          <w:szCs w:val="84"/>
        </w:rPr>
      </w:pPr>
      <w:r>
        <w:rPr>
          <w:rFonts w:hint="eastAsia" w:ascii="华文中宋" w:hAnsi="华文中宋" w:eastAsia="华文中宋" w:cs="华文中宋"/>
          <w:b/>
          <w:sz w:val="52"/>
          <w:szCs w:val="84"/>
        </w:rPr>
        <w:t>淮北师范大学附属相山学校</w:t>
      </w:r>
    </w:p>
    <w:p>
      <w:pPr>
        <w:adjustRightInd w:val="0"/>
        <w:snapToGrid w:val="0"/>
        <w:spacing w:line="360" w:lineRule="auto"/>
        <w:jc w:val="center"/>
        <w:rPr>
          <w:rFonts w:ascii="华文中宋" w:hAnsi="华文中宋" w:eastAsia="华文中宋" w:cs="华文中宋"/>
          <w:b/>
          <w:sz w:val="52"/>
          <w:szCs w:val="84"/>
        </w:rPr>
      </w:pPr>
      <w:r>
        <w:rPr>
          <w:rFonts w:hint="eastAsia" w:ascii="华文中宋" w:hAnsi="华文中宋" w:eastAsia="华文中宋" w:cs="华文中宋"/>
          <w:b/>
          <w:sz w:val="52"/>
          <w:szCs w:val="84"/>
        </w:rPr>
        <w:t>2023年部门预算</w:t>
      </w:r>
    </w:p>
    <w:p>
      <w:pPr>
        <w:pStyle w:val="7"/>
        <w:adjustRightInd w:val="0"/>
        <w:snapToGrid w:val="0"/>
        <w:spacing w:before="0" w:beforeAutospacing="0" w:after="0" w:afterAutospacing="0" w:line="360" w:lineRule="auto"/>
        <w:jc w:val="center"/>
        <w:rPr>
          <w:rFonts w:ascii="黑体" w:hAnsi="黑体" w:eastAsia="黑体"/>
          <w:bCs/>
          <w:sz w:val="36"/>
          <w:szCs w:val="36"/>
        </w:rPr>
      </w:pPr>
    </w:p>
    <w:p>
      <w:pPr>
        <w:pStyle w:val="7"/>
        <w:adjustRightInd w:val="0"/>
        <w:snapToGrid w:val="0"/>
        <w:spacing w:before="0" w:beforeAutospacing="0" w:after="0" w:afterAutospacing="0" w:line="360" w:lineRule="auto"/>
        <w:jc w:val="center"/>
        <w:rPr>
          <w:rFonts w:ascii="黑体" w:hAnsi="黑体" w:eastAsia="黑体"/>
          <w:bCs/>
          <w:sz w:val="36"/>
          <w:szCs w:val="36"/>
        </w:rPr>
      </w:pPr>
    </w:p>
    <w:p>
      <w:pPr>
        <w:pStyle w:val="7"/>
        <w:adjustRightInd w:val="0"/>
        <w:snapToGrid w:val="0"/>
        <w:spacing w:before="0" w:beforeAutospacing="0" w:after="0" w:afterAutospacing="0" w:line="360" w:lineRule="auto"/>
        <w:jc w:val="center"/>
        <w:rPr>
          <w:rFonts w:ascii="黑体" w:hAnsi="黑体" w:eastAsia="黑体"/>
          <w:bCs/>
          <w:sz w:val="36"/>
          <w:szCs w:val="36"/>
        </w:rPr>
      </w:pPr>
    </w:p>
    <w:p>
      <w:pPr>
        <w:pStyle w:val="7"/>
        <w:adjustRightInd w:val="0"/>
        <w:snapToGrid w:val="0"/>
        <w:spacing w:before="0" w:beforeAutospacing="0" w:after="0" w:afterAutospacing="0" w:line="360" w:lineRule="auto"/>
        <w:jc w:val="center"/>
        <w:rPr>
          <w:rFonts w:ascii="黑体" w:hAnsi="黑体" w:eastAsia="黑体"/>
          <w:bCs/>
          <w:sz w:val="36"/>
          <w:szCs w:val="36"/>
        </w:rPr>
      </w:pPr>
    </w:p>
    <w:p>
      <w:pPr>
        <w:pStyle w:val="7"/>
        <w:adjustRightInd w:val="0"/>
        <w:snapToGrid w:val="0"/>
        <w:spacing w:before="0" w:beforeAutospacing="0" w:after="0" w:afterAutospacing="0" w:line="360" w:lineRule="auto"/>
        <w:jc w:val="center"/>
        <w:rPr>
          <w:rFonts w:ascii="黑体" w:hAnsi="黑体" w:eastAsia="黑体"/>
          <w:bCs/>
          <w:sz w:val="36"/>
          <w:szCs w:val="36"/>
        </w:rPr>
      </w:pPr>
    </w:p>
    <w:p>
      <w:pPr>
        <w:pStyle w:val="7"/>
        <w:adjustRightInd w:val="0"/>
        <w:snapToGrid w:val="0"/>
        <w:spacing w:before="0" w:beforeAutospacing="0" w:after="0" w:afterAutospacing="0" w:line="360" w:lineRule="auto"/>
        <w:jc w:val="center"/>
        <w:rPr>
          <w:rFonts w:ascii="黑体" w:hAnsi="黑体" w:eastAsia="黑体"/>
          <w:bCs/>
          <w:sz w:val="36"/>
          <w:szCs w:val="36"/>
        </w:rPr>
      </w:pPr>
    </w:p>
    <w:p>
      <w:pPr>
        <w:pStyle w:val="7"/>
        <w:adjustRightInd w:val="0"/>
        <w:snapToGrid w:val="0"/>
        <w:spacing w:before="0" w:beforeAutospacing="0" w:after="0" w:afterAutospacing="0" w:line="360" w:lineRule="auto"/>
        <w:jc w:val="center"/>
        <w:rPr>
          <w:rFonts w:ascii="黑体" w:hAnsi="黑体" w:eastAsia="黑体"/>
          <w:bCs/>
          <w:sz w:val="36"/>
          <w:szCs w:val="36"/>
        </w:rPr>
      </w:pPr>
    </w:p>
    <w:p>
      <w:pPr>
        <w:pStyle w:val="7"/>
        <w:adjustRightInd w:val="0"/>
        <w:snapToGrid w:val="0"/>
        <w:spacing w:before="0" w:beforeAutospacing="0" w:after="0" w:afterAutospacing="0" w:line="360" w:lineRule="auto"/>
        <w:jc w:val="center"/>
        <w:rPr>
          <w:rFonts w:ascii="黑体" w:hAnsi="黑体" w:eastAsia="黑体"/>
          <w:bCs/>
          <w:sz w:val="36"/>
          <w:szCs w:val="36"/>
        </w:rPr>
      </w:pPr>
      <w:bookmarkStart w:id="0" w:name="_GoBack"/>
      <w:bookmarkEnd w:id="0"/>
    </w:p>
    <w:p>
      <w:pPr>
        <w:pStyle w:val="7"/>
        <w:adjustRightInd w:val="0"/>
        <w:snapToGrid w:val="0"/>
        <w:spacing w:before="0" w:beforeAutospacing="0" w:after="0" w:afterAutospacing="0" w:line="360" w:lineRule="auto"/>
        <w:jc w:val="center"/>
        <w:rPr>
          <w:rFonts w:ascii="黑体" w:hAnsi="黑体" w:eastAsia="黑体"/>
          <w:bCs/>
          <w:sz w:val="36"/>
          <w:szCs w:val="36"/>
        </w:rPr>
      </w:pPr>
    </w:p>
    <w:p>
      <w:pPr>
        <w:pStyle w:val="7"/>
        <w:adjustRightInd w:val="0"/>
        <w:snapToGrid w:val="0"/>
        <w:spacing w:before="0" w:beforeAutospacing="0" w:after="0" w:afterAutospacing="0" w:line="360" w:lineRule="auto"/>
        <w:jc w:val="center"/>
        <w:rPr>
          <w:rFonts w:ascii="黑体" w:hAnsi="黑体" w:eastAsia="黑体"/>
          <w:bCs/>
          <w:sz w:val="36"/>
          <w:szCs w:val="36"/>
        </w:rPr>
      </w:pPr>
    </w:p>
    <w:p>
      <w:pPr>
        <w:pStyle w:val="7"/>
        <w:adjustRightInd w:val="0"/>
        <w:snapToGrid w:val="0"/>
        <w:spacing w:before="0" w:beforeAutospacing="0" w:after="0" w:afterAutospacing="0" w:line="360" w:lineRule="auto"/>
        <w:jc w:val="center"/>
        <w:rPr>
          <w:rFonts w:ascii="黑体" w:hAnsi="黑体" w:eastAsia="黑体"/>
          <w:bCs/>
          <w:sz w:val="36"/>
          <w:szCs w:val="36"/>
        </w:rPr>
      </w:pPr>
    </w:p>
    <w:p>
      <w:pPr>
        <w:pStyle w:val="7"/>
        <w:adjustRightInd w:val="0"/>
        <w:snapToGrid w:val="0"/>
        <w:spacing w:before="0" w:beforeAutospacing="0" w:after="0" w:afterAutospacing="0" w:line="360" w:lineRule="auto"/>
        <w:jc w:val="center"/>
        <w:rPr>
          <w:rFonts w:ascii="黑体" w:hAnsi="黑体" w:eastAsia="黑体"/>
          <w:bCs/>
          <w:sz w:val="44"/>
          <w:szCs w:val="44"/>
        </w:rPr>
      </w:pPr>
      <w:r>
        <w:rPr>
          <w:rFonts w:hint="eastAsia" w:ascii="黑体" w:hAnsi="黑体" w:eastAsia="黑体"/>
          <w:bCs/>
          <w:sz w:val="44"/>
          <w:szCs w:val="44"/>
        </w:rPr>
        <w:t>2023年</w:t>
      </w:r>
      <w:r>
        <w:rPr>
          <w:rFonts w:hint="eastAsia" w:ascii="黑体" w:hAnsi="黑体" w:eastAsia="黑体"/>
          <w:bCs/>
          <w:sz w:val="44"/>
          <w:szCs w:val="44"/>
          <w:lang w:val="en-US" w:eastAsia="zh-CN"/>
        </w:rPr>
        <w:t>2</w:t>
      </w:r>
      <w:r>
        <w:rPr>
          <w:rFonts w:hint="eastAsia" w:ascii="黑体" w:hAnsi="黑体" w:eastAsia="黑体"/>
          <w:bCs/>
          <w:sz w:val="44"/>
          <w:szCs w:val="44"/>
        </w:rPr>
        <w:t>月</w:t>
      </w:r>
    </w:p>
    <w:p>
      <w:pPr>
        <w:pStyle w:val="7"/>
        <w:adjustRightInd w:val="0"/>
        <w:snapToGrid w:val="0"/>
        <w:spacing w:before="0" w:beforeAutospacing="0" w:after="0" w:afterAutospacing="0" w:line="360" w:lineRule="auto"/>
        <w:jc w:val="center"/>
        <w:rPr>
          <w:rFonts w:ascii="黑体" w:hAnsi="黑体" w:eastAsia="黑体"/>
          <w:bCs/>
          <w:sz w:val="44"/>
          <w:szCs w:val="44"/>
        </w:rPr>
      </w:pPr>
      <w:r>
        <w:rPr>
          <w:rFonts w:hint="eastAsia" w:ascii="黑体" w:hAnsi="黑体" w:eastAsia="黑体"/>
          <w:bCs/>
          <w:sz w:val="44"/>
          <w:szCs w:val="44"/>
        </w:rPr>
        <w:t>目 录</w:t>
      </w:r>
    </w:p>
    <w:p>
      <w:pPr>
        <w:pStyle w:val="7"/>
        <w:adjustRightInd w:val="0"/>
        <w:snapToGrid w:val="0"/>
        <w:spacing w:before="0" w:beforeAutospacing="0" w:after="0" w:afterAutospacing="0" w:line="500" w:lineRule="exact"/>
        <w:ind w:firstLine="640" w:firstLineChars="200"/>
        <w:jc w:val="both"/>
        <w:rPr>
          <w:rFonts w:ascii="仿宋_GB2312" w:hAnsi="仿宋" w:eastAsia="仿宋_GB2312" w:cs="仿宋"/>
          <w:b/>
          <w:sz w:val="32"/>
          <w:szCs w:val="32"/>
        </w:rPr>
      </w:pPr>
    </w:p>
    <w:p>
      <w:pPr>
        <w:pStyle w:val="7"/>
        <w:adjustRightInd w:val="0"/>
        <w:snapToGrid w:val="0"/>
        <w:spacing w:before="0" w:beforeAutospacing="0" w:after="0" w:afterAutospacing="0" w:line="500" w:lineRule="exact"/>
        <w:ind w:firstLine="640" w:firstLineChars="200"/>
        <w:jc w:val="both"/>
        <w:rPr>
          <w:rFonts w:ascii="仿宋_GB2312" w:hAnsi="仿宋" w:eastAsia="仿宋_GB2312" w:cs="仿宋"/>
          <w:b/>
          <w:sz w:val="32"/>
          <w:szCs w:val="32"/>
        </w:rPr>
      </w:pPr>
      <w:r>
        <w:rPr>
          <w:rFonts w:hint="eastAsia" w:ascii="仿宋_GB2312" w:hAnsi="仿宋" w:eastAsia="仿宋_GB2312" w:cs="仿宋"/>
          <w:b/>
          <w:sz w:val="32"/>
          <w:szCs w:val="32"/>
        </w:rPr>
        <w:t>第一部分 部门概况</w:t>
      </w:r>
    </w:p>
    <w:p>
      <w:pPr>
        <w:pStyle w:val="7"/>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1.主要职责</w:t>
      </w:r>
    </w:p>
    <w:p>
      <w:pPr>
        <w:pStyle w:val="7"/>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w:t>
      </w:r>
      <w:r>
        <w:rPr>
          <w:rFonts w:hint="eastAsia" w:ascii="仿宋_GB2312" w:hAnsi="仿宋" w:eastAsia="仿宋_GB2312" w:cs="仿宋"/>
          <w:bCs/>
          <w:kern w:val="2"/>
          <w:sz w:val="32"/>
          <w:szCs w:val="32"/>
        </w:rPr>
        <w:t xml:space="preserve"> </w:t>
      </w:r>
      <w:r>
        <w:rPr>
          <w:rFonts w:hint="eastAsia" w:ascii="仿宋_GB2312" w:hAnsi="仿宋" w:eastAsia="仿宋_GB2312" w:cs="仿宋"/>
          <w:bCs/>
          <w:sz w:val="32"/>
          <w:szCs w:val="32"/>
        </w:rPr>
        <w:t>部门</w:t>
      </w:r>
      <w:r>
        <w:rPr>
          <w:rFonts w:hint="eastAsia" w:ascii="仿宋_GB2312" w:hAnsi="仿宋" w:eastAsia="仿宋_GB2312" w:cs="仿宋"/>
          <w:bCs/>
          <w:sz w:val="32"/>
          <w:szCs w:val="32"/>
          <w:u w:val="single"/>
        </w:rPr>
        <w:t>（单位）</w:t>
      </w:r>
      <w:r>
        <w:rPr>
          <w:rFonts w:hint="eastAsia" w:ascii="仿宋_GB2312" w:hAnsi="仿宋" w:eastAsia="仿宋_GB2312" w:cs="仿宋"/>
          <w:bCs/>
          <w:sz w:val="32"/>
          <w:szCs w:val="32"/>
        </w:rPr>
        <w:t>预算构成</w:t>
      </w:r>
    </w:p>
    <w:p>
      <w:pPr>
        <w:pStyle w:val="7"/>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3.2023年度主要工作任务</w:t>
      </w:r>
    </w:p>
    <w:p>
      <w:pPr>
        <w:pStyle w:val="7"/>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第二部分 2023年部门预算表</w:t>
      </w:r>
    </w:p>
    <w:p>
      <w:pPr>
        <w:pStyle w:val="7"/>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 淮北师范大学附属相山学校2023年收支总表</w:t>
      </w:r>
    </w:p>
    <w:p>
      <w:pPr>
        <w:pStyle w:val="7"/>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 淮北师范大学附属相山学校2023年收入总表</w:t>
      </w:r>
    </w:p>
    <w:p>
      <w:pPr>
        <w:pStyle w:val="7"/>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3. 淮北师范大学附属相山学校2023年支出总表</w:t>
      </w:r>
    </w:p>
    <w:p>
      <w:pPr>
        <w:pStyle w:val="7"/>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 淮北师范大学附属相山学校2023年财政拨款收支总表</w:t>
      </w:r>
    </w:p>
    <w:p>
      <w:pPr>
        <w:pStyle w:val="7"/>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5. 淮北师范大学附属相山学校2023年一般公共预算支出表</w:t>
      </w:r>
    </w:p>
    <w:p>
      <w:pPr>
        <w:pStyle w:val="7"/>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 淮北师范大学附属相山学校2023年一般公共预算基本支出表</w:t>
      </w:r>
    </w:p>
    <w:p>
      <w:pPr>
        <w:pStyle w:val="7"/>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 淮北师范大学附属相山学校2023年政府性基金预算支出表</w:t>
      </w:r>
    </w:p>
    <w:p>
      <w:pPr>
        <w:pStyle w:val="7"/>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 淮北师范大学附属相山学校2023年国有资本经营预算支出表</w:t>
      </w:r>
    </w:p>
    <w:p>
      <w:pPr>
        <w:pStyle w:val="7"/>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 淮北师范大学附属相山学校2023年项目支出表</w:t>
      </w:r>
    </w:p>
    <w:p>
      <w:pPr>
        <w:pStyle w:val="7"/>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 淮北师范大学附属相山学校2023年政府采购支出表</w:t>
      </w:r>
    </w:p>
    <w:p>
      <w:pPr>
        <w:pStyle w:val="7"/>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 淮北师范大学附属相山学校2023年政府购买服务支出表</w:t>
      </w:r>
    </w:p>
    <w:p>
      <w:pPr>
        <w:pStyle w:val="7"/>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第三部分 2023年部门预算情况说明</w:t>
      </w:r>
    </w:p>
    <w:p>
      <w:pPr>
        <w:pStyle w:val="7"/>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1.关于2023年收支总表的说明</w:t>
      </w:r>
    </w:p>
    <w:p>
      <w:pPr>
        <w:pStyle w:val="7"/>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2.关于2023年收入总表的说明</w:t>
      </w:r>
    </w:p>
    <w:p>
      <w:pPr>
        <w:pStyle w:val="7"/>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3.关于2023年支出总表的说明</w:t>
      </w:r>
    </w:p>
    <w:p>
      <w:pPr>
        <w:pStyle w:val="7"/>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4.关于2023年财政拨款收支总表的说明</w:t>
      </w:r>
    </w:p>
    <w:p>
      <w:pPr>
        <w:pStyle w:val="7"/>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5.关于2023年一般公共预算支出表的说明</w:t>
      </w:r>
    </w:p>
    <w:p>
      <w:pPr>
        <w:pStyle w:val="7"/>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6.关于2023年一般公共预算基本支出表的说明</w:t>
      </w:r>
    </w:p>
    <w:p>
      <w:pPr>
        <w:pStyle w:val="7"/>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7.关于2023年政府性基金预算支出表的说明</w:t>
      </w:r>
    </w:p>
    <w:p>
      <w:pPr>
        <w:pStyle w:val="7"/>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8.关于2023年国有资本经营预算支出表的说明</w:t>
      </w:r>
    </w:p>
    <w:p>
      <w:pPr>
        <w:pStyle w:val="7"/>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9.关于2023年项目支出表的说明</w:t>
      </w:r>
    </w:p>
    <w:p>
      <w:pPr>
        <w:pStyle w:val="7"/>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10.关于2023年政府采购支出表的说明</w:t>
      </w:r>
    </w:p>
    <w:p>
      <w:pPr>
        <w:pStyle w:val="7"/>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11.关于2023年政府购买服务支出表的说明</w:t>
      </w:r>
    </w:p>
    <w:p>
      <w:pPr>
        <w:pStyle w:val="7"/>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12.其他重要事项情况说明</w:t>
      </w:r>
    </w:p>
    <w:p>
      <w:pPr>
        <w:pStyle w:val="7"/>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第四部分 名词解释</w:t>
      </w:r>
    </w:p>
    <w:p>
      <w:pPr>
        <w:pStyle w:val="7"/>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第五部分 其它公开事项</w:t>
      </w:r>
    </w:p>
    <w:p>
      <w:pPr>
        <w:pStyle w:val="7"/>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 淮北师范大学附属相山学校2023年部门预算纳入绩效考评项目表</w:t>
      </w:r>
    </w:p>
    <w:p>
      <w:pPr>
        <w:pStyle w:val="7"/>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2. 淮北师范大学附属相山学校2023年部门预算专项资金管理清单（专栏公开）</w:t>
      </w:r>
    </w:p>
    <w:p>
      <w:pPr>
        <w:pStyle w:val="7"/>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p>
    <w:p>
      <w:pPr>
        <w:pStyle w:val="7"/>
        <w:tabs>
          <w:tab w:val="left" w:pos="2520"/>
        </w:tabs>
        <w:spacing w:before="0" w:beforeAutospacing="0" w:after="0" w:afterAutospacing="0" w:line="600" w:lineRule="exact"/>
        <w:jc w:val="both"/>
        <w:rPr>
          <w:rStyle w:val="10"/>
          <w:rFonts w:ascii="黑体" w:eastAsia="黑体"/>
          <w:color w:val="000000"/>
          <w:sz w:val="36"/>
          <w:szCs w:val="36"/>
        </w:rPr>
      </w:pPr>
      <w:r>
        <w:rPr>
          <w:rStyle w:val="10"/>
          <w:rFonts w:hint="eastAsia" w:ascii="黑体" w:eastAsia="黑体"/>
          <w:color w:val="000000"/>
          <w:sz w:val="36"/>
          <w:szCs w:val="36"/>
        </w:rPr>
        <w:tab/>
      </w:r>
    </w:p>
    <w:p>
      <w:pPr>
        <w:pStyle w:val="7"/>
        <w:tabs>
          <w:tab w:val="left" w:pos="2520"/>
        </w:tabs>
        <w:spacing w:before="0" w:beforeAutospacing="0" w:after="0" w:afterAutospacing="0" w:line="600" w:lineRule="exact"/>
        <w:jc w:val="both"/>
        <w:rPr>
          <w:rStyle w:val="10"/>
          <w:rFonts w:ascii="黑体" w:eastAsia="黑体"/>
          <w:color w:val="000000"/>
          <w:sz w:val="36"/>
          <w:szCs w:val="36"/>
        </w:rPr>
      </w:pPr>
    </w:p>
    <w:p>
      <w:pPr>
        <w:pStyle w:val="7"/>
        <w:tabs>
          <w:tab w:val="left" w:pos="2520"/>
        </w:tabs>
        <w:spacing w:before="0" w:beforeAutospacing="0" w:after="0" w:afterAutospacing="0" w:line="600" w:lineRule="exact"/>
        <w:jc w:val="both"/>
        <w:rPr>
          <w:rStyle w:val="10"/>
          <w:rFonts w:ascii="黑体" w:eastAsia="黑体"/>
          <w:color w:val="000000"/>
          <w:sz w:val="36"/>
          <w:szCs w:val="36"/>
        </w:rPr>
      </w:pPr>
    </w:p>
    <w:p>
      <w:pPr>
        <w:pStyle w:val="7"/>
        <w:tabs>
          <w:tab w:val="left" w:pos="2520"/>
        </w:tabs>
        <w:spacing w:before="0" w:beforeAutospacing="0" w:after="0" w:afterAutospacing="0" w:line="600" w:lineRule="exact"/>
        <w:jc w:val="both"/>
        <w:rPr>
          <w:rStyle w:val="10"/>
          <w:rFonts w:ascii="黑体" w:eastAsia="黑体"/>
          <w:color w:val="000000"/>
          <w:sz w:val="36"/>
          <w:szCs w:val="36"/>
        </w:rPr>
      </w:pPr>
    </w:p>
    <w:p>
      <w:pPr>
        <w:pStyle w:val="7"/>
        <w:tabs>
          <w:tab w:val="left" w:pos="2520"/>
        </w:tabs>
        <w:spacing w:before="0" w:beforeAutospacing="0" w:after="0" w:afterAutospacing="0" w:line="600" w:lineRule="exact"/>
        <w:jc w:val="both"/>
        <w:rPr>
          <w:rStyle w:val="10"/>
          <w:rFonts w:ascii="黑体" w:eastAsia="黑体"/>
          <w:color w:val="000000"/>
          <w:sz w:val="36"/>
          <w:szCs w:val="36"/>
        </w:rPr>
      </w:pPr>
    </w:p>
    <w:p>
      <w:pPr>
        <w:pStyle w:val="7"/>
        <w:tabs>
          <w:tab w:val="left" w:pos="2520"/>
        </w:tabs>
        <w:spacing w:before="0" w:beforeAutospacing="0" w:after="0" w:afterAutospacing="0" w:line="600" w:lineRule="exact"/>
        <w:jc w:val="both"/>
        <w:rPr>
          <w:rStyle w:val="10"/>
          <w:rFonts w:ascii="黑体" w:eastAsia="黑体"/>
          <w:color w:val="000000"/>
          <w:sz w:val="36"/>
          <w:szCs w:val="36"/>
        </w:rPr>
      </w:pPr>
    </w:p>
    <w:p>
      <w:pPr>
        <w:pStyle w:val="7"/>
        <w:tabs>
          <w:tab w:val="left" w:pos="2520"/>
        </w:tabs>
        <w:spacing w:before="0" w:beforeAutospacing="0" w:after="0" w:afterAutospacing="0" w:line="600" w:lineRule="exact"/>
        <w:jc w:val="both"/>
        <w:rPr>
          <w:rStyle w:val="10"/>
          <w:rFonts w:ascii="黑体" w:eastAsia="黑体"/>
          <w:color w:val="000000"/>
          <w:sz w:val="36"/>
          <w:szCs w:val="36"/>
        </w:rPr>
      </w:pPr>
    </w:p>
    <w:p>
      <w:pPr>
        <w:pStyle w:val="7"/>
        <w:tabs>
          <w:tab w:val="left" w:pos="2520"/>
        </w:tabs>
        <w:spacing w:before="0" w:beforeAutospacing="0" w:after="0" w:afterAutospacing="0" w:line="600" w:lineRule="exact"/>
        <w:jc w:val="both"/>
        <w:rPr>
          <w:rStyle w:val="10"/>
          <w:rFonts w:ascii="黑体" w:eastAsia="黑体"/>
          <w:color w:val="000000"/>
          <w:sz w:val="36"/>
          <w:szCs w:val="36"/>
        </w:rPr>
      </w:pPr>
    </w:p>
    <w:p>
      <w:pPr>
        <w:pStyle w:val="7"/>
        <w:tabs>
          <w:tab w:val="left" w:pos="2520"/>
        </w:tabs>
        <w:spacing w:before="0" w:beforeAutospacing="0" w:after="0" w:afterAutospacing="0" w:line="600" w:lineRule="exact"/>
        <w:jc w:val="both"/>
        <w:rPr>
          <w:rStyle w:val="10"/>
          <w:rFonts w:ascii="黑体" w:eastAsia="黑体"/>
          <w:color w:val="000000"/>
          <w:sz w:val="36"/>
          <w:szCs w:val="36"/>
        </w:rPr>
      </w:pPr>
    </w:p>
    <w:p>
      <w:pPr>
        <w:pStyle w:val="7"/>
        <w:tabs>
          <w:tab w:val="left" w:pos="2520"/>
        </w:tabs>
        <w:spacing w:before="0" w:beforeAutospacing="0" w:after="0" w:afterAutospacing="0" w:line="600" w:lineRule="exact"/>
        <w:jc w:val="both"/>
        <w:rPr>
          <w:rStyle w:val="10"/>
          <w:rFonts w:ascii="黑体" w:eastAsia="黑体"/>
          <w:color w:val="000000"/>
          <w:sz w:val="36"/>
          <w:szCs w:val="36"/>
        </w:rPr>
      </w:pPr>
    </w:p>
    <w:p>
      <w:pPr>
        <w:pStyle w:val="7"/>
        <w:tabs>
          <w:tab w:val="left" w:pos="2520"/>
        </w:tabs>
        <w:spacing w:before="0" w:beforeAutospacing="0" w:after="0" w:afterAutospacing="0" w:line="600" w:lineRule="exact"/>
        <w:jc w:val="both"/>
        <w:rPr>
          <w:rStyle w:val="10"/>
          <w:rFonts w:ascii="黑体" w:eastAsia="黑体"/>
          <w:color w:val="000000"/>
          <w:sz w:val="36"/>
          <w:szCs w:val="36"/>
        </w:rPr>
      </w:pPr>
    </w:p>
    <w:p>
      <w:pPr>
        <w:pStyle w:val="7"/>
        <w:tabs>
          <w:tab w:val="left" w:pos="2520"/>
        </w:tabs>
        <w:spacing w:before="0" w:beforeAutospacing="0" w:after="0" w:afterAutospacing="0" w:line="600" w:lineRule="exact"/>
        <w:jc w:val="both"/>
        <w:rPr>
          <w:rStyle w:val="10"/>
          <w:rFonts w:ascii="黑体" w:eastAsia="黑体"/>
          <w:color w:val="000000"/>
          <w:sz w:val="36"/>
          <w:szCs w:val="36"/>
        </w:rPr>
      </w:pPr>
    </w:p>
    <w:p>
      <w:pPr>
        <w:pStyle w:val="7"/>
        <w:tabs>
          <w:tab w:val="left" w:pos="2520"/>
        </w:tabs>
        <w:spacing w:before="0" w:beforeAutospacing="0" w:after="0" w:afterAutospacing="0" w:line="600" w:lineRule="exact"/>
        <w:jc w:val="both"/>
        <w:rPr>
          <w:rStyle w:val="10"/>
          <w:rFonts w:ascii="黑体" w:eastAsia="黑体"/>
          <w:color w:val="000000"/>
          <w:sz w:val="36"/>
          <w:szCs w:val="36"/>
        </w:rPr>
      </w:pPr>
    </w:p>
    <w:p>
      <w:pPr>
        <w:pStyle w:val="7"/>
        <w:tabs>
          <w:tab w:val="left" w:pos="2520"/>
        </w:tabs>
        <w:spacing w:before="0" w:beforeAutospacing="0" w:after="0" w:afterAutospacing="0" w:line="600" w:lineRule="exact"/>
        <w:jc w:val="both"/>
        <w:rPr>
          <w:rStyle w:val="10"/>
          <w:rFonts w:ascii="黑体" w:eastAsia="黑体"/>
          <w:color w:val="000000"/>
          <w:sz w:val="36"/>
          <w:szCs w:val="36"/>
        </w:rPr>
      </w:pPr>
    </w:p>
    <w:p>
      <w:pPr>
        <w:pStyle w:val="7"/>
        <w:adjustRightInd w:val="0"/>
        <w:snapToGrid w:val="0"/>
        <w:spacing w:before="0" w:beforeAutospacing="0" w:after="0" w:afterAutospacing="0" w:line="360" w:lineRule="auto"/>
        <w:jc w:val="center"/>
        <w:rPr>
          <w:rFonts w:ascii="黑体" w:hAnsi="黑体" w:eastAsia="黑体"/>
          <w:bCs/>
          <w:sz w:val="36"/>
          <w:szCs w:val="36"/>
        </w:rPr>
      </w:pPr>
    </w:p>
    <w:p>
      <w:pPr>
        <w:pStyle w:val="7"/>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第一部分 部门概况</w:t>
      </w:r>
    </w:p>
    <w:p>
      <w:pPr>
        <w:pStyle w:val="7"/>
        <w:adjustRightInd w:val="0"/>
        <w:snapToGrid w:val="0"/>
        <w:spacing w:before="0" w:beforeAutospacing="0" w:after="0" w:afterAutospacing="0" w:line="360" w:lineRule="auto"/>
        <w:jc w:val="center"/>
        <w:rPr>
          <w:rFonts w:ascii="黑体" w:hAnsi="黑体" w:eastAsia="黑体"/>
          <w:bCs/>
          <w:sz w:val="36"/>
          <w:szCs w:val="36"/>
        </w:rPr>
      </w:pPr>
    </w:p>
    <w:p>
      <w:pPr>
        <w:pStyle w:val="7"/>
        <w:adjustRightInd w:val="0"/>
        <w:snapToGrid w:val="0"/>
        <w:spacing w:before="0" w:beforeAutospacing="0" w:after="0" w:afterAutospacing="0" w:line="360" w:lineRule="auto"/>
        <w:ind w:firstLine="627" w:firstLineChars="196"/>
        <w:jc w:val="both"/>
      </w:pPr>
      <w:r>
        <w:rPr>
          <w:rFonts w:hint="eastAsia" w:ascii="黑体" w:hAnsi="黑体" w:eastAsia="黑体"/>
          <w:bCs/>
          <w:sz w:val="32"/>
          <w:szCs w:val="32"/>
        </w:rPr>
        <w:t>一、主要职责</w:t>
      </w:r>
    </w:p>
    <w:p>
      <w:pPr>
        <w:ind w:firstLine="640" w:firstLineChars="200"/>
        <w:rPr>
          <w:rFonts w:ascii="仿宋" w:hAnsi="仿宋" w:eastAsia="仿宋"/>
          <w:sz w:val="32"/>
          <w:szCs w:val="32"/>
        </w:rPr>
      </w:pPr>
      <w:r>
        <w:rPr>
          <w:rFonts w:hint="eastAsia" w:ascii="仿宋" w:hAnsi="仿宋" w:eastAsia="仿宋"/>
          <w:sz w:val="32"/>
          <w:szCs w:val="32"/>
        </w:rPr>
        <w:t>（一）贯彻执行国家、省、市教育工作方针、政策和法律法规，研究制定全校教育发展战略和有关制度并监督执行。</w:t>
      </w:r>
    </w:p>
    <w:p>
      <w:pPr>
        <w:ind w:firstLine="640" w:firstLineChars="200"/>
        <w:rPr>
          <w:rFonts w:ascii="仿宋" w:hAnsi="仿宋" w:eastAsia="仿宋"/>
          <w:sz w:val="32"/>
          <w:szCs w:val="32"/>
        </w:rPr>
      </w:pPr>
      <w:r>
        <w:rPr>
          <w:rFonts w:hint="eastAsia" w:ascii="仿宋" w:hAnsi="仿宋" w:eastAsia="仿宋"/>
          <w:sz w:val="32"/>
          <w:szCs w:val="32"/>
        </w:rPr>
        <w:t>（二）研究拟订学校发展规划和年度计划，组织实施教育体制和办学体制改革。</w:t>
      </w:r>
    </w:p>
    <w:p>
      <w:pPr>
        <w:ind w:firstLine="640" w:firstLineChars="200"/>
        <w:rPr>
          <w:rFonts w:ascii="仿宋" w:hAnsi="仿宋" w:eastAsia="仿宋"/>
          <w:sz w:val="32"/>
          <w:szCs w:val="32"/>
        </w:rPr>
      </w:pPr>
      <w:r>
        <w:rPr>
          <w:rFonts w:hint="eastAsia" w:ascii="仿宋" w:hAnsi="仿宋" w:eastAsia="仿宋"/>
          <w:sz w:val="32"/>
          <w:szCs w:val="32"/>
        </w:rPr>
        <w:t>（三）管理和指导学校基础教育工作；确保普及九年教育工作成果。</w:t>
      </w:r>
    </w:p>
    <w:p>
      <w:pPr>
        <w:ind w:firstLine="640" w:firstLineChars="200"/>
        <w:rPr>
          <w:rFonts w:ascii="仿宋" w:hAnsi="仿宋" w:eastAsia="仿宋"/>
          <w:sz w:val="32"/>
          <w:szCs w:val="32"/>
        </w:rPr>
      </w:pPr>
      <w:r>
        <w:rPr>
          <w:rFonts w:hint="eastAsia" w:ascii="仿宋" w:hAnsi="仿宋" w:eastAsia="仿宋"/>
          <w:sz w:val="32"/>
          <w:szCs w:val="32"/>
        </w:rPr>
        <w:t>（四）管理学校教育经费；管理学校教育经费，执行财务管理制度。</w:t>
      </w:r>
    </w:p>
    <w:p>
      <w:pPr>
        <w:ind w:firstLine="640" w:firstLineChars="200"/>
        <w:rPr>
          <w:rFonts w:ascii="仿宋" w:hAnsi="仿宋" w:eastAsia="仿宋"/>
          <w:sz w:val="32"/>
          <w:szCs w:val="32"/>
        </w:rPr>
      </w:pPr>
      <w:r>
        <w:rPr>
          <w:rFonts w:hint="eastAsia" w:ascii="仿宋" w:hAnsi="仿宋" w:eastAsia="仿宋"/>
          <w:sz w:val="32"/>
          <w:szCs w:val="32"/>
        </w:rPr>
        <w:t>（五）负责和指导学校教职工的思想政治工作，规划学校品德教育、体育卫生教育、艺术教育和国防教育工作；负责做好社会治安综合治理及安全保卫工作。</w:t>
      </w:r>
    </w:p>
    <w:p>
      <w:pPr>
        <w:ind w:firstLine="640" w:firstLineChars="200"/>
        <w:rPr>
          <w:rFonts w:ascii="仿宋" w:hAnsi="仿宋" w:eastAsia="仿宋"/>
          <w:sz w:val="32"/>
          <w:szCs w:val="32"/>
        </w:rPr>
      </w:pPr>
    </w:p>
    <w:p>
      <w:pPr>
        <w:pStyle w:val="16"/>
        <w:widowControl/>
        <w:numPr>
          <w:ilvl w:val="0"/>
          <w:numId w:val="1"/>
        </w:numPr>
        <w:adjustRightInd w:val="0"/>
        <w:snapToGrid w:val="0"/>
        <w:spacing w:line="360" w:lineRule="auto"/>
        <w:ind w:firstLineChars="0"/>
        <w:rPr>
          <w:rFonts w:ascii="黑体" w:hAnsi="黑体" w:eastAsia="黑体" w:cs="宋体"/>
          <w:bCs/>
          <w:kern w:val="0"/>
          <w:sz w:val="32"/>
          <w:szCs w:val="32"/>
        </w:rPr>
      </w:pPr>
      <w:r>
        <w:rPr>
          <w:rFonts w:hint="eastAsia" w:ascii="黑体" w:hAnsi="黑体" w:eastAsia="黑体" w:cs="宋体"/>
          <w:bCs/>
          <w:kern w:val="0"/>
          <w:sz w:val="32"/>
          <w:szCs w:val="32"/>
        </w:rPr>
        <w:t>部门</w:t>
      </w:r>
      <w:r>
        <w:rPr>
          <w:rFonts w:hint="eastAsia" w:ascii="黑体" w:hAnsi="黑体" w:eastAsia="黑体" w:cs="宋体"/>
          <w:bCs/>
          <w:kern w:val="0"/>
          <w:sz w:val="32"/>
          <w:szCs w:val="32"/>
          <w:u w:val="single"/>
        </w:rPr>
        <w:t>（单位）</w:t>
      </w:r>
      <w:r>
        <w:rPr>
          <w:rFonts w:hint="eastAsia" w:ascii="黑体" w:hAnsi="黑体" w:eastAsia="黑体" w:cs="宋体"/>
          <w:bCs/>
          <w:kern w:val="0"/>
          <w:sz w:val="32"/>
          <w:szCs w:val="32"/>
        </w:rPr>
        <w:t>预算构成</w:t>
      </w:r>
    </w:p>
    <w:p>
      <w:pPr>
        <w:pStyle w:val="7"/>
        <w:adjustRightInd w:val="0"/>
        <w:snapToGrid w:val="0"/>
        <w:spacing w:before="0" w:beforeAutospacing="0" w:after="0" w:afterAutospacing="0" w:line="360" w:lineRule="auto"/>
        <w:ind w:firstLine="627" w:firstLineChars="196"/>
        <w:rPr>
          <w:rFonts w:ascii="仿宋_GB2312" w:hAnsi="仿宋" w:eastAsia="仿宋_GB2312"/>
          <w:sz w:val="32"/>
          <w:szCs w:val="32"/>
        </w:rPr>
      </w:pPr>
      <w:r>
        <w:rPr>
          <w:rFonts w:hint="eastAsia" w:ascii="仿宋_GB2312" w:hAnsi="仿宋" w:eastAsia="仿宋_GB2312"/>
          <w:sz w:val="32"/>
          <w:szCs w:val="32"/>
        </w:rPr>
        <w:t>从预算单位构成看，</w:t>
      </w:r>
      <w:r>
        <w:rPr>
          <w:rFonts w:hint="eastAsia" w:ascii="仿宋_GB2312" w:hAnsi="仿宋" w:eastAsia="仿宋_GB2312" w:cs="仿宋"/>
          <w:bCs/>
          <w:sz w:val="32"/>
          <w:szCs w:val="32"/>
        </w:rPr>
        <w:t>淮北师范大学附属相山学校</w:t>
      </w:r>
      <w:r>
        <w:rPr>
          <w:rFonts w:hint="eastAsia" w:ascii="仿宋_GB2312" w:hAnsi="仿宋" w:eastAsia="仿宋_GB2312"/>
          <w:sz w:val="32"/>
          <w:szCs w:val="32"/>
        </w:rPr>
        <w:t>2023年度部门预算仅包括本单位预算，无其他下属单位预算，具体情况见下表。</w:t>
      </w:r>
    </w:p>
    <w:tbl>
      <w:tblPr>
        <w:tblStyle w:val="8"/>
        <w:tblW w:w="9000" w:type="dxa"/>
        <w:tblInd w:w="288" w:type="dxa"/>
        <w:shd w:val="clear" w:color="auto" w:fill="FFFFFF"/>
        <w:tblLayout w:type="fixed"/>
        <w:tblCellMar>
          <w:top w:w="0" w:type="dxa"/>
          <w:left w:w="0" w:type="dxa"/>
          <w:bottom w:w="0" w:type="dxa"/>
          <w:right w:w="0" w:type="dxa"/>
        </w:tblCellMar>
      </w:tblPr>
      <w:tblGrid>
        <w:gridCol w:w="900"/>
        <w:gridCol w:w="4165"/>
        <w:gridCol w:w="3935"/>
      </w:tblGrid>
      <w:tr>
        <w:tblPrEx>
          <w:shd w:val="clear" w:color="auto" w:fill="FFFFFF"/>
          <w:tblLayout w:type="fixed"/>
          <w:tblCellMar>
            <w:top w:w="0" w:type="dxa"/>
            <w:left w:w="0" w:type="dxa"/>
            <w:bottom w:w="0" w:type="dxa"/>
            <w:right w:w="0" w:type="dxa"/>
          </w:tblCellMar>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szCs w:val="22"/>
              </w:rPr>
            </w:pPr>
            <w:r>
              <w:rPr>
                <w:rFonts w:hint="eastAsia" w:ascii="仿宋_GB2312" w:hAnsi="宋体" w:eastAsia="仿宋_GB2312"/>
                <w:sz w:val="24"/>
                <w:szCs w:val="22"/>
              </w:rPr>
              <w:t>序号</w:t>
            </w:r>
          </w:p>
        </w:tc>
        <w:tc>
          <w:tcPr>
            <w:tcW w:w="41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szCs w:val="22"/>
              </w:rPr>
            </w:pPr>
            <w:r>
              <w:rPr>
                <w:rFonts w:hint="eastAsia" w:ascii="仿宋_GB2312" w:hAnsi="宋体" w:eastAsia="仿宋_GB2312"/>
                <w:sz w:val="24"/>
                <w:szCs w:val="22"/>
              </w:rPr>
              <w:t>单位名称</w:t>
            </w:r>
          </w:p>
        </w:tc>
        <w:tc>
          <w:tcPr>
            <w:tcW w:w="3935" w:type="dxa"/>
            <w:tcBorders>
              <w:top w:val="single" w:color="auto" w:sz="8" w:space="0"/>
              <w:left w:val="nil"/>
              <w:bottom w:val="single" w:color="auto" w:sz="8" w:space="0"/>
              <w:right w:val="single" w:color="auto" w:sz="8" w:space="0"/>
            </w:tcBorders>
            <w:shd w:val="clear" w:color="auto" w:fill="FFFFFF"/>
          </w:tcPr>
          <w:p>
            <w:pPr>
              <w:adjustRightInd w:val="0"/>
              <w:snapToGrid w:val="0"/>
              <w:spacing w:line="360" w:lineRule="auto"/>
              <w:jc w:val="center"/>
              <w:rPr>
                <w:rFonts w:ascii="仿宋_GB2312" w:hAnsi="宋体" w:eastAsia="仿宋_GB2312"/>
                <w:sz w:val="24"/>
                <w:szCs w:val="22"/>
              </w:rPr>
            </w:pPr>
            <w:r>
              <w:rPr>
                <w:rFonts w:hint="eastAsia" w:ascii="仿宋_GB2312" w:hAnsi="宋体" w:eastAsia="仿宋_GB2312"/>
                <w:sz w:val="24"/>
                <w:szCs w:val="22"/>
              </w:rPr>
              <w:t>单位性质</w:t>
            </w:r>
          </w:p>
        </w:tc>
      </w:tr>
      <w:tr>
        <w:tblPrEx>
          <w:tblLayout w:type="fixed"/>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cs="宋体"/>
                <w:sz w:val="24"/>
                <w:szCs w:val="22"/>
              </w:rPr>
            </w:pPr>
            <w:r>
              <w:rPr>
                <w:rFonts w:hint="eastAsia" w:ascii="仿宋_GB2312" w:hAnsi="宋体" w:eastAsia="仿宋_GB2312"/>
                <w:sz w:val="24"/>
                <w:szCs w:val="22"/>
              </w:rPr>
              <w:t>1</w:t>
            </w:r>
          </w:p>
        </w:tc>
        <w:tc>
          <w:tcPr>
            <w:tcW w:w="41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szCs w:val="22"/>
                <w:u w:val="single"/>
              </w:rPr>
            </w:pPr>
            <w:r>
              <w:rPr>
                <w:rFonts w:hint="eastAsia" w:ascii="仿宋_GB2312" w:hAnsi="仿宋" w:eastAsia="仿宋_GB2312" w:cs="仿宋"/>
                <w:bCs/>
                <w:sz w:val="32"/>
                <w:szCs w:val="32"/>
              </w:rPr>
              <w:t>淮北师范大学附属相山学校</w:t>
            </w:r>
          </w:p>
        </w:tc>
        <w:tc>
          <w:tcPr>
            <w:tcW w:w="3935" w:type="dxa"/>
            <w:tcBorders>
              <w:top w:val="nil"/>
              <w:left w:val="nil"/>
              <w:bottom w:val="single" w:color="auto" w:sz="8" w:space="0"/>
              <w:right w:val="single" w:color="auto" w:sz="8" w:space="0"/>
            </w:tcBorders>
            <w:shd w:val="clear" w:color="auto" w:fill="FFFFFF"/>
          </w:tcPr>
          <w:p>
            <w:pPr>
              <w:adjustRightInd w:val="0"/>
              <w:snapToGrid w:val="0"/>
              <w:spacing w:line="360" w:lineRule="auto"/>
              <w:jc w:val="center"/>
              <w:rPr>
                <w:rFonts w:ascii="仿宋_GB2312" w:hAnsi="宋体" w:eastAsia="仿宋_GB2312"/>
                <w:sz w:val="24"/>
                <w:szCs w:val="22"/>
                <w:u w:val="single"/>
              </w:rPr>
            </w:pPr>
            <w:r>
              <w:rPr>
                <w:rFonts w:hint="eastAsia" w:ascii="仿宋" w:hAnsi="仿宋" w:eastAsia="仿宋" w:cs="仿宋"/>
                <w:bCs/>
                <w:sz w:val="24"/>
              </w:rPr>
              <w:t>公益一类事业</w:t>
            </w:r>
            <w:r>
              <w:rPr>
                <w:rFonts w:hint="eastAsia" w:ascii="仿宋_GB2312" w:hAnsi="仿宋" w:eastAsia="仿宋_GB2312" w:cs="仿宋"/>
                <w:bCs/>
                <w:sz w:val="24"/>
                <w:szCs w:val="22"/>
              </w:rPr>
              <w:t>单位</w:t>
            </w:r>
          </w:p>
        </w:tc>
      </w:tr>
    </w:tbl>
    <w:p>
      <w:pPr>
        <w:pStyle w:val="7"/>
        <w:adjustRightInd w:val="0"/>
        <w:snapToGrid w:val="0"/>
        <w:spacing w:before="0" w:beforeAutospacing="0" w:after="0" w:afterAutospacing="0" w:line="360" w:lineRule="auto"/>
        <w:ind w:firstLine="627" w:firstLineChars="196"/>
        <w:rPr>
          <w:rFonts w:ascii="仿宋_GB2312" w:hAnsi="仿宋" w:eastAsia="仿宋_GB2312"/>
          <w:sz w:val="32"/>
          <w:szCs w:val="32"/>
        </w:rPr>
      </w:pPr>
    </w:p>
    <w:p>
      <w:pPr>
        <w:pStyle w:val="7"/>
        <w:adjustRightInd w:val="0"/>
        <w:snapToGrid w:val="0"/>
        <w:spacing w:before="0" w:beforeAutospacing="0" w:after="0" w:afterAutospacing="0" w:line="360" w:lineRule="auto"/>
        <w:ind w:firstLine="627" w:firstLineChars="196"/>
        <w:rPr>
          <w:rFonts w:ascii="黑体" w:hAnsi="黑体" w:eastAsia="黑体"/>
          <w:bCs/>
          <w:sz w:val="32"/>
          <w:szCs w:val="32"/>
        </w:rPr>
      </w:pPr>
      <w:r>
        <w:rPr>
          <w:rFonts w:hint="eastAsia" w:ascii="黑体" w:hAnsi="黑体" w:eastAsia="黑体"/>
          <w:bCs/>
          <w:sz w:val="32"/>
          <w:szCs w:val="32"/>
        </w:rPr>
        <w:t>三、2023年度主要工作任务</w:t>
      </w:r>
    </w:p>
    <w:p>
      <w:pPr>
        <w:widowControl/>
        <w:spacing w:before="100" w:beforeAutospacing="1" w:after="100" w:afterAutospacing="1" w:line="15" w:lineRule="atLeast"/>
        <w:ind w:firstLine="480"/>
        <w:jc w:val="left"/>
        <w:rPr>
          <w:rFonts w:ascii="仿宋" w:hAnsi="仿宋" w:eastAsia="仿宋" w:cs="宋体"/>
          <w:color w:val="000000"/>
          <w:kern w:val="0"/>
          <w:sz w:val="32"/>
          <w:szCs w:val="32"/>
          <w:shd w:val="clear" w:color="auto" w:fill="FFFFFF"/>
        </w:rPr>
      </w:pPr>
      <w:r>
        <w:rPr>
          <w:rFonts w:hint="eastAsia" w:ascii="仿宋" w:hAnsi="仿宋" w:eastAsia="仿宋" w:cs="宋体"/>
          <w:color w:val="000000"/>
          <w:kern w:val="0"/>
          <w:sz w:val="32"/>
          <w:szCs w:val="32"/>
          <w:shd w:val="clear" w:color="auto" w:fill="FFFFFF"/>
        </w:rPr>
        <w:t>主要任务是</w:t>
      </w:r>
      <w:r>
        <w:rPr>
          <w:rFonts w:ascii="仿宋" w:hAnsi="仿宋" w:eastAsia="仿宋" w:cs="宋体"/>
          <w:color w:val="000000"/>
          <w:kern w:val="0"/>
          <w:sz w:val="32"/>
          <w:szCs w:val="32"/>
          <w:shd w:val="clear" w:color="auto" w:fill="FFFFFF"/>
        </w:rPr>
        <w:t>合理使用各项预算经费，及时弥补资金拆额，保障学校正常运转</w:t>
      </w:r>
      <w:r>
        <w:rPr>
          <w:rFonts w:hint="eastAsia" w:ascii="仿宋" w:hAnsi="仿宋" w:eastAsia="仿宋" w:cs="宋体"/>
          <w:color w:val="000000"/>
          <w:kern w:val="0"/>
          <w:sz w:val="32"/>
          <w:szCs w:val="32"/>
          <w:shd w:val="clear" w:color="auto" w:fill="FFFFFF"/>
        </w:rPr>
        <w:t>。</w:t>
      </w:r>
    </w:p>
    <w:p>
      <w:pPr>
        <w:pStyle w:val="7"/>
        <w:adjustRightInd w:val="0"/>
        <w:snapToGrid w:val="0"/>
        <w:spacing w:before="0" w:beforeAutospacing="0" w:after="0" w:afterAutospacing="0" w:line="600" w:lineRule="exact"/>
        <w:jc w:val="center"/>
        <w:rPr>
          <w:rFonts w:ascii="黑体" w:hAnsi="黑体" w:eastAsia="黑体"/>
          <w:bCs/>
          <w:sz w:val="36"/>
          <w:szCs w:val="36"/>
        </w:rPr>
      </w:pPr>
    </w:p>
    <w:p>
      <w:pPr>
        <w:pStyle w:val="7"/>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第二部分2023年部门预算表</w:t>
      </w:r>
    </w:p>
    <w:p>
      <w:pPr>
        <w:pStyle w:val="7"/>
        <w:adjustRightInd w:val="0"/>
        <w:snapToGrid w:val="0"/>
        <w:spacing w:before="0" w:beforeAutospacing="0" w:after="0" w:afterAutospacing="0" w:line="600" w:lineRule="exact"/>
        <w:jc w:val="center"/>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见“附件1-2</w:t>
      </w:r>
      <w:r>
        <w:rPr>
          <w:rFonts w:hint="eastAsia" w:ascii="仿宋_GB2312" w:hAnsi="仿宋" w:eastAsia="仿宋_GB2312" w:cs="仿宋"/>
          <w:bCs/>
          <w:sz w:val="32"/>
          <w:szCs w:val="32"/>
        </w:rPr>
        <w:t>淮北师范大学附属相山学校</w:t>
      </w:r>
      <w:r>
        <w:rPr>
          <w:rFonts w:hint="eastAsia" w:ascii="仿宋_GB2312" w:hAnsi="仿宋" w:eastAsia="仿宋_GB2312" w:cs="Times New Roman"/>
          <w:kern w:val="2"/>
          <w:sz w:val="32"/>
          <w:szCs w:val="32"/>
        </w:rPr>
        <w:t>2023年部门预算表”</w:t>
      </w:r>
    </w:p>
    <w:p>
      <w:pPr>
        <w:pStyle w:val="7"/>
        <w:adjustRightInd w:val="0"/>
        <w:snapToGrid w:val="0"/>
        <w:spacing w:before="0" w:beforeAutospacing="0" w:after="0" w:afterAutospacing="0" w:line="600" w:lineRule="exact"/>
        <w:jc w:val="center"/>
        <w:rPr>
          <w:rFonts w:ascii="黑体" w:hAnsi="黑体" w:eastAsia="黑体"/>
          <w:bCs/>
          <w:sz w:val="36"/>
          <w:szCs w:val="36"/>
        </w:rPr>
      </w:pPr>
    </w:p>
    <w:p>
      <w:pPr>
        <w:pStyle w:val="7"/>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第三部分 2023年部门预算情况说明</w:t>
      </w:r>
    </w:p>
    <w:p>
      <w:pPr>
        <w:pStyle w:val="7"/>
        <w:adjustRightInd w:val="0"/>
        <w:snapToGrid w:val="0"/>
        <w:spacing w:before="0" w:beforeAutospacing="0" w:after="0" w:afterAutospacing="0" w:line="600" w:lineRule="exact"/>
        <w:rPr>
          <w:rFonts w:ascii="黑体" w:hAnsi="黑体" w:eastAsia="黑体"/>
          <w:bCs/>
          <w:sz w:val="32"/>
          <w:szCs w:val="32"/>
        </w:rPr>
      </w:pPr>
    </w:p>
    <w:p>
      <w:pPr>
        <w:pStyle w:val="7"/>
        <w:adjustRightInd w:val="0"/>
        <w:snapToGrid w:val="0"/>
        <w:spacing w:before="0" w:beforeAutospacing="0" w:after="0" w:afterAutospacing="0"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一、关于2023年收支总表的说明</w:t>
      </w:r>
    </w:p>
    <w:p>
      <w:pPr>
        <w:pStyle w:val="7"/>
        <w:adjustRightInd w:val="0"/>
        <w:snapToGrid w:val="0"/>
        <w:spacing w:before="0" w:beforeAutospacing="0" w:after="0" w:afterAutospacing="0" w:line="600" w:lineRule="exact"/>
        <w:ind w:firstLine="640" w:firstLineChars="200"/>
        <w:rPr>
          <w:rFonts w:ascii="仿宋" w:hAnsi="仿宋" w:eastAsia="仿宋" w:cs="Times New Roman"/>
          <w:kern w:val="2"/>
          <w:sz w:val="32"/>
          <w:szCs w:val="32"/>
        </w:rPr>
      </w:pPr>
      <w:r>
        <w:rPr>
          <w:rFonts w:hint="eastAsia" w:ascii="仿宋_GB2312" w:hAnsi="仿宋" w:eastAsia="仿宋_GB2312"/>
          <w:sz w:val="32"/>
          <w:szCs w:val="32"/>
        </w:rPr>
        <w:t>按照综合预算的原则，</w:t>
      </w:r>
      <w:r>
        <w:rPr>
          <w:rFonts w:hint="eastAsia" w:ascii="仿宋_GB2312" w:hAnsi="仿宋" w:eastAsia="仿宋_GB2312" w:cs="仿宋"/>
          <w:bCs/>
          <w:sz w:val="32"/>
          <w:szCs w:val="32"/>
        </w:rPr>
        <w:t>淮北师范大学附属相山学校</w:t>
      </w:r>
      <w:r>
        <w:rPr>
          <w:rFonts w:hint="eastAsia" w:ascii="仿宋_GB2312" w:hAnsi="仿宋" w:eastAsia="仿宋_GB2312"/>
          <w:sz w:val="32"/>
          <w:szCs w:val="32"/>
        </w:rPr>
        <w:t>所有收入和支出均纳入部门</w:t>
      </w:r>
      <w:r>
        <w:rPr>
          <w:rFonts w:hint="eastAsia" w:ascii="仿宋_GB2312" w:hAnsi="仿宋" w:eastAsia="仿宋_GB2312"/>
          <w:sz w:val="32"/>
          <w:szCs w:val="32"/>
          <w:u w:val="single"/>
        </w:rPr>
        <w:t>（单位）</w:t>
      </w:r>
      <w:r>
        <w:rPr>
          <w:rFonts w:hint="eastAsia" w:ascii="仿宋_GB2312" w:hAnsi="仿宋" w:eastAsia="仿宋_GB2312"/>
          <w:sz w:val="32"/>
          <w:szCs w:val="32"/>
        </w:rPr>
        <w:t>预算管理。</w:t>
      </w:r>
      <w:r>
        <w:rPr>
          <w:rFonts w:hint="eastAsia" w:ascii="仿宋_GB2312" w:hAnsi="仿宋" w:eastAsia="仿宋_GB2312" w:cs="仿宋"/>
          <w:bCs/>
          <w:sz w:val="32"/>
          <w:szCs w:val="32"/>
        </w:rPr>
        <w:t>淮北师范大学附属相山学校</w:t>
      </w:r>
      <w:r>
        <w:rPr>
          <w:rFonts w:hint="eastAsia" w:ascii="仿宋_GB2312" w:hAnsi="仿宋" w:eastAsia="仿宋_GB2312"/>
          <w:sz w:val="32"/>
          <w:szCs w:val="32"/>
        </w:rPr>
        <w:t>2023年收支总预算331.85万元，收入按资金来源分为一般公共预算拨款收入331.85万元，支出按功能分类包括：</w:t>
      </w:r>
      <w:r>
        <w:rPr>
          <w:rFonts w:hint="eastAsia" w:ascii="仿宋" w:hAnsi="仿宋" w:eastAsia="仿宋" w:cs="Times New Roman"/>
          <w:kern w:val="2"/>
          <w:sz w:val="32"/>
          <w:szCs w:val="32"/>
        </w:rPr>
        <w:t>教育支出286.03万元，占86.19%；社会保障和就业支出27.11万元，占8.17%；卫生健康支出18.71万元，占5.64%.</w:t>
      </w:r>
    </w:p>
    <w:p>
      <w:pPr>
        <w:pStyle w:val="7"/>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p>
    <w:p>
      <w:pPr>
        <w:pStyle w:val="7"/>
        <w:adjustRightInd w:val="0"/>
        <w:snapToGrid w:val="0"/>
        <w:spacing w:before="0" w:beforeAutospacing="0" w:after="0" w:afterAutospacing="0" w:line="600" w:lineRule="exact"/>
        <w:ind w:firstLine="627" w:firstLineChars="196"/>
        <w:rPr>
          <w:rFonts w:ascii="黑体" w:hAnsi="仿宋" w:eastAsia="黑体"/>
          <w:color w:val="000000"/>
          <w:sz w:val="32"/>
          <w:szCs w:val="32"/>
        </w:rPr>
      </w:pPr>
      <w:r>
        <w:rPr>
          <w:rFonts w:hint="eastAsia" w:ascii="黑体" w:hAnsi="仿宋" w:eastAsia="黑体"/>
          <w:color w:val="000000"/>
          <w:sz w:val="32"/>
          <w:szCs w:val="32"/>
        </w:rPr>
        <w:t>二、关于2023年收入总表的说明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仿宋"/>
          <w:bCs/>
          <w:sz w:val="32"/>
          <w:szCs w:val="32"/>
        </w:rPr>
        <w:t>淮北师范大学附属相山学校</w:t>
      </w:r>
      <w:r>
        <w:rPr>
          <w:rFonts w:hint="eastAsia" w:ascii="仿宋_GB2312" w:hAnsi="仿宋" w:eastAsia="仿宋_GB2312"/>
          <w:sz w:val="32"/>
          <w:szCs w:val="32"/>
        </w:rPr>
        <w:t>2022年收入预算331.85万元，其中，本年收入331.85万元。</w:t>
      </w:r>
    </w:p>
    <w:p>
      <w:pPr>
        <w:numPr>
          <w:ilvl w:val="0"/>
          <w:numId w:val="2"/>
        </w:numPr>
        <w:adjustRightInd w:val="0"/>
        <w:snapToGrid w:val="0"/>
        <w:spacing w:line="600" w:lineRule="exact"/>
        <w:ind w:firstLine="640"/>
        <w:rPr>
          <w:rFonts w:ascii="仿宋_GB2312" w:hAnsi="仿宋" w:eastAsia="仿宋_GB2312"/>
          <w:sz w:val="32"/>
          <w:szCs w:val="32"/>
        </w:rPr>
      </w:pPr>
      <w:r>
        <w:rPr>
          <w:rFonts w:hint="eastAsia" w:ascii="仿宋_GB2312" w:hAnsi="仿宋" w:eastAsia="仿宋_GB2312"/>
          <w:sz w:val="32"/>
          <w:szCs w:val="32"/>
        </w:rPr>
        <w:t>本年收入331.85万元，主要包括：一般公共预算拨款收入331.85万元，占100%，比2022年预算增加331.85万元，增长100%，原因主要是本校为新建学校，2022年没有预算。</w:t>
      </w:r>
    </w:p>
    <w:p>
      <w:pPr>
        <w:pStyle w:val="16"/>
        <w:numPr>
          <w:ilvl w:val="0"/>
          <w:numId w:val="1"/>
        </w:numPr>
        <w:adjustRightInd w:val="0"/>
        <w:snapToGrid w:val="0"/>
        <w:spacing w:line="600" w:lineRule="exact"/>
        <w:ind w:firstLineChars="0"/>
        <w:rPr>
          <w:rFonts w:ascii="黑体" w:hAnsi="仿宋" w:eastAsia="黑体" w:cs="宋体"/>
          <w:color w:val="000000"/>
          <w:kern w:val="0"/>
          <w:sz w:val="32"/>
          <w:szCs w:val="32"/>
        </w:rPr>
      </w:pPr>
      <w:r>
        <w:rPr>
          <w:rFonts w:hint="eastAsia" w:ascii="黑体" w:hAnsi="仿宋" w:eastAsia="黑体" w:cs="宋体"/>
          <w:color w:val="000000"/>
          <w:kern w:val="0"/>
          <w:sz w:val="32"/>
          <w:szCs w:val="32"/>
        </w:rPr>
        <w:t>关于2023年支出总表的说明</w:t>
      </w:r>
    </w:p>
    <w:p>
      <w:pPr>
        <w:adjustRightInd w:val="0"/>
        <w:snapToGrid w:val="0"/>
        <w:spacing w:line="600" w:lineRule="exact"/>
        <w:ind w:left="640"/>
        <w:rPr>
          <w:rFonts w:ascii="黑体" w:hAnsi="仿宋" w:eastAsia="黑体" w:cs="宋体"/>
          <w:color w:val="000000"/>
          <w:kern w:val="0"/>
          <w:sz w:val="32"/>
          <w:szCs w:val="32"/>
        </w:rPr>
      </w:pP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仿宋"/>
          <w:bCs/>
          <w:sz w:val="32"/>
          <w:szCs w:val="32"/>
        </w:rPr>
        <w:t>淮北师范大学附属相山学校</w:t>
      </w:r>
      <w:r>
        <w:rPr>
          <w:rFonts w:hint="eastAsia" w:ascii="仿宋_GB2312" w:hAnsi="仿宋" w:eastAsia="仿宋_GB2312"/>
          <w:sz w:val="32"/>
          <w:szCs w:val="32"/>
        </w:rPr>
        <w:t>2023年支出预算331.85万元，比2022年预算增加331.85万元，增长100%，增加原因主要：教本校为新建学校，2022年没有预算。</w:t>
      </w:r>
    </w:p>
    <w:p>
      <w:pPr>
        <w:adjustRightInd w:val="0"/>
        <w:snapToGrid w:val="0"/>
        <w:spacing w:line="600" w:lineRule="exact"/>
        <w:ind w:firstLine="640" w:firstLineChars="200"/>
        <w:rPr>
          <w:rFonts w:ascii="黑体" w:hAnsi="仿宋" w:eastAsia="黑体" w:cs="宋体"/>
          <w:color w:val="000000"/>
          <w:kern w:val="0"/>
          <w:sz w:val="32"/>
          <w:szCs w:val="32"/>
        </w:rPr>
      </w:pPr>
      <w:r>
        <w:rPr>
          <w:rFonts w:hint="eastAsia" w:ascii="黑体" w:hAnsi="仿宋" w:eastAsia="黑体" w:cs="宋体"/>
          <w:color w:val="000000"/>
          <w:kern w:val="0"/>
          <w:sz w:val="32"/>
          <w:szCs w:val="32"/>
        </w:rPr>
        <w:t>四、关于2023年财政拨款收支总表的说明</w:t>
      </w:r>
    </w:p>
    <w:p>
      <w:pPr>
        <w:pStyle w:val="7"/>
        <w:adjustRightInd w:val="0"/>
        <w:snapToGrid w:val="0"/>
        <w:spacing w:before="0" w:beforeAutospacing="0" w:after="0" w:afterAutospacing="0" w:line="600" w:lineRule="exact"/>
        <w:ind w:firstLine="640" w:firstLineChars="200"/>
        <w:rPr>
          <w:rFonts w:ascii="仿宋" w:hAnsi="仿宋" w:eastAsia="仿宋" w:cs="Times New Roman"/>
          <w:kern w:val="2"/>
          <w:sz w:val="32"/>
          <w:szCs w:val="32"/>
        </w:rPr>
      </w:pPr>
      <w:r>
        <w:rPr>
          <w:rFonts w:hint="eastAsia" w:ascii="仿宋_GB2312" w:hAnsi="仿宋" w:eastAsia="仿宋_GB2312" w:cs="仿宋"/>
          <w:bCs/>
          <w:sz w:val="32"/>
          <w:szCs w:val="32"/>
        </w:rPr>
        <w:t>淮北师范大学附属相山学校</w:t>
      </w:r>
      <w:r>
        <w:rPr>
          <w:rFonts w:hint="eastAsia" w:ascii="仿宋_GB2312" w:hAnsi="仿宋" w:eastAsia="仿宋_GB2312" w:cs="Times New Roman"/>
          <w:kern w:val="2"/>
          <w:sz w:val="32"/>
          <w:szCs w:val="32"/>
        </w:rPr>
        <w:t>2023年财政拨款收支预算</w:t>
      </w:r>
      <w:r>
        <w:rPr>
          <w:rFonts w:hint="eastAsia" w:ascii="仿宋_GB2312" w:hAnsi="仿宋" w:eastAsia="仿宋_GB2312"/>
          <w:sz w:val="32"/>
          <w:szCs w:val="32"/>
        </w:rPr>
        <w:t>331.85</w:t>
      </w:r>
      <w:r>
        <w:rPr>
          <w:rFonts w:hint="eastAsia" w:ascii="仿宋_GB2312" w:hAnsi="仿宋" w:eastAsia="仿宋_GB2312" w:cs="Times New Roman"/>
          <w:kern w:val="2"/>
          <w:sz w:val="32"/>
          <w:szCs w:val="32"/>
        </w:rPr>
        <w:t>万元。收入按资金来源分为：一般公共预算拨款</w:t>
      </w:r>
      <w:r>
        <w:rPr>
          <w:rFonts w:hint="eastAsia" w:ascii="仿宋_GB2312" w:hAnsi="仿宋" w:eastAsia="仿宋_GB2312"/>
          <w:sz w:val="32"/>
          <w:szCs w:val="32"/>
        </w:rPr>
        <w:t>331.85</w:t>
      </w:r>
      <w:r>
        <w:rPr>
          <w:rFonts w:hint="eastAsia" w:ascii="仿宋_GB2312" w:hAnsi="仿宋" w:eastAsia="仿宋_GB2312" w:cs="Times New Roman"/>
          <w:kern w:val="2"/>
          <w:sz w:val="32"/>
          <w:szCs w:val="32"/>
        </w:rPr>
        <w:t>万元；按资金年度分为：本年财政拨款收入</w:t>
      </w:r>
      <w:r>
        <w:rPr>
          <w:rFonts w:hint="eastAsia" w:ascii="仿宋_GB2312" w:hAnsi="仿宋" w:eastAsia="仿宋_GB2312"/>
          <w:sz w:val="32"/>
          <w:szCs w:val="32"/>
        </w:rPr>
        <w:t>331.85</w:t>
      </w:r>
      <w:r>
        <w:rPr>
          <w:rFonts w:hint="eastAsia" w:ascii="仿宋_GB2312" w:hAnsi="仿宋" w:eastAsia="仿宋_GB2312" w:cs="Times New Roman"/>
          <w:kern w:val="2"/>
          <w:sz w:val="32"/>
          <w:szCs w:val="32"/>
        </w:rPr>
        <w:t>万元;按支出按功能分类分为：</w:t>
      </w:r>
      <w:r>
        <w:rPr>
          <w:rFonts w:hint="eastAsia" w:ascii="仿宋" w:hAnsi="仿宋" w:eastAsia="仿宋" w:cs="Times New Roman"/>
          <w:kern w:val="2"/>
          <w:sz w:val="32"/>
          <w:szCs w:val="32"/>
        </w:rPr>
        <w:t>教育支出286.03万元，占86.19%；社会保障和就业支出27.11万元，占8.17%；卫生健康支出18.71万元，占5.64%。</w:t>
      </w:r>
    </w:p>
    <w:p>
      <w:pPr>
        <w:pStyle w:val="7"/>
        <w:adjustRightInd w:val="0"/>
        <w:snapToGrid w:val="0"/>
        <w:spacing w:before="0" w:beforeAutospacing="0" w:after="0" w:afterAutospacing="0"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五、关于2023年一般公共预算支出表的说明</w:t>
      </w:r>
    </w:p>
    <w:p>
      <w:pPr>
        <w:pStyle w:val="7"/>
        <w:adjustRightInd w:val="0"/>
        <w:snapToGrid w:val="0"/>
        <w:spacing w:before="0" w:beforeAutospacing="0" w:after="0" w:afterAutospacing="0" w:line="600" w:lineRule="exact"/>
        <w:ind w:firstLine="627"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（一）一般公共预算支出规模变化情况。</w:t>
      </w:r>
    </w:p>
    <w:p>
      <w:pPr>
        <w:pStyle w:val="7"/>
        <w:adjustRightInd w:val="0"/>
        <w:snapToGrid w:val="0"/>
        <w:spacing w:before="0" w:beforeAutospacing="0" w:after="0" w:afterAutospacing="0" w:line="600" w:lineRule="exact"/>
        <w:ind w:firstLine="627" w:firstLineChars="196"/>
        <w:rPr>
          <w:rFonts w:ascii="仿宋_GB2312" w:hAnsi="仿宋" w:eastAsia="仿宋_GB2312"/>
          <w:sz w:val="32"/>
          <w:szCs w:val="32"/>
        </w:rPr>
      </w:pPr>
      <w:r>
        <w:rPr>
          <w:rFonts w:hint="eastAsia" w:ascii="仿宋_GB2312" w:hAnsi="仿宋" w:eastAsia="仿宋_GB2312" w:cs="仿宋"/>
          <w:bCs/>
          <w:sz w:val="32"/>
          <w:szCs w:val="32"/>
        </w:rPr>
        <w:t>淮北师范大学附属相山学校</w:t>
      </w:r>
      <w:r>
        <w:rPr>
          <w:rFonts w:hint="eastAsia" w:ascii="仿宋_GB2312" w:hAnsi="仿宋" w:eastAsia="仿宋_GB2312" w:cs="Times New Roman"/>
          <w:kern w:val="2"/>
          <w:sz w:val="32"/>
          <w:szCs w:val="32"/>
        </w:rPr>
        <w:t>2023年一般公共预算支出</w:t>
      </w:r>
      <w:r>
        <w:rPr>
          <w:rFonts w:hint="eastAsia" w:ascii="仿宋_GB2312" w:hAnsi="仿宋" w:eastAsia="仿宋_GB2312"/>
          <w:sz w:val="32"/>
          <w:szCs w:val="32"/>
        </w:rPr>
        <w:t>331.85</w:t>
      </w:r>
      <w:r>
        <w:rPr>
          <w:rFonts w:hint="eastAsia" w:ascii="仿宋_GB2312" w:hAnsi="仿宋" w:eastAsia="仿宋_GB2312" w:cs="Times New Roman"/>
          <w:kern w:val="2"/>
          <w:sz w:val="32"/>
          <w:szCs w:val="32"/>
        </w:rPr>
        <w:t>万元，比2022年预算增加</w:t>
      </w:r>
      <w:r>
        <w:rPr>
          <w:rFonts w:hint="eastAsia" w:ascii="仿宋_GB2312" w:hAnsi="仿宋" w:eastAsia="仿宋_GB2312"/>
          <w:sz w:val="32"/>
          <w:szCs w:val="32"/>
        </w:rPr>
        <w:t>331.85</w:t>
      </w:r>
      <w:r>
        <w:rPr>
          <w:rFonts w:hint="eastAsia" w:ascii="仿宋_GB2312" w:hAnsi="仿宋" w:eastAsia="仿宋_GB2312" w:cs="Times New Roman"/>
          <w:kern w:val="2"/>
          <w:sz w:val="32"/>
          <w:szCs w:val="32"/>
        </w:rPr>
        <w:t>万元，增长100%，</w:t>
      </w:r>
      <w:r>
        <w:rPr>
          <w:rFonts w:hint="eastAsia" w:ascii="仿宋_GB2312" w:hAnsi="仿宋" w:eastAsia="仿宋_GB2312"/>
          <w:sz w:val="32"/>
          <w:szCs w:val="32"/>
        </w:rPr>
        <w:t>增加原因主要是本校为新建学校,2022年没有预算。</w:t>
      </w:r>
    </w:p>
    <w:p>
      <w:pPr>
        <w:pStyle w:val="7"/>
        <w:adjustRightInd w:val="0"/>
        <w:snapToGrid w:val="0"/>
        <w:spacing w:before="0" w:beforeAutospacing="0" w:after="0" w:afterAutospacing="0" w:line="600" w:lineRule="exact"/>
        <w:ind w:firstLine="627"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（二</w:t>
      </w:r>
      <w:r>
        <w:rPr>
          <w:rFonts w:ascii="楷体_GB2312" w:hAnsi="仿宋" w:eastAsia="楷体_GB2312" w:cs="Times New Roman"/>
          <w:b/>
          <w:kern w:val="2"/>
          <w:sz w:val="32"/>
          <w:szCs w:val="32"/>
        </w:rPr>
        <w:t>）</w:t>
      </w:r>
      <w:r>
        <w:rPr>
          <w:rFonts w:hint="eastAsia" w:ascii="楷体_GB2312" w:hAnsi="仿宋" w:eastAsia="楷体_GB2312" w:cs="Times New Roman"/>
          <w:b/>
          <w:kern w:val="2"/>
          <w:sz w:val="32"/>
          <w:szCs w:val="32"/>
        </w:rPr>
        <w:t>一般公共预算支出结构情况。</w:t>
      </w:r>
    </w:p>
    <w:p>
      <w:pPr>
        <w:pStyle w:val="7"/>
        <w:adjustRightInd w:val="0"/>
        <w:snapToGrid w:val="0"/>
        <w:spacing w:before="0" w:beforeAutospacing="0" w:after="0" w:afterAutospacing="0" w:line="600" w:lineRule="exact"/>
        <w:ind w:firstLine="627" w:firstLineChars="196"/>
        <w:rPr>
          <w:rFonts w:ascii="仿宋_GB2312" w:hAnsi="仿宋" w:eastAsia="仿宋_GB2312"/>
          <w:sz w:val="32"/>
          <w:szCs w:val="32"/>
        </w:rPr>
      </w:pPr>
      <w:r>
        <w:rPr>
          <w:rFonts w:hint="eastAsia" w:ascii="仿宋_GB2312" w:hAnsi="仿宋" w:eastAsia="仿宋_GB2312" w:cs="仿宋"/>
          <w:bCs/>
          <w:sz w:val="32"/>
          <w:szCs w:val="32"/>
        </w:rPr>
        <w:t>淮北师范大学附属相山学校</w:t>
      </w:r>
      <w:r>
        <w:rPr>
          <w:rFonts w:hint="eastAsia" w:ascii="仿宋_GB2312" w:hAnsi="仿宋" w:eastAsia="仿宋_GB2312" w:cs="Times New Roman"/>
          <w:kern w:val="2"/>
          <w:sz w:val="32"/>
          <w:szCs w:val="32"/>
        </w:rPr>
        <w:t>2023年一般公共预算支出</w:t>
      </w:r>
      <w:r>
        <w:rPr>
          <w:rFonts w:hint="eastAsia" w:ascii="仿宋_GB2312" w:hAnsi="仿宋" w:eastAsia="仿宋_GB2312"/>
          <w:sz w:val="32"/>
          <w:szCs w:val="32"/>
        </w:rPr>
        <w:t>331.85</w:t>
      </w:r>
      <w:r>
        <w:rPr>
          <w:rFonts w:hint="eastAsia" w:ascii="仿宋_GB2312" w:hAnsi="仿宋" w:eastAsia="仿宋_GB2312" w:cs="Times New Roman"/>
          <w:kern w:val="2"/>
          <w:sz w:val="32"/>
          <w:szCs w:val="32"/>
        </w:rPr>
        <w:t>万元，比2022年预算增加</w:t>
      </w:r>
      <w:r>
        <w:rPr>
          <w:rFonts w:hint="eastAsia" w:ascii="仿宋_GB2312" w:hAnsi="仿宋" w:eastAsia="仿宋_GB2312"/>
          <w:sz w:val="32"/>
          <w:szCs w:val="32"/>
        </w:rPr>
        <w:t>331.85</w:t>
      </w:r>
      <w:r>
        <w:rPr>
          <w:rFonts w:hint="eastAsia" w:ascii="仿宋_GB2312" w:hAnsi="仿宋" w:eastAsia="仿宋_GB2312" w:cs="Times New Roman"/>
          <w:kern w:val="2"/>
          <w:sz w:val="32"/>
          <w:szCs w:val="32"/>
        </w:rPr>
        <w:t>万元，增长100%，</w:t>
      </w:r>
      <w:r>
        <w:rPr>
          <w:rFonts w:hint="eastAsia" w:ascii="仿宋_GB2312" w:hAnsi="仿宋" w:eastAsia="仿宋_GB2312"/>
          <w:sz w:val="32"/>
          <w:szCs w:val="32"/>
        </w:rPr>
        <w:t>增加原因主要是本校为新建学校，2022年没有预算。其中</w:t>
      </w:r>
      <w:r>
        <w:rPr>
          <w:rFonts w:hint="eastAsia" w:ascii="仿宋" w:hAnsi="仿宋" w:eastAsia="仿宋" w:cs="Times New Roman"/>
          <w:kern w:val="2"/>
          <w:sz w:val="32"/>
          <w:szCs w:val="32"/>
        </w:rPr>
        <w:t>教育支出286.03万元，占86.19%；社会保障和就业支出27.11万元，占8.17%；卫生健康支出18.71万元，占5.64%。</w:t>
      </w:r>
    </w:p>
    <w:p>
      <w:pPr>
        <w:adjustRightInd w:val="0"/>
        <w:snapToGrid w:val="0"/>
        <w:spacing w:line="600" w:lineRule="exact"/>
        <w:ind w:firstLine="640" w:firstLineChars="200"/>
        <w:rPr>
          <w:rFonts w:ascii="楷体_GB2312" w:hAnsi="仿宋" w:eastAsia="楷体_GB2312"/>
          <w:b/>
          <w:sz w:val="32"/>
          <w:szCs w:val="32"/>
        </w:rPr>
      </w:pPr>
      <w:r>
        <w:rPr>
          <w:rFonts w:hint="eastAsia" w:ascii="楷体_GB2312" w:hAnsi="仿宋" w:eastAsia="楷体_GB2312"/>
          <w:b/>
          <w:sz w:val="32"/>
          <w:szCs w:val="32"/>
        </w:rPr>
        <w:t>（三）一般公共预算支出具体使用情况。</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b/>
          <w:sz w:val="32"/>
          <w:szCs w:val="32"/>
        </w:rPr>
        <w:t>1.教育支出（类）普通教育（款）初学教育（项）</w:t>
      </w:r>
      <w:r>
        <w:rPr>
          <w:rFonts w:hint="eastAsia" w:ascii="仿宋_GB2312" w:hAnsi="仿宋" w:eastAsia="仿宋_GB2312"/>
          <w:sz w:val="32"/>
          <w:szCs w:val="32"/>
        </w:rPr>
        <w:t>2023年预算286.03万元，比2022年预算增加286.03万元，增长100%，增长原因主要是本校为新建学校，2022年没有预算。</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b/>
          <w:sz w:val="32"/>
          <w:szCs w:val="32"/>
        </w:rPr>
        <w:t>2. 社会保障和就业支出（类）行政事业单位养老支出（款）机关事业单位基本养老保险缴费支出（项）</w:t>
      </w:r>
      <w:r>
        <w:rPr>
          <w:rFonts w:hint="eastAsia" w:ascii="仿宋_GB2312" w:hAnsi="仿宋" w:eastAsia="仿宋_GB2312"/>
          <w:sz w:val="32"/>
          <w:szCs w:val="32"/>
        </w:rPr>
        <w:t>2023年预算26.87万元，比2022年预算增加26.87万元，增长100%，增长原因主要是本校为新建学校，2022年没有预算。</w:t>
      </w:r>
    </w:p>
    <w:p>
      <w:pPr>
        <w:adjustRightInd w:val="0"/>
        <w:snapToGrid w:val="0"/>
        <w:spacing w:line="600" w:lineRule="exact"/>
        <w:ind w:firstLine="640" w:firstLineChars="200"/>
        <w:rPr>
          <w:rFonts w:ascii="仿宋_GB2312" w:hAnsi="仿宋" w:eastAsia="仿宋_GB2312"/>
          <w:color w:val="FF0000"/>
          <w:sz w:val="32"/>
          <w:szCs w:val="32"/>
        </w:rPr>
      </w:pPr>
      <w:r>
        <w:rPr>
          <w:rFonts w:hint="eastAsia" w:ascii="仿宋_GB2312" w:hAnsi="仿宋" w:eastAsia="仿宋_GB2312"/>
          <w:b/>
          <w:sz w:val="32"/>
          <w:szCs w:val="32"/>
        </w:rPr>
        <w:t>3. 社会保障和就业支出（类）其他社会保障和就业支出（款）其他社会保障和就业支出（项）</w:t>
      </w:r>
      <w:r>
        <w:rPr>
          <w:rFonts w:hint="eastAsia" w:ascii="仿宋_GB2312" w:hAnsi="仿宋" w:eastAsia="仿宋_GB2312"/>
          <w:sz w:val="32"/>
          <w:szCs w:val="32"/>
        </w:rPr>
        <w:t>2023年预算0.24万元，比2022年预算增加0.24万元，增加100%，增加原因主要是本校为新建学校，2022年没有预算。</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b/>
          <w:sz w:val="32"/>
          <w:szCs w:val="32"/>
        </w:rPr>
        <w:t>4. 卫生健康支出（类）行政事业单位医疗（款）事业单位医疗（项）</w:t>
      </w:r>
      <w:r>
        <w:rPr>
          <w:rFonts w:hint="eastAsia" w:ascii="仿宋_GB2312" w:hAnsi="仿宋" w:eastAsia="仿宋_GB2312"/>
          <w:sz w:val="32"/>
          <w:szCs w:val="32"/>
        </w:rPr>
        <w:t>2023年预算14.9万元，比2022年预算增加14.9万元，增加100%，增加原因主要是本校为新建学校，2022年没有预算。</w:t>
      </w:r>
    </w:p>
    <w:p>
      <w:pPr>
        <w:adjustRightInd w:val="0"/>
        <w:snapToGrid w:val="0"/>
        <w:spacing w:line="600" w:lineRule="exact"/>
        <w:ind w:firstLine="640" w:firstLineChars="200"/>
        <w:rPr>
          <w:rFonts w:ascii="仿宋_GB2312" w:hAnsi="仿宋" w:eastAsia="仿宋_GB2312"/>
          <w:color w:val="FF0000"/>
          <w:sz w:val="32"/>
          <w:szCs w:val="32"/>
        </w:rPr>
      </w:pPr>
      <w:r>
        <w:rPr>
          <w:rFonts w:hint="eastAsia" w:ascii="仿宋_GB2312" w:hAnsi="仿宋" w:eastAsia="仿宋_GB2312"/>
          <w:b/>
          <w:sz w:val="32"/>
          <w:szCs w:val="32"/>
        </w:rPr>
        <w:t>5. 卫生健康支出（类）行政事业单位医疗（款）公务员医疗补助（项）</w:t>
      </w:r>
      <w:r>
        <w:rPr>
          <w:rFonts w:hint="eastAsia" w:ascii="仿宋_GB2312" w:hAnsi="仿宋" w:eastAsia="仿宋_GB2312"/>
          <w:sz w:val="32"/>
          <w:szCs w:val="32"/>
        </w:rPr>
        <w:t>2023年预算3.53万元，比2022年预算增加3.53万元，增加100%，增加原因主要是本校为新建学校，2022年没有预算。</w:t>
      </w:r>
    </w:p>
    <w:p>
      <w:pPr>
        <w:adjustRightInd w:val="0"/>
        <w:snapToGrid w:val="0"/>
        <w:spacing w:line="600" w:lineRule="exact"/>
        <w:ind w:firstLine="640" w:firstLineChars="200"/>
        <w:rPr>
          <w:rFonts w:ascii="仿宋_GB2312" w:hAnsi="仿宋" w:eastAsia="仿宋_GB2312"/>
          <w:color w:val="FF0000"/>
          <w:sz w:val="32"/>
          <w:szCs w:val="32"/>
        </w:rPr>
      </w:pPr>
      <w:r>
        <w:rPr>
          <w:rFonts w:hint="eastAsia" w:ascii="仿宋_GB2312" w:hAnsi="仿宋" w:eastAsia="仿宋_GB2312"/>
          <w:b/>
          <w:sz w:val="32"/>
          <w:szCs w:val="32"/>
        </w:rPr>
        <w:t>6. 卫生健康支出（类）行政事业单位医疗（款）其他行政事业单位医疗支出（项）</w:t>
      </w:r>
      <w:r>
        <w:rPr>
          <w:rFonts w:hint="eastAsia" w:ascii="仿宋_GB2312" w:hAnsi="仿宋" w:eastAsia="仿宋_GB2312"/>
          <w:sz w:val="32"/>
          <w:szCs w:val="32"/>
        </w:rPr>
        <w:t>2023年预算0.27万元，比2022年预算增加0.27万元，增加100%，增加原因主要是本校为新建学校，2022年没有预算。</w:t>
      </w:r>
    </w:p>
    <w:p>
      <w:pPr>
        <w:adjustRightInd w:val="0"/>
        <w:snapToGrid w:val="0"/>
        <w:spacing w:line="600" w:lineRule="exact"/>
        <w:ind w:firstLine="640" w:firstLineChars="200"/>
        <w:rPr>
          <w:rFonts w:ascii="仿宋_GB2312" w:hAnsi="仿宋" w:eastAsia="仿宋_GB2312"/>
          <w:color w:val="FF0000"/>
          <w:sz w:val="32"/>
          <w:szCs w:val="32"/>
        </w:rPr>
      </w:pPr>
    </w:p>
    <w:p>
      <w:pPr>
        <w:pStyle w:val="7"/>
        <w:adjustRightInd w:val="0"/>
        <w:snapToGrid w:val="0"/>
        <w:spacing w:before="0" w:beforeAutospacing="0" w:after="0" w:afterAutospacing="0" w:line="600" w:lineRule="exact"/>
        <w:ind w:firstLine="640" w:firstLineChars="200"/>
        <w:rPr>
          <w:rFonts w:ascii="黑体" w:eastAsia="黑体"/>
          <w:color w:val="000000"/>
        </w:rPr>
      </w:pPr>
      <w:r>
        <w:rPr>
          <w:rFonts w:hint="eastAsia" w:ascii="黑体" w:hAnsi="仿宋" w:eastAsia="黑体" w:cs="Times New Roman"/>
          <w:color w:val="000000"/>
          <w:kern w:val="2"/>
          <w:sz w:val="32"/>
          <w:szCs w:val="32"/>
        </w:rPr>
        <w:t>六、关于2023年一般公共预算基本支出表的说明</w:t>
      </w:r>
    </w:p>
    <w:p>
      <w:pPr>
        <w:ind w:firstLine="640" w:firstLineChars="200"/>
        <w:rPr>
          <w:rFonts w:ascii="仿宋_GB2312" w:hAnsi="仿宋" w:eastAsia="仿宋_GB2312"/>
          <w:sz w:val="32"/>
          <w:szCs w:val="32"/>
        </w:rPr>
      </w:pPr>
      <w:r>
        <w:rPr>
          <w:rFonts w:hint="eastAsia" w:ascii="仿宋_GB2312" w:hAnsi="仿宋" w:eastAsia="仿宋_GB2312" w:cs="仿宋"/>
          <w:bCs/>
          <w:sz w:val="32"/>
          <w:szCs w:val="32"/>
        </w:rPr>
        <w:t>淮北师范大学附属相山学校</w:t>
      </w:r>
      <w:r>
        <w:rPr>
          <w:rFonts w:hint="eastAsia" w:ascii="仿宋_GB2312" w:hAnsi="仿宋" w:eastAsia="仿宋_GB2312"/>
          <w:sz w:val="32"/>
          <w:szCs w:val="32"/>
        </w:rPr>
        <w:t>2023年一般公共预算基本支出331.85万元，其中，人员经费314.87万元，商品和服务支出7.31万元，对个人和家庭的支出9.66万元。</w:t>
      </w:r>
    </w:p>
    <w:p>
      <w:pPr>
        <w:ind w:firstLine="640" w:firstLineChars="200"/>
        <w:rPr>
          <w:rFonts w:ascii="仿宋_GB2312" w:hAnsi="仿宋" w:eastAsia="仿宋_GB2312"/>
          <w:sz w:val="32"/>
          <w:szCs w:val="32"/>
        </w:rPr>
      </w:pPr>
      <w:r>
        <w:rPr>
          <w:rFonts w:hint="eastAsia" w:ascii="仿宋_GB2312" w:hAnsi="仿宋" w:eastAsia="仿宋_GB2312"/>
          <w:sz w:val="32"/>
          <w:szCs w:val="32"/>
        </w:rPr>
        <w:t>（一）人员经费314.87万元，主要包括:基本工资、津贴补贴、奖金、绩效工资、机关事业单位基本养老保险费、职业年金缴费、职工基本医疗保险缴费、公务员医疗补助缴费、其他社会保障缴费、住房公积金、其他工资福利支出等。</w:t>
      </w:r>
    </w:p>
    <w:p>
      <w:pPr>
        <w:ind w:firstLine="640" w:firstLineChars="200"/>
        <w:rPr>
          <w:rFonts w:ascii="仿宋_GB2312" w:hAnsi="仿宋" w:eastAsia="仿宋_GB2312"/>
          <w:sz w:val="32"/>
          <w:szCs w:val="32"/>
        </w:rPr>
      </w:pPr>
      <w:r>
        <w:rPr>
          <w:rFonts w:hint="eastAsia" w:ascii="仿宋_GB2312" w:hAnsi="仿宋" w:eastAsia="仿宋_GB2312"/>
          <w:sz w:val="32"/>
          <w:szCs w:val="32"/>
        </w:rPr>
        <w:t>（二）商品和服务支出7.31万元，主要包括：培训费、工会经费、福利费等。</w:t>
      </w:r>
    </w:p>
    <w:p>
      <w:pPr>
        <w:ind w:firstLine="640" w:firstLineChars="200"/>
        <w:rPr>
          <w:rFonts w:ascii="仿宋_GB2312" w:hAnsi="仿宋" w:eastAsia="仿宋_GB2312"/>
          <w:sz w:val="32"/>
          <w:szCs w:val="32"/>
        </w:rPr>
      </w:pPr>
      <w:r>
        <w:rPr>
          <w:rFonts w:hint="eastAsia" w:ascii="仿宋_GB2312" w:hAnsi="仿宋" w:eastAsia="仿宋_GB2312"/>
          <w:sz w:val="32"/>
          <w:szCs w:val="32"/>
        </w:rPr>
        <w:t>（三）对个人和家庭的支出9.66万元，主要包括：其他对个人和家庭的补助支出9.66万元。</w:t>
      </w:r>
    </w:p>
    <w:p>
      <w:pPr>
        <w:pStyle w:val="7"/>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七、关于2023年政府性基金预算支出表的说明</w:t>
      </w:r>
    </w:p>
    <w:p>
      <w:pPr>
        <w:pStyle w:val="7"/>
        <w:adjustRightInd w:val="0"/>
        <w:snapToGrid w:val="0"/>
        <w:spacing w:before="0" w:beforeAutospacing="0" w:after="0" w:afterAutospacing="0" w:line="580" w:lineRule="exact"/>
        <w:ind w:firstLine="640" w:firstLineChars="200"/>
        <w:jc w:val="both"/>
        <w:rPr>
          <w:rFonts w:ascii="仿宋_GB2312" w:hAnsi="仿宋" w:eastAsia="仿宋_GB2312"/>
          <w:sz w:val="32"/>
          <w:szCs w:val="32"/>
        </w:rPr>
      </w:pPr>
      <w:r>
        <w:rPr>
          <w:rFonts w:hint="eastAsia" w:ascii="仿宋_GB2312" w:hAnsi="仿宋" w:eastAsia="仿宋_GB2312" w:cs="仿宋"/>
          <w:bCs/>
          <w:sz w:val="32"/>
          <w:szCs w:val="32"/>
        </w:rPr>
        <w:t>淮北师范大学附属相山学校</w:t>
      </w:r>
      <w:r>
        <w:rPr>
          <w:rFonts w:hint="eastAsia" w:ascii="仿宋_GB2312" w:hAnsi="仿宋" w:eastAsia="仿宋_GB2312"/>
          <w:sz w:val="32"/>
          <w:szCs w:val="32"/>
        </w:rPr>
        <w:t>2022年没有政府性基金预算拨款收入，也没有使用政府性基金预算拨款安排的支出。</w:t>
      </w:r>
    </w:p>
    <w:p>
      <w:pPr>
        <w:pStyle w:val="7"/>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八、关于2023年国有资本经营预算支出表的说明</w:t>
      </w:r>
    </w:p>
    <w:p>
      <w:pPr>
        <w:pStyle w:val="7"/>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cs="仿宋"/>
          <w:bCs/>
          <w:sz w:val="32"/>
          <w:szCs w:val="32"/>
        </w:rPr>
        <w:t>淮北师范大学附属相山学校</w:t>
      </w:r>
      <w:r>
        <w:rPr>
          <w:rFonts w:hint="eastAsia" w:ascii="仿宋_GB2312" w:hAnsi="仿宋" w:eastAsia="仿宋_GB2312"/>
          <w:sz w:val="32"/>
          <w:szCs w:val="32"/>
        </w:rPr>
        <w:t>2023年没有国有资本经营预算拨款收入，也没有使用国有资本经营预算拨款安排的支出。</w:t>
      </w:r>
    </w:p>
    <w:p>
      <w:pPr>
        <w:pStyle w:val="7"/>
        <w:numPr>
          <w:ilvl w:val="0"/>
          <w:numId w:val="3"/>
        </w:numPr>
        <w:adjustRightInd w:val="0"/>
        <w:snapToGrid w:val="0"/>
        <w:spacing w:before="0" w:beforeAutospacing="0" w:after="0" w:afterAutospacing="0" w:line="600" w:lineRule="exact"/>
        <w:rPr>
          <w:rFonts w:ascii="黑体" w:hAnsi="仿宋" w:eastAsia="黑体"/>
          <w:sz w:val="32"/>
          <w:szCs w:val="32"/>
        </w:rPr>
      </w:pPr>
      <w:r>
        <w:rPr>
          <w:rFonts w:hint="eastAsia" w:ascii="黑体" w:hAnsi="仿宋" w:eastAsia="黑体"/>
          <w:sz w:val="32"/>
          <w:szCs w:val="32"/>
        </w:rPr>
        <w:t>关于2023年项目支出表的说明</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仿宋"/>
          <w:bCs/>
          <w:sz w:val="32"/>
          <w:szCs w:val="32"/>
        </w:rPr>
        <w:t>淮北师范大学附属相山学校</w:t>
      </w:r>
      <w:r>
        <w:rPr>
          <w:rFonts w:hint="eastAsia" w:ascii="仿宋_GB2312" w:hAnsi="仿宋" w:eastAsia="仿宋_GB2312"/>
          <w:sz w:val="32"/>
          <w:szCs w:val="32"/>
        </w:rPr>
        <w:t>2023年预算共安排项目支出0万元，比2022年预算增加0万元，增长0%，增加原因主要是增加了退休教师。主要包括：本年财政拨款安排8.5万元（其中，一般公共预算拨款安排8.5万元，政府性基金预算拨款安排0万元，国有资本经营预算拨款安排0万元），财政拨款结转结余安排 0万元（其中，一般公共预算拨款安排0万元，政府性基金预算拨款安排0万元，国有资本经营预算拨款安排0万元）、财政专户管理资金安排0万元和单位资金安排0万元。</w:t>
      </w:r>
    </w:p>
    <w:p>
      <w:pPr>
        <w:pStyle w:val="7"/>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十、关于2023年政府采购支出表的说明</w:t>
      </w:r>
    </w:p>
    <w:p>
      <w:pPr>
        <w:pStyle w:val="7"/>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cs="仿宋"/>
          <w:bCs/>
          <w:sz w:val="32"/>
          <w:szCs w:val="32"/>
        </w:rPr>
        <w:t>淮北师范大学附属相山学校</w:t>
      </w:r>
      <w:r>
        <w:rPr>
          <w:rFonts w:hint="eastAsia" w:ascii="仿宋_GB2312" w:hAnsi="仿宋" w:eastAsia="仿宋_GB2312"/>
          <w:sz w:val="32"/>
          <w:szCs w:val="32"/>
        </w:rPr>
        <w:t>2023年预算安排政府采购支出0万元，与2022年预算持平。其中，一般公共预算安排0万元，占0%；政府性基金预算安排0万元，占0%；国有资本经营预算安排0万元，占0%；财政专户管理资金安排0万元，占0%；单位资金安排0万元，占0%。</w:t>
      </w:r>
    </w:p>
    <w:p>
      <w:pPr>
        <w:pStyle w:val="7"/>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十一、关于2023年政府购买服务支出表的说明</w:t>
      </w:r>
    </w:p>
    <w:p>
      <w:pPr>
        <w:pStyle w:val="7"/>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cs="仿宋"/>
          <w:bCs/>
          <w:sz w:val="32"/>
          <w:szCs w:val="32"/>
        </w:rPr>
        <w:t>淮北师范大学附属相山学校</w:t>
      </w:r>
      <w:r>
        <w:rPr>
          <w:rFonts w:hint="eastAsia" w:ascii="仿宋_GB2312" w:hAnsi="仿宋" w:eastAsia="仿宋_GB2312"/>
          <w:sz w:val="32"/>
          <w:szCs w:val="32"/>
        </w:rPr>
        <w:t>2023年没有安排政府购买服务支出。</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十二、其他重要事项情况说明</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（一）项目及绩效目标情况。</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仿宋" w:eastAsia="仿宋_GB2312" w:cs="仿宋"/>
          <w:bCs/>
          <w:sz w:val="32"/>
          <w:szCs w:val="32"/>
        </w:rPr>
        <w:t>淮北师范大学附属相山学校</w:t>
      </w:r>
      <w:r>
        <w:rPr>
          <w:rFonts w:hint="eastAsia" w:ascii="仿宋_GB2312" w:hAnsi="楷体" w:eastAsia="仿宋_GB2312"/>
          <w:sz w:val="32"/>
          <w:szCs w:val="32"/>
        </w:rPr>
        <w:t>2023年无项目及绩效目标。</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（二）机关运行经费。</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仿宋"/>
          <w:bCs/>
          <w:sz w:val="32"/>
          <w:szCs w:val="32"/>
        </w:rPr>
        <w:t>淮北师范大学附属相山学校</w:t>
      </w:r>
      <w:r>
        <w:rPr>
          <w:rFonts w:hint="eastAsia" w:ascii="仿宋_GB2312" w:hAnsi="仿宋" w:eastAsia="仿宋_GB2312"/>
          <w:sz w:val="32"/>
          <w:szCs w:val="32"/>
        </w:rPr>
        <w:t>2023年无机关运行经费。</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（三）政府采购情况。</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仿宋" w:eastAsia="仿宋_GB2312" w:cs="仿宋"/>
          <w:bCs/>
          <w:sz w:val="32"/>
          <w:szCs w:val="32"/>
        </w:rPr>
        <w:t>淮北师范大学附属相山学校</w:t>
      </w:r>
      <w:r>
        <w:rPr>
          <w:rFonts w:hint="eastAsia" w:ascii="仿宋_GB2312" w:hAnsi="楷体" w:eastAsia="仿宋_GB2312"/>
          <w:sz w:val="32"/>
          <w:szCs w:val="32"/>
        </w:rPr>
        <w:t>2023年无政府采购预算。</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（四）国有资产占有使用情况。</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仿宋" w:eastAsia="仿宋_GB2312" w:cs="仿宋"/>
          <w:bCs/>
          <w:sz w:val="32"/>
          <w:szCs w:val="32"/>
        </w:rPr>
        <w:t>淮北师范大学附属相山学校</w:t>
      </w:r>
      <w:r>
        <w:rPr>
          <w:rFonts w:hint="eastAsia" w:ascii="仿宋_GB2312" w:hAnsi="楷体" w:eastAsia="仿宋_GB2312"/>
          <w:sz w:val="32"/>
          <w:szCs w:val="32"/>
        </w:rPr>
        <w:t>2023年无国有资产占有。</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（五）绩效目标设置情况。</w:t>
      </w:r>
    </w:p>
    <w:p>
      <w:pPr>
        <w:adjustRightInd w:val="0"/>
        <w:snapToGrid w:val="0"/>
        <w:spacing w:line="600" w:lineRule="exact"/>
        <w:ind w:left="638" w:leftChars="304"/>
        <w:rPr>
          <w:rFonts w:ascii="仿宋_GB2312" w:hAnsi="楷体" w:eastAsia="仿宋_GB2312"/>
          <w:sz w:val="32"/>
          <w:szCs w:val="32"/>
        </w:rPr>
      </w:pPr>
      <w:r>
        <w:rPr>
          <w:rFonts w:hint="eastAsia" w:ascii="仿宋_GB2312" w:hAnsi="仿宋" w:eastAsia="仿宋_GB2312" w:cs="仿宋"/>
          <w:bCs/>
          <w:sz w:val="32"/>
          <w:szCs w:val="32"/>
        </w:rPr>
        <w:t>淮北师范大学附属相山学校</w:t>
      </w:r>
      <w:r>
        <w:rPr>
          <w:rFonts w:hint="eastAsia" w:ascii="仿宋_GB2312" w:hAnsi="楷体" w:eastAsia="仿宋_GB2312"/>
          <w:sz w:val="32"/>
          <w:szCs w:val="32"/>
        </w:rPr>
        <w:t>2023年无绩效项目支出。</w:t>
      </w:r>
    </w:p>
    <w:p>
      <w:pPr>
        <w:tabs>
          <w:tab w:val="left" w:pos="3316"/>
        </w:tabs>
        <w:adjustRightInd w:val="0"/>
        <w:snapToGrid w:val="0"/>
        <w:spacing w:line="600" w:lineRule="exact"/>
        <w:outlineLvl w:val="0"/>
        <w:rPr>
          <w:rFonts w:ascii="黑体" w:eastAsia="黑体" w:cs="宋体"/>
          <w:sz w:val="36"/>
          <w:szCs w:val="36"/>
        </w:rPr>
      </w:pPr>
    </w:p>
    <w:p>
      <w:pPr>
        <w:adjustRightInd w:val="0"/>
        <w:snapToGrid w:val="0"/>
        <w:spacing w:line="600" w:lineRule="exact"/>
        <w:jc w:val="center"/>
        <w:rPr>
          <w:rFonts w:ascii="黑体" w:eastAsia="黑体" w:cs="宋体"/>
          <w:sz w:val="36"/>
          <w:szCs w:val="36"/>
        </w:rPr>
      </w:pPr>
      <w:r>
        <w:rPr>
          <w:rFonts w:hint="eastAsia" w:ascii="黑体" w:eastAsia="黑体" w:cs="宋体"/>
          <w:sz w:val="36"/>
          <w:szCs w:val="36"/>
        </w:rPr>
        <w:t>第四部分 名词解释</w:t>
      </w:r>
    </w:p>
    <w:p>
      <w:pPr>
        <w:adjustRightInd w:val="0"/>
        <w:snapToGrid w:val="0"/>
        <w:spacing w:line="600" w:lineRule="exact"/>
        <w:jc w:val="center"/>
        <w:rPr>
          <w:rFonts w:ascii="黑体" w:hAnsi="黑体" w:eastAsia="黑体"/>
          <w:sz w:val="32"/>
          <w:szCs w:val="32"/>
        </w:rPr>
      </w:pPr>
    </w:p>
    <w:p>
      <w:pPr>
        <w:pStyle w:val="7"/>
        <w:spacing w:before="0" w:beforeAutospacing="0" w:after="0" w:afterAutospacing="0" w:line="600" w:lineRule="exact"/>
        <w:ind w:firstLine="627" w:firstLineChars="196"/>
        <w:jc w:val="both"/>
        <w:rPr>
          <w:rFonts w:ascii="仿宋_GB2312" w:hAnsi="黑体" w:eastAsia="仿宋_GB2312"/>
          <w:sz w:val="32"/>
          <w:szCs w:val="32"/>
        </w:rPr>
      </w:pPr>
      <w:r>
        <w:rPr>
          <w:rFonts w:hint="eastAsia" w:ascii="黑体" w:hAnsi="仿宋" w:eastAsia="黑体"/>
          <w:sz w:val="32"/>
          <w:szCs w:val="32"/>
        </w:rPr>
        <w:t>一、财政拨款收入</w:t>
      </w:r>
      <w:r>
        <w:rPr>
          <w:rFonts w:hint="eastAsia" w:ascii="仿宋_GB2312" w:hAnsi="仿宋" w:eastAsia="仿宋_GB2312"/>
          <w:b/>
          <w:sz w:val="32"/>
          <w:szCs w:val="32"/>
        </w:rPr>
        <w:t>：</w:t>
      </w:r>
      <w:r>
        <w:rPr>
          <w:rFonts w:hint="eastAsia" w:ascii="仿宋_GB2312" w:hAnsi="黑体" w:eastAsia="仿宋_GB2312"/>
          <w:sz w:val="32"/>
          <w:szCs w:val="32"/>
        </w:rPr>
        <w:t>指部门或单位从同级财政部门取得的财政预算资金。</w:t>
      </w:r>
    </w:p>
    <w:p>
      <w:pPr>
        <w:pStyle w:val="7"/>
        <w:spacing w:before="0" w:beforeAutospacing="0" w:after="0" w:afterAutospacing="0" w:line="600" w:lineRule="exact"/>
        <w:ind w:firstLine="627" w:firstLineChars="196"/>
        <w:jc w:val="both"/>
        <w:rPr>
          <w:rFonts w:ascii="黑体" w:hAnsi="黑体" w:eastAsia="黑体"/>
          <w:sz w:val="32"/>
          <w:szCs w:val="32"/>
        </w:rPr>
      </w:pPr>
      <w:r>
        <w:rPr>
          <w:rFonts w:hint="eastAsia" w:ascii="黑体" w:hAnsi="仿宋" w:eastAsia="黑体"/>
          <w:sz w:val="32"/>
          <w:szCs w:val="32"/>
        </w:rPr>
        <w:t>二、事业收入：</w:t>
      </w:r>
      <w:r>
        <w:rPr>
          <w:rFonts w:hint="eastAsia" w:ascii="仿宋_GB2312" w:hAnsi="黑体" w:eastAsia="仿宋_GB2312"/>
          <w:sz w:val="32"/>
          <w:szCs w:val="32"/>
        </w:rPr>
        <w:t>指事业单</w:t>
      </w:r>
      <w:r>
        <w:rPr>
          <w:rFonts w:hint="eastAsia" w:ascii="仿宋_GB2312" w:hAnsi="仿宋" w:eastAsia="仿宋_GB2312" w:cs="Times New Roman"/>
          <w:kern w:val="2"/>
          <w:sz w:val="32"/>
          <w:szCs w:val="32"/>
        </w:rPr>
        <w:t>位开展专业业务活动及辅助活动所取得的收入。</w:t>
      </w:r>
    </w:p>
    <w:p>
      <w:pPr>
        <w:pStyle w:val="7"/>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三、财政专户管理资金：</w:t>
      </w:r>
      <w:r>
        <w:rPr>
          <w:rFonts w:hint="eastAsia" w:ascii="仿宋_GB2312" w:hAnsi="仿宋" w:eastAsia="仿宋_GB2312" w:cs="Times New Roman"/>
          <w:kern w:val="2"/>
          <w:sz w:val="32"/>
          <w:szCs w:val="32"/>
        </w:rPr>
        <w:t>指按照非税收入管理相关规定，纳入财政专户管理的教育收费等。</w:t>
      </w:r>
    </w:p>
    <w:p>
      <w:pPr>
        <w:pStyle w:val="7"/>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四、事业单位经营收入：</w:t>
      </w:r>
      <w:r>
        <w:rPr>
          <w:rFonts w:hint="eastAsia" w:ascii="仿宋_GB2312" w:hAnsi="仿宋" w:eastAsia="仿宋_GB2312" w:cs="Times New Roman"/>
          <w:kern w:val="2"/>
          <w:sz w:val="32"/>
          <w:szCs w:val="32"/>
        </w:rPr>
        <w:t>指事业单位在专业业务活动及其辅助活动之外开展非独立核算经营活动取得的收入。</w:t>
      </w:r>
    </w:p>
    <w:p>
      <w:pPr>
        <w:pStyle w:val="7"/>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五、附属单位上缴收入：</w:t>
      </w:r>
      <w:r>
        <w:rPr>
          <w:rFonts w:hint="eastAsia" w:ascii="仿宋_GB2312" w:hAnsi="仿宋" w:eastAsia="仿宋_GB2312" w:cs="Times New Roman"/>
          <w:kern w:val="2"/>
          <w:sz w:val="32"/>
          <w:szCs w:val="32"/>
        </w:rPr>
        <w:t>本单位所属下级单位上缴给本单位的全部收入。</w:t>
      </w:r>
    </w:p>
    <w:p>
      <w:pPr>
        <w:pStyle w:val="7"/>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六、上年结转：</w:t>
      </w:r>
      <w:r>
        <w:rPr>
          <w:rFonts w:hint="eastAsia" w:ascii="仿宋_GB2312" w:hAnsi="仿宋" w:eastAsia="仿宋_GB2312" w:cs="Times New Roman"/>
          <w:kern w:val="2"/>
          <w:sz w:val="32"/>
          <w:szCs w:val="32"/>
        </w:rPr>
        <w:t>指以前年度安排、结转到本年仍按原用途继续使用的资金。</w:t>
      </w:r>
    </w:p>
    <w:p>
      <w:pPr>
        <w:pStyle w:val="7"/>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七、结转下年：</w:t>
      </w:r>
      <w:r>
        <w:rPr>
          <w:rFonts w:hint="eastAsia" w:ascii="仿宋_GB2312" w:hAnsi="仿宋" w:eastAsia="仿宋_GB2312" w:cs="Times New Roman"/>
          <w:kern w:val="2"/>
          <w:sz w:val="32"/>
          <w:szCs w:val="32"/>
        </w:rPr>
        <w:t>指以前年度预算安排、因客观条件发生变化无法按原计划实施，需以后年度按原用途继续使用的资金。</w:t>
      </w:r>
    </w:p>
    <w:p>
      <w:pPr>
        <w:pStyle w:val="7"/>
        <w:adjustRightInd w:val="0"/>
        <w:snapToGrid w:val="0"/>
        <w:spacing w:before="0" w:beforeAutospacing="0" w:after="0" w:afterAutospacing="0" w:line="600" w:lineRule="exact"/>
        <w:ind w:firstLine="627" w:firstLineChars="196"/>
        <w:rPr>
          <w:rFonts w:ascii="仿宋_GB2312" w:hAnsi="黑体" w:eastAsia="仿宋_GB2312"/>
          <w:sz w:val="32"/>
          <w:szCs w:val="32"/>
        </w:rPr>
      </w:pPr>
      <w:r>
        <w:rPr>
          <w:rFonts w:hint="eastAsia" w:ascii="黑体" w:hAnsi="黑体" w:eastAsia="黑体"/>
          <w:sz w:val="32"/>
          <w:szCs w:val="32"/>
        </w:rPr>
        <w:t>八、基本支出</w:t>
      </w:r>
      <w:r>
        <w:rPr>
          <w:rFonts w:hint="eastAsia" w:ascii="仿宋_GB2312" w:hAnsi="黑体" w:eastAsia="仿宋_GB2312"/>
          <w:b/>
          <w:sz w:val="32"/>
          <w:szCs w:val="32"/>
        </w:rPr>
        <w:t>：</w:t>
      </w:r>
      <w:r>
        <w:rPr>
          <w:rFonts w:hint="eastAsia" w:ascii="仿宋_GB2312" w:hAnsi="黑体" w:eastAsia="仿宋_GB2312"/>
          <w:sz w:val="32"/>
          <w:szCs w:val="32"/>
        </w:rPr>
        <w:t>指为保障机构正常运转、完成日常工作任务而发生的人员支出和公用支出。</w:t>
      </w:r>
    </w:p>
    <w:p>
      <w:pPr>
        <w:pStyle w:val="7"/>
        <w:spacing w:before="0" w:beforeAutospacing="0" w:after="0" w:afterAutospacing="0" w:line="600" w:lineRule="exact"/>
        <w:ind w:firstLine="627" w:firstLineChars="196"/>
        <w:jc w:val="both"/>
        <w:rPr>
          <w:rFonts w:ascii="仿宋_GB2312" w:hAnsi="黑体" w:eastAsia="仿宋_GB2312"/>
          <w:sz w:val="32"/>
          <w:szCs w:val="32"/>
        </w:rPr>
      </w:pPr>
      <w:r>
        <w:rPr>
          <w:rFonts w:hint="eastAsia" w:ascii="黑体" w:hAnsi="黑体" w:eastAsia="黑体"/>
          <w:sz w:val="32"/>
          <w:szCs w:val="32"/>
        </w:rPr>
        <w:t>九、项目支出</w:t>
      </w:r>
      <w:r>
        <w:rPr>
          <w:rFonts w:hint="eastAsia" w:ascii="仿宋_GB2312" w:hAnsi="黑体" w:eastAsia="仿宋_GB2312"/>
          <w:b/>
          <w:sz w:val="32"/>
          <w:szCs w:val="32"/>
        </w:rPr>
        <w:t>：</w:t>
      </w:r>
      <w:r>
        <w:rPr>
          <w:rFonts w:hint="eastAsia" w:ascii="仿宋_GB2312" w:hAnsi="黑体" w:eastAsia="仿宋_GB2312"/>
          <w:sz w:val="32"/>
          <w:szCs w:val="32"/>
        </w:rPr>
        <w:t>指在除基本支出之外的支出，主要用于完成特定的工作任务和事业发展目标。</w:t>
      </w:r>
      <w:r>
        <w:rPr>
          <w:rFonts w:ascii="仿宋_GB2312" w:hAnsi="黑体" w:eastAsia="仿宋_GB2312"/>
          <w:sz w:val="32"/>
          <w:szCs w:val="32"/>
        </w:rPr>
        <w:br w:type="textWrapping"/>
      </w:r>
      <w:r>
        <w:rPr>
          <w:rFonts w:hint="eastAsia" w:ascii="黑体" w:hAnsi="黑体" w:eastAsia="黑体"/>
          <w:sz w:val="32"/>
          <w:szCs w:val="32"/>
        </w:rPr>
        <w:t xml:space="preserve">    十、机关运行经费:</w:t>
      </w:r>
      <w:r>
        <w:rPr>
          <w:rFonts w:hint="eastAsia" w:ascii="仿宋_GB2312" w:hAnsi="黑体"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headerReference r:id="rId3" w:type="default"/>
      <w:footerReference r:id="rId4" w:type="default"/>
      <w:pgSz w:w="11906" w:h="16838"/>
      <w:pgMar w:top="1440" w:right="1418"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4</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96785"/>
    <w:multiLevelType w:val="multilevel"/>
    <w:tmpl w:val="5C196785"/>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0B20DC9"/>
    <w:multiLevelType w:val="singleLevel"/>
    <w:tmpl w:val="70B20DC9"/>
    <w:lvl w:ilvl="0" w:tentative="0">
      <w:start w:val="1"/>
      <w:numFmt w:val="chineseCounting"/>
      <w:suff w:val="nothing"/>
      <w:lvlText w:val="（%1）"/>
      <w:lvlJc w:val="left"/>
      <w:pPr>
        <w:ind w:left="-10"/>
      </w:pPr>
      <w:rPr>
        <w:rFonts w:hint="eastAsia"/>
      </w:rPr>
    </w:lvl>
  </w:abstractNum>
  <w:abstractNum w:abstractNumId="2">
    <w:nsid w:val="7D933E83"/>
    <w:multiLevelType w:val="multilevel"/>
    <w:tmpl w:val="7D933E83"/>
    <w:lvl w:ilvl="0" w:tentative="0">
      <w:start w:val="9"/>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84EF3"/>
    <w:rsid w:val="00001C4D"/>
    <w:rsid w:val="0000665B"/>
    <w:rsid w:val="00020DE5"/>
    <w:rsid w:val="0002245A"/>
    <w:rsid w:val="000228E5"/>
    <w:rsid w:val="000235D0"/>
    <w:rsid w:val="000243EC"/>
    <w:rsid w:val="00035F11"/>
    <w:rsid w:val="0004172E"/>
    <w:rsid w:val="00041A3C"/>
    <w:rsid w:val="00044AF5"/>
    <w:rsid w:val="00044C6C"/>
    <w:rsid w:val="00045C44"/>
    <w:rsid w:val="00046C78"/>
    <w:rsid w:val="00066783"/>
    <w:rsid w:val="00066E8F"/>
    <w:rsid w:val="0007222A"/>
    <w:rsid w:val="000767EB"/>
    <w:rsid w:val="00080FA1"/>
    <w:rsid w:val="00085A10"/>
    <w:rsid w:val="000864C8"/>
    <w:rsid w:val="000876F2"/>
    <w:rsid w:val="000A2B6B"/>
    <w:rsid w:val="000A440A"/>
    <w:rsid w:val="000A7793"/>
    <w:rsid w:val="000B102E"/>
    <w:rsid w:val="000B7C34"/>
    <w:rsid w:val="000E4F06"/>
    <w:rsid w:val="000E5985"/>
    <w:rsid w:val="000E64C5"/>
    <w:rsid w:val="000F3ACF"/>
    <w:rsid w:val="000F591D"/>
    <w:rsid w:val="000F678E"/>
    <w:rsid w:val="000F753C"/>
    <w:rsid w:val="001003FB"/>
    <w:rsid w:val="00101A9A"/>
    <w:rsid w:val="00102014"/>
    <w:rsid w:val="00103721"/>
    <w:rsid w:val="001055D0"/>
    <w:rsid w:val="001119B2"/>
    <w:rsid w:val="00112450"/>
    <w:rsid w:val="00116634"/>
    <w:rsid w:val="00120CF9"/>
    <w:rsid w:val="001278AA"/>
    <w:rsid w:val="00130175"/>
    <w:rsid w:val="00130975"/>
    <w:rsid w:val="001431FA"/>
    <w:rsid w:val="00144CED"/>
    <w:rsid w:val="00153162"/>
    <w:rsid w:val="00154EB8"/>
    <w:rsid w:val="0015647F"/>
    <w:rsid w:val="001576E5"/>
    <w:rsid w:val="00165ECB"/>
    <w:rsid w:val="001672C6"/>
    <w:rsid w:val="00167FC2"/>
    <w:rsid w:val="00173BAC"/>
    <w:rsid w:val="001748CD"/>
    <w:rsid w:val="0017717F"/>
    <w:rsid w:val="001822C2"/>
    <w:rsid w:val="00194180"/>
    <w:rsid w:val="00197EB0"/>
    <w:rsid w:val="001A022B"/>
    <w:rsid w:val="001A1297"/>
    <w:rsid w:val="001A252D"/>
    <w:rsid w:val="001A7098"/>
    <w:rsid w:val="001B3434"/>
    <w:rsid w:val="001C0BD2"/>
    <w:rsid w:val="001C0F29"/>
    <w:rsid w:val="001D029A"/>
    <w:rsid w:val="001D561C"/>
    <w:rsid w:val="001D7312"/>
    <w:rsid w:val="001D7C57"/>
    <w:rsid w:val="001E46D7"/>
    <w:rsid w:val="001F0790"/>
    <w:rsid w:val="001F07F0"/>
    <w:rsid w:val="001F37B1"/>
    <w:rsid w:val="0020030E"/>
    <w:rsid w:val="00201BB6"/>
    <w:rsid w:val="00204AF2"/>
    <w:rsid w:val="00204EFF"/>
    <w:rsid w:val="00210E2A"/>
    <w:rsid w:val="00212A5F"/>
    <w:rsid w:val="00213575"/>
    <w:rsid w:val="00213A99"/>
    <w:rsid w:val="002161FA"/>
    <w:rsid w:val="00216582"/>
    <w:rsid w:val="00216F14"/>
    <w:rsid w:val="00221EC9"/>
    <w:rsid w:val="00223DD6"/>
    <w:rsid w:val="002258E7"/>
    <w:rsid w:val="00232957"/>
    <w:rsid w:val="0023587C"/>
    <w:rsid w:val="00235E7C"/>
    <w:rsid w:val="002378BB"/>
    <w:rsid w:val="00240354"/>
    <w:rsid w:val="00241D6B"/>
    <w:rsid w:val="0024264B"/>
    <w:rsid w:val="00244ADF"/>
    <w:rsid w:val="00245307"/>
    <w:rsid w:val="0024555D"/>
    <w:rsid w:val="002459CF"/>
    <w:rsid w:val="002640F7"/>
    <w:rsid w:val="00264952"/>
    <w:rsid w:val="00266F6F"/>
    <w:rsid w:val="00271BD2"/>
    <w:rsid w:val="002731B1"/>
    <w:rsid w:val="00274682"/>
    <w:rsid w:val="00281B96"/>
    <w:rsid w:val="002822B7"/>
    <w:rsid w:val="00282EF1"/>
    <w:rsid w:val="002843F3"/>
    <w:rsid w:val="002912FF"/>
    <w:rsid w:val="0029292C"/>
    <w:rsid w:val="00295A7D"/>
    <w:rsid w:val="00295D66"/>
    <w:rsid w:val="002A0119"/>
    <w:rsid w:val="002A0890"/>
    <w:rsid w:val="002A1106"/>
    <w:rsid w:val="002A15BD"/>
    <w:rsid w:val="002A201D"/>
    <w:rsid w:val="002A6E39"/>
    <w:rsid w:val="002B716F"/>
    <w:rsid w:val="002C451D"/>
    <w:rsid w:val="002D1FE7"/>
    <w:rsid w:val="002D3CBA"/>
    <w:rsid w:val="002D5BA6"/>
    <w:rsid w:val="002E6EE7"/>
    <w:rsid w:val="002F50BC"/>
    <w:rsid w:val="002F6B5C"/>
    <w:rsid w:val="00303BC1"/>
    <w:rsid w:val="00315AC7"/>
    <w:rsid w:val="003202A5"/>
    <w:rsid w:val="00322E4D"/>
    <w:rsid w:val="00326660"/>
    <w:rsid w:val="00326E4D"/>
    <w:rsid w:val="00327CED"/>
    <w:rsid w:val="0033096E"/>
    <w:rsid w:val="00341341"/>
    <w:rsid w:val="0034241B"/>
    <w:rsid w:val="003479E4"/>
    <w:rsid w:val="003607C5"/>
    <w:rsid w:val="003613BE"/>
    <w:rsid w:val="00361D0B"/>
    <w:rsid w:val="0036377C"/>
    <w:rsid w:val="00364339"/>
    <w:rsid w:val="003708B2"/>
    <w:rsid w:val="00372475"/>
    <w:rsid w:val="0037368D"/>
    <w:rsid w:val="00374A95"/>
    <w:rsid w:val="003764C5"/>
    <w:rsid w:val="003853BB"/>
    <w:rsid w:val="003872E9"/>
    <w:rsid w:val="00387A5C"/>
    <w:rsid w:val="00390C02"/>
    <w:rsid w:val="00392333"/>
    <w:rsid w:val="00392D67"/>
    <w:rsid w:val="00396026"/>
    <w:rsid w:val="003A1262"/>
    <w:rsid w:val="003A3AB3"/>
    <w:rsid w:val="003A4FEE"/>
    <w:rsid w:val="003B70C8"/>
    <w:rsid w:val="003C11AF"/>
    <w:rsid w:val="003C18FB"/>
    <w:rsid w:val="003C3C10"/>
    <w:rsid w:val="003C5996"/>
    <w:rsid w:val="003C69BD"/>
    <w:rsid w:val="003D2A66"/>
    <w:rsid w:val="003D5C34"/>
    <w:rsid w:val="003D70C4"/>
    <w:rsid w:val="003D7E92"/>
    <w:rsid w:val="003E20CD"/>
    <w:rsid w:val="003E43F8"/>
    <w:rsid w:val="003E4E65"/>
    <w:rsid w:val="003E5F03"/>
    <w:rsid w:val="003F17B8"/>
    <w:rsid w:val="003F43DA"/>
    <w:rsid w:val="003F4E12"/>
    <w:rsid w:val="003F6420"/>
    <w:rsid w:val="003F736F"/>
    <w:rsid w:val="003F7F66"/>
    <w:rsid w:val="0040046F"/>
    <w:rsid w:val="00405697"/>
    <w:rsid w:val="004074D7"/>
    <w:rsid w:val="00416F0B"/>
    <w:rsid w:val="004205EB"/>
    <w:rsid w:val="00422A81"/>
    <w:rsid w:val="004271C2"/>
    <w:rsid w:val="0043251E"/>
    <w:rsid w:val="004348D5"/>
    <w:rsid w:val="00437BA9"/>
    <w:rsid w:val="00440A20"/>
    <w:rsid w:val="00456891"/>
    <w:rsid w:val="00464B12"/>
    <w:rsid w:val="00465890"/>
    <w:rsid w:val="00466472"/>
    <w:rsid w:val="00475066"/>
    <w:rsid w:val="00477601"/>
    <w:rsid w:val="00477896"/>
    <w:rsid w:val="0048167F"/>
    <w:rsid w:val="0048209E"/>
    <w:rsid w:val="00485EE7"/>
    <w:rsid w:val="00486114"/>
    <w:rsid w:val="004869A4"/>
    <w:rsid w:val="0048782D"/>
    <w:rsid w:val="004A17BF"/>
    <w:rsid w:val="004A262B"/>
    <w:rsid w:val="004A34C0"/>
    <w:rsid w:val="004A461D"/>
    <w:rsid w:val="004A4E47"/>
    <w:rsid w:val="004A63C3"/>
    <w:rsid w:val="004B18F7"/>
    <w:rsid w:val="004B45C1"/>
    <w:rsid w:val="004B7D26"/>
    <w:rsid w:val="004C2D13"/>
    <w:rsid w:val="004C2FB4"/>
    <w:rsid w:val="004C39F8"/>
    <w:rsid w:val="004D16C1"/>
    <w:rsid w:val="004D5AFE"/>
    <w:rsid w:val="004E4543"/>
    <w:rsid w:val="005035AE"/>
    <w:rsid w:val="00511848"/>
    <w:rsid w:val="00513252"/>
    <w:rsid w:val="00514A2C"/>
    <w:rsid w:val="00515E34"/>
    <w:rsid w:val="0052098F"/>
    <w:rsid w:val="00521DDF"/>
    <w:rsid w:val="00527460"/>
    <w:rsid w:val="00530636"/>
    <w:rsid w:val="00530BC3"/>
    <w:rsid w:val="00532451"/>
    <w:rsid w:val="00536194"/>
    <w:rsid w:val="005415D6"/>
    <w:rsid w:val="00542C85"/>
    <w:rsid w:val="00544FC1"/>
    <w:rsid w:val="005560DF"/>
    <w:rsid w:val="005566B5"/>
    <w:rsid w:val="005672DB"/>
    <w:rsid w:val="00567A80"/>
    <w:rsid w:val="00570085"/>
    <w:rsid w:val="00573536"/>
    <w:rsid w:val="005738ED"/>
    <w:rsid w:val="005749F4"/>
    <w:rsid w:val="00587011"/>
    <w:rsid w:val="0059103C"/>
    <w:rsid w:val="005A0A22"/>
    <w:rsid w:val="005B0ECF"/>
    <w:rsid w:val="005B4458"/>
    <w:rsid w:val="005B68B7"/>
    <w:rsid w:val="005C01D1"/>
    <w:rsid w:val="005C2D46"/>
    <w:rsid w:val="005C53D4"/>
    <w:rsid w:val="005C66FF"/>
    <w:rsid w:val="005D081C"/>
    <w:rsid w:val="005D141D"/>
    <w:rsid w:val="005D67D6"/>
    <w:rsid w:val="005D7F46"/>
    <w:rsid w:val="005E39D1"/>
    <w:rsid w:val="005F42CE"/>
    <w:rsid w:val="005F43C4"/>
    <w:rsid w:val="005F5C52"/>
    <w:rsid w:val="005F67C0"/>
    <w:rsid w:val="005F7E38"/>
    <w:rsid w:val="006056A7"/>
    <w:rsid w:val="00612140"/>
    <w:rsid w:val="00612442"/>
    <w:rsid w:val="00614EC4"/>
    <w:rsid w:val="00615C41"/>
    <w:rsid w:val="006206C6"/>
    <w:rsid w:val="00620E62"/>
    <w:rsid w:val="00622F70"/>
    <w:rsid w:val="0062426F"/>
    <w:rsid w:val="00624941"/>
    <w:rsid w:val="006308F5"/>
    <w:rsid w:val="00631013"/>
    <w:rsid w:val="00633459"/>
    <w:rsid w:val="00634A98"/>
    <w:rsid w:val="006376DB"/>
    <w:rsid w:val="00645436"/>
    <w:rsid w:val="006456B8"/>
    <w:rsid w:val="0064594E"/>
    <w:rsid w:val="00654F07"/>
    <w:rsid w:val="0065737C"/>
    <w:rsid w:val="00657A31"/>
    <w:rsid w:val="00670D77"/>
    <w:rsid w:val="00670DCE"/>
    <w:rsid w:val="00671243"/>
    <w:rsid w:val="00675C04"/>
    <w:rsid w:val="00680702"/>
    <w:rsid w:val="00685396"/>
    <w:rsid w:val="00693045"/>
    <w:rsid w:val="006A0FCD"/>
    <w:rsid w:val="006A288D"/>
    <w:rsid w:val="006A49EE"/>
    <w:rsid w:val="006A54A2"/>
    <w:rsid w:val="006A59F4"/>
    <w:rsid w:val="006B04A0"/>
    <w:rsid w:val="006B309C"/>
    <w:rsid w:val="006B5BB8"/>
    <w:rsid w:val="006C0606"/>
    <w:rsid w:val="006C0D39"/>
    <w:rsid w:val="006C46C1"/>
    <w:rsid w:val="006C5CA9"/>
    <w:rsid w:val="006F077B"/>
    <w:rsid w:val="00707041"/>
    <w:rsid w:val="00710E1F"/>
    <w:rsid w:val="007110A4"/>
    <w:rsid w:val="00714275"/>
    <w:rsid w:val="00715743"/>
    <w:rsid w:val="0071575A"/>
    <w:rsid w:val="00716783"/>
    <w:rsid w:val="00732B18"/>
    <w:rsid w:val="0073588B"/>
    <w:rsid w:val="007361AD"/>
    <w:rsid w:val="00740224"/>
    <w:rsid w:val="00740599"/>
    <w:rsid w:val="0074635D"/>
    <w:rsid w:val="00753AFD"/>
    <w:rsid w:val="00755B89"/>
    <w:rsid w:val="0075679D"/>
    <w:rsid w:val="00762A60"/>
    <w:rsid w:val="00770877"/>
    <w:rsid w:val="00773CD9"/>
    <w:rsid w:val="00776EE1"/>
    <w:rsid w:val="00787632"/>
    <w:rsid w:val="007905E1"/>
    <w:rsid w:val="0079198A"/>
    <w:rsid w:val="00795B9A"/>
    <w:rsid w:val="007A0D9E"/>
    <w:rsid w:val="007B76CC"/>
    <w:rsid w:val="007C24BB"/>
    <w:rsid w:val="007C719C"/>
    <w:rsid w:val="007E78AE"/>
    <w:rsid w:val="007F4DE1"/>
    <w:rsid w:val="00802C05"/>
    <w:rsid w:val="00813ABB"/>
    <w:rsid w:val="00814585"/>
    <w:rsid w:val="00824C80"/>
    <w:rsid w:val="008274B3"/>
    <w:rsid w:val="00837C89"/>
    <w:rsid w:val="00850D77"/>
    <w:rsid w:val="00855475"/>
    <w:rsid w:val="00861823"/>
    <w:rsid w:val="008619C0"/>
    <w:rsid w:val="00866548"/>
    <w:rsid w:val="008671E1"/>
    <w:rsid w:val="00870B32"/>
    <w:rsid w:val="00870B98"/>
    <w:rsid w:val="008715A1"/>
    <w:rsid w:val="00873BAD"/>
    <w:rsid w:val="00880749"/>
    <w:rsid w:val="0088165C"/>
    <w:rsid w:val="00884EF3"/>
    <w:rsid w:val="00887E4C"/>
    <w:rsid w:val="008938B9"/>
    <w:rsid w:val="008A5956"/>
    <w:rsid w:val="008B096B"/>
    <w:rsid w:val="008B6CBB"/>
    <w:rsid w:val="008C4CF4"/>
    <w:rsid w:val="008C576D"/>
    <w:rsid w:val="008C7933"/>
    <w:rsid w:val="008E0086"/>
    <w:rsid w:val="008E09F6"/>
    <w:rsid w:val="008E2EAA"/>
    <w:rsid w:val="008E3B53"/>
    <w:rsid w:val="008F429C"/>
    <w:rsid w:val="009004CD"/>
    <w:rsid w:val="009014F5"/>
    <w:rsid w:val="0090196E"/>
    <w:rsid w:val="0090208D"/>
    <w:rsid w:val="0090681D"/>
    <w:rsid w:val="0091270C"/>
    <w:rsid w:val="00912832"/>
    <w:rsid w:val="00913636"/>
    <w:rsid w:val="00923265"/>
    <w:rsid w:val="0092492B"/>
    <w:rsid w:val="0092634C"/>
    <w:rsid w:val="00926A4B"/>
    <w:rsid w:val="009340C8"/>
    <w:rsid w:val="0094235B"/>
    <w:rsid w:val="00952F19"/>
    <w:rsid w:val="00954471"/>
    <w:rsid w:val="00954BA6"/>
    <w:rsid w:val="009636BD"/>
    <w:rsid w:val="00964BEC"/>
    <w:rsid w:val="00966E69"/>
    <w:rsid w:val="00971CE5"/>
    <w:rsid w:val="009755A1"/>
    <w:rsid w:val="009772DC"/>
    <w:rsid w:val="0098072D"/>
    <w:rsid w:val="00994F0E"/>
    <w:rsid w:val="00996EB5"/>
    <w:rsid w:val="009A2AC0"/>
    <w:rsid w:val="009A2D76"/>
    <w:rsid w:val="009A4818"/>
    <w:rsid w:val="009B052D"/>
    <w:rsid w:val="009B63C8"/>
    <w:rsid w:val="009C2A87"/>
    <w:rsid w:val="009C7E66"/>
    <w:rsid w:val="009D3DE0"/>
    <w:rsid w:val="009D6373"/>
    <w:rsid w:val="009E007E"/>
    <w:rsid w:val="009E1D5C"/>
    <w:rsid w:val="009E2DE8"/>
    <w:rsid w:val="009E4968"/>
    <w:rsid w:val="00A012BA"/>
    <w:rsid w:val="00A01DE6"/>
    <w:rsid w:val="00A04B86"/>
    <w:rsid w:val="00A067BC"/>
    <w:rsid w:val="00A0692F"/>
    <w:rsid w:val="00A06FFC"/>
    <w:rsid w:val="00A07986"/>
    <w:rsid w:val="00A07B94"/>
    <w:rsid w:val="00A101B6"/>
    <w:rsid w:val="00A10362"/>
    <w:rsid w:val="00A21B48"/>
    <w:rsid w:val="00A22835"/>
    <w:rsid w:val="00A30C8F"/>
    <w:rsid w:val="00A33E37"/>
    <w:rsid w:val="00A3675B"/>
    <w:rsid w:val="00A519AE"/>
    <w:rsid w:val="00A549DF"/>
    <w:rsid w:val="00A60F6F"/>
    <w:rsid w:val="00A635B6"/>
    <w:rsid w:val="00A64936"/>
    <w:rsid w:val="00A655D0"/>
    <w:rsid w:val="00A661BA"/>
    <w:rsid w:val="00A666E6"/>
    <w:rsid w:val="00A75BA2"/>
    <w:rsid w:val="00A80281"/>
    <w:rsid w:val="00A91B46"/>
    <w:rsid w:val="00AA6510"/>
    <w:rsid w:val="00AB18BA"/>
    <w:rsid w:val="00AB3162"/>
    <w:rsid w:val="00AC42EF"/>
    <w:rsid w:val="00AC7D74"/>
    <w:rsid w:val="00AD022C"/>
    <w:rsid w:val="00AD1640"/>
    <w:rsid w:val="00AD303C"/>
    <w:rsid w:val="00AD4670"/>
    <w:rsid w:val="00AD48C7"/>
    <w:rsid w:val="00AE423C"/>
    <w:rsid w:val="00AE59A2"/>
    <w:rsid w:val="00AE6D7A"/>
    <w:rsid w:val="00AF11AD"/>
    <w:rsid w:val="00AF22E9"/>
    <w:rsid w:val="00AF35B1"/>
    <w:rsid w:val="00AF65E6"/>
    <w:rsid w:val="00AF79A3"/>
    <w:rsid w:val="00B0574D"/>
    <w:rsid w:val="00B122F7"/>
    <w:rsid w:val="00B133EB"/>
    <w:rsid w:val="00B1516E"/>
    <w:rsid w:val="00B160C4"/>
    <w:rsid w:val="00B1731D"/>
    <w:rsid w:val="00B20BA8"/>
    <w:rsid w:val="00B20F47"/>
    <w:rsid w:val="00B222C0"/>
    <w:rsid w:val="00B25FA4"/>
    <w:rsid w:val="00B32A12"/>
    <w:rsid w:val="00B32CDF"/>
    <w:rsid w:val="00B346B9"/>
    <w:rsid w:val="00B34ACF"/>
    <w:rsid w:val="00B35D0E"/>
    <w:rsid w:val="00B405D4"/>
    <w:rsid w:val="00B41180"/>
    <w:rsid w:val="00B421CD"/>
    <w:rsid w:val="00B43BD6"/>
    <w:rsid w:val="00B451F6"/>
    <w:rsid w:val="00B613F4"/>
    <w:rsid w:val="00B62D55"/>
    <w:rsid w:val="00B67366"/>
    <w:rsid w:val="00B67C2F"/>
    <w:rsid w:val="00B71D99"/>
    <w:rsid w:val="00B73BA8"/>
    <w:rsid w:val="00B741E0"/>
    <w:rsid w:val="00B74799"/>
    <w:rsid w:val="00B833E6"/>
    <w:rsid w:val="00B92470"/>
    <w:rsid w:val="00B93AC4"/>
    <w:rsid w:val="00B951A4"/>
    <w:rsid w:val="00BA5EAE"/>
    <w:rsid w:val="00BA698B"/>
    <w:rsid w:val="00BB08AD"/>
    <w:rsid w:val="00BB7035"/>
    <w:rsid w:val="00BB790A"/>
    <w:rsid w:val="00BC5748"/>
    <w:rsid w:val="00BC76E7"/>
    <w:rsid w:val="00BD5856"/>
    <w:rsid w:val="00BE7EE3"/>
    <w:rsid w:val="00BF1A11"/>
    <w:rsid w:val="00BF31A2"/>
    <w:rsid w:val="00BF3CFC"/>
    <w:rsid w:val="00BF3D0C"/>
    <w:rsid w:val="00BF6887"/>
    <w:rsid w:val="00C00534"/>
    <w:rsid w:val="00C0101E"/>
    <w:rsid w:val="00C0278A"/>
    <w:rsid w:val="00C04464"/>
    <w:rsid w:val="00C101A5"/>
    <w:rsid w:val="00C1326B"/>
    <w:rsid w:val="00C22C69"/>
    <w:rsid w:val="00C26F63"/>
    <w:rsid w:val="00C339D0"/>
    <w:rsid w:val="00C33EBC"/>
    <w:rsid w:val="00C359C1"/>
    <w:rsid w:val="00C36363"/>
    <w:rsid w:val="00C36EB0"/>
    <w:rsid w:val="00C37E62"/>
    <w:rsid w:val="00C470B2"/>
    <w:rsid w:val="00C4788B"/>
    <w:rsid w:val="00C47F0E"/>
    <w:rsid w:val="00C52432"/>
    <w:rsid w:val="00C54FF6"/>
    <w:rsid w:val="00C55AFA"/>
    <w:rsid w:val="00C5738B"/>
    <w:rsid w:val="00C6054F"/>
    <w:rsid w:val="00C61127"/>
    <w:rsid w:val="00C6175F"/>
    <w:rsid w:val="00C6189A"/>
    <w:rsid w:val="00C76AC9"/>
    <w:rsid w:val="00C80099"/>
    <w:rsid w:val="00C8284A"/>
    <w:rsid w:val="00C84155"/>
    <w:rsid w:val="00C84238"/>
    <w:rsid w:val="00C85201"/>
    <w:rsid w:val="00C956E8"/>
    <w:rsid w:val="00C96A16"/>
    <w:rsid w:val="00CA0519"/>
    <w:rsid w:val="00CA0DAB"/>
    <w:rsid w:val="00CA5E16"/>
    <w:rsid w:val="00CA632A"/>
    <w:rsid w:val="00CA7CDD"/>
    <w:rsid w:val="00CB0AD1"/>
    <w:rsid w:val="00CB28A4"/>
    <w:rsid w:val="00CB59F4"/>
    <w:rsid w:val="00CB770B"/>
    <w:rsid w:val="00CC2450"/>
    <w:rsid w:val="00CC3738"/>
    <w:rsid w:val="00CC43B8"/>
    <w:rsid w:val="00CC56F7"/>
    <w:rsid w:val="00CC5AE2"/>
    <w:rsid w:val="00CE063E"/>
    <w:rsid w:val="00CE0C13"/>
    <w:rsid w:val="00CE4FAE"/>
    <w:rsid w:val="00CF70F3"/>
    <w:rsid w:val="00D00F31"/>
    <w:rsid w:val="00D069C6"/>
    <w:rsid w:val="00D075AC"/>
    <w:rsid w:val="00D078E9"/>
    <w:rsid w:val="00D1401D"/>
    <w:rsid w:val="00D170D2"/>
    <w:rsid w:val="00D1757B"/>
    <w:rsid w:val="00D203F6"/>
    <w:rsid w:val="00D236B2"/>
    <w:rsid w:val="00D251D8"/>
    <w:rsid w:val="00D261FA"/>
    <w:rsid w:val="00D27256"/>
    <w:rsid w:val="00D40487"/>
    <w:rsid w:val="00D40C65"/>
    <w:rsid w:val="00D43661"/>
    <w:rsid w:val="00D46408"/>
    <w:rsid w:val="00D50CDE"/>
    <w:rsid w:val="00D528ED"/>
    <w:rsid w:val="00D5339B"/>
    <w:rsid w:val="00D53DD9"/>
    <w:rsid w:val="00D60F41"/>
    <w:rsid w:val="00D61843"/>
    <w:rsid w:val="00D62DAF"/>
    <w:rsid w:val="00D64019"/>
    <w:rsid w:val="00D6754B"/>
    <w:rsid w:val="00D7721D"/>
    <w:rsid w:val="00D84005"/>
    <w:rsid w:val="00D84594"/>
    <w:rsid w:val="00D90837"/>
    <w:rsid w:val="00D93D87"/>
    <w:rsid w:val="00DA10CB"/>
    <w:rsid w:val="00DA7E7F"/>
    <w:rsid w:val="00DB3BB4"/>
    <w:rsid w:val="00DB5900"/>
    <w:rsid w:val="00DB5EA0"/>
    <w:rsid w:val="00DB7C3C"/>
    <w:rsid w:val="00DC5B60"/>
    <w:rsid w:val="00DD6909"/>
    <w:rsid w:val="00DE2AB7"/>
    <w:rsid w:val="00DF76BC"/>
    <w:rsid w:val="00E0276C"/>
    <w:rsid w:val="00E05FB7"/>
    <w:rsid w:val="00E06BD4"/>
    <w:rsid w:val="00E1520F"/>
    <w:rsid w:val="00E167F9"/>
    <w:rsid w:val="00E17CAB"/>
    <w:rsid w:val="00E2266D"/>
    <w:rsid w:val="00E30532"/>
    <w:rsid w:val="00E31F2D"/>
    <w:rsid w:val="00E335B2"/>
    <w:rsid w:val="00E36BA2"/>
    <w:rsid w:val="00E5098F"/>
    <w:rsid w:val="00E548F8"/>
    <w:rsid w:val="00E56542"/>
    <w:rsid w:val="00E6028D"/>
    <w:rsid w:val="00E615FA"/>
    <w:rsid w:val="00E72CDD"/>
    <w:rsid w:val="00E76927"/>
    <w:rsid w:val="00E817E9"/>
    <w:rsid w:val="00E81888"/>
    <w:rsid w:val="00E918D9"/>
    <w:rsid w:val="00E957C9"/>
    <w:rsid w:val="00EA0180"/>
    <w:rsid w:val="00EA0C02"/>
    <w:rsid w:val="00EA2965"/>
    <w:rsid w:val="00EA6CBA"/>
    <w:rsid w:val="00EB0CE3"/>
    <w:rsid w:val="00EB4098"/>
    <w:rsid w:val="00EC3187"/>
    <w:rsid w:val="00ED307F"/>
    <w:rsid w:val="00ED414E"/>
    <w:rsid w:val="00EE32E9"/>
    <w:rsid w:val="00EE482B"/>
    <w:rsid w:val="00EE7361"/>
    <w:rsid w:val="00EE7E9C"/>
    <w:rsid w:val="00EF4421"/>
    <w:rsid w:val="00EF44B3"/>
    <w:rsid w:val="00EF459A"/>
    <w:rsid w:val="00EF56E9"/>
    <w:rsid w:val="00F00150"/>
    <w:rsid w:val="00F00E14"/>
    <w:rsid w:val="00F0139E"/>
    <w:rsid w:val="00F051CA"/>
    <w:rsid w:val="00F0626F"/>
    <w:rsid w:val="00F06647"/>
    <w:rsid w:val="00F107BF"/>
    <w:rsid w:val="00F143AE"/>
    <w:rsid w:val="00F24679"/>
    <w:rsid w:val="00F33052"/>
    <w:rsid w:val="00F33190"/>
    <w:rsid w:val="00F34855"/>
    <w:rsid w:val="00F35CFB"/>
    <w:rsid w:val="00F4131B"/>
    <w:rsid w:val="00F4338B"/>
    <w:rsid w:val="00F52364"/>
    <w:rsid w:val="00F57D7D"/>
    <w:rsid w:val="00F6132D"/>
    <w:rsid w:val="00F662EC"/>
    <w:rsid w:val="00F67293"/>
    <w:rsid w:val="00F73070"/>
    <w:rsid w:val="00F85E23"/>
    <w:rsid w:val="00F8649C"/>
    <w:rsid w:val="00F86876"/>
    <w:rsid w:val="00F91ABE"/>
    <w:rsid w:val="00F91C9C"/>
    <w:rsid w:val="00F91E03"/>
    <w:rsid w:val="00F94450"/>
    <w:rsid w:val="00FA0AEA"/>
    <w:rsid w:val="00FA4ECF"/>
    <w:rsid w:val="00FA4F06"/>
    <w:rsid w:val="00FB28D6"/>
    <w:rsid w:val="00FC41DB"/>
    <w:rsid w:val="00FC442A"/>
    <w:rsid w:val="00FC6C4B"/>
    <w:rsid w:val="00FC6C6A"/>
    <w:rsid w:val="00FD1464"/>
    <w:rsid w:val="00FD7647"/>
    <w:rsid w:val="00FE4839"/>
    <w:rsid w:val="00FF0413"/>
    <w:rsid w:val="00FF3EAD"/>
    <w:rsid w:val="0381257A"/>
    <w:rsid w:val="046C5C2A"/>
    <w:rsid w:val="0567021E"/>
    <w:rsid w:val="08A71940"/>
    <w:rsid w:val="0D18335F"/>
    <w:rsid w:val="0F4D5D3B"/>
    <w:rsid w:val="149D2DE5"/>
    <w:rsid w:val="16515577"/>
    <w:rsid w:val="180B5321"/>
    <w:rsid w:val="1A1D7782"/>
    <w:rsid w:val="1A49047F"/>
    <w:rsid w:val="21386239"/>
    <w:rsid w:val="23863D97"/>
    <w:rsid w:val="2483194D"/>
    <w:rsid w:val="24EA6446"/>
    <w:rsid w:val="274D6682"/>
    <w:rsid w:val="28B82A64"/>
    <w:rsid w:val="2C0933D1"/>
    <w:rsid w:val="34BE7C60"/>
    <w:rsid w:val="36AD46A9"/>
    <w:rsid w:val="3D310443"/>
    <w:rsid w:val="3E5B2051"/>
    <w:rsid w:val="42877B1D"/>
    <w:rsid w:val="43F2116D"/>
    <w:rsid w:val="44A451CE"/>
    <w:rsid w:val="45171F5F"/>
    <w:rsid w:val="49B97DD2"/>
    <w:rsid w:val="4A705166"/>
    <w:rsid w:val="4DE2243D"/>
    <w:rsid w:val="4DEB6DD8"/>
    <w:rsid w:val="4F717968"/>
    <w:rsid w:val="4F871A69"/>
    <w:rsid w:val="51173D0A"/>
    <w:rsid w:val="51D620DD"/>
    <w:rsid w:val="52C94A44"/>
    <w:rsid w:val="547A6A60"/>
    <w:rsid w:val="556F4099"/>
    <w:rsid w:val="5A5E709D"/>
    <w:rsid w:val="5E680E0D"/>
    <w:rsid w:val="5EFF5DD0"/>
    <w:rsid w:val="5F8E3BC3"/>
    <w:rsid w:val="60552FD0"/>
    <w:rsid w:val="619A4C7D"/>
    <w:rsid w:val="660712E0"/>
    <w:rsid w:val="669205B1"/>
    <w:rsid w:val="669C66E8"/>
    <w:rsid w:val="6A0D5D01"/>
    <w:rsid w:val="6A141148"/>
    <w:rsid w:val="6B9923BB"/>
    <w:rsid w:val="6E7365C0"/>
    <w:rsid w:val="702F728F"/>
    <w:rsid w:val="74046B0B"/>
    <w:rsid w:val="74FF33F6"/>
    <w:rsid w:val="77874AC8"/>
    <w:rsid w:val="7FCC1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Date"/>
    <w:basedOn w:val="1"/>
    <w:next w:val="1"/>
    <w:link w:val="15"/>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rPr>
  </w:style>
  <w:style w:type="character" w:customStyle="1" w:styleId="11">
    <w:name w:val="页眉 Char"/>
    <w:basedOn w:val="9"/>
    <w:link w:val="6"/>
    <w:qFormat/>
    <w:uiPriority w:val="0"/>
    <w:rPr>
      <w:kern w:val="2"/>
      <w:sz w:val="18"/>
      <w:szCs w:val="18"/>
    </w:rPr>
  </w:style>
  <w:style w:type="character" w:customStyle="1" w:styleId="12">
    <w:name w:val="页脚 Char"/>
    <w:basedOn w:val="9"/>
    <w:link w:val="5"/>
    <w:qFormat/>
    <w:uiPriority w:val="99"/>
    <w:rPr>
      <w:kern w:val="2"/>
      <w:sz w:val="18"/>
      <w:szCs w:val="18"/>
    </w:rPr>
  </w:style>
  <w:style w:type="character" w:customStyle="1" w:styleId="13">
    <w:name w:val="font21"/>
    <w:basedOn w:val="9"/>
    <w:qFormat/>
    <w:uiPriority w:val="0"/>
    <w:rPr>
      <w:rFonts w:hint="eastAsia" w:ascii="宋体" w:hAnsi="宋体" w:eastAsia="宋体" w:cs="宋体"/>
      <w:color w:val="000000"/>
      <w:sz w:val="22"/>
      <w:szCs w:val="22"/>
      <w:u w:val="none"/>
    </w:rPr>
  </w:style>
  <w:style w:type="character" w:customStyle="1" w:styleId="14">
    <w:name w:val="font31"/>
    <w:basedOn w:val="9"/>
    <w:qFormat/>
    <w:uiPriority w:val="0"/>
    <w:rPr>
      <w:rFonts w:hint="eastAsia" w:ascii="宋体" w:hAnsi="宋体" w:eastAsia="宋体" w:cs="宋体"/>
      <w:color w:val="000000"/>
      <w:sz w:val="20"/>
      <w:szCs w:val="20"/>
      <w:u w:val="none"/>
    </w:rPr>
  </w:style>
  <w:style w:type="character" w:customStyle="1" w:styleId="15">
    <w:name w:val="日期 Char"/>
    <w:basedOn w:val="9"/>
    <w:link w:val="3"/>
    <w:qFormat/>
    <w:uiPriority w:val="0"/>
    <w:rPr>
      <w:kern w:val="2"/>
      <w:sz w:val="21"/>
      <w:szCs w:val="24"/>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3667</Words>
  <Characters>772</Characters>
  <Lines>6</Lines>
  <Paragraphs>8</Paragraphs>
  <TotalTime>217</TotalTime>
  <ScaleCrop>false</ScaleCrop>
  <LinksUpToDate>false</LinksUpToDate>
  <CharactersWithSpaces>4431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2022-02-07T02:45:00Z</dcterms:created>
  <dc:creator>微软用户</dc:creator>
  <cp:lastModifiedBy>耿耿星河</cp:lastModifiedBy>
  <cp:lastPrinted>2018-12-27T23:50:00Z</cp:lastPrinted>
  <dcterms:modified xsi:type="dcterms:W3CDTF">2023-04-01T08:11:13Z</dcterms:modified>
  <dc:title>安徽省财政厅2015年部门预算</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E9FEFFCEA9DA411BB6315527B53717B6</vt:lpwstr>
  </property>
</Properties>
</file>