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sz w:val="28"/>
          <w:szCs w:val="28"/>
        </w:rPr>
      </w:pPr>
      <w:r>
        <w:rPr>
          <w:rFonts w:hint="eastAsia" w:ascii="宋体" w:hAnsi="宋体"/>
          <w:sz w:val="28"/>
          <w:szCs w:val="28"/>
        </w:rPr>
        <w:t>附件1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lang w:val="en-US" w:eastAsia="zh-CN"/>
        </w:rPr>
        <w:t>相山区教育局</w:t>
      </w:r>
      <w:r>
        <w:rPr>
          <w:rFonts w:hint="eastAsia" w:ascii="华文中宋" w:hAnsi="华文中宋" w:eastAsia="华文中宋" w:cs="华文中宋"/>
          <w:b/>
          <w:sz w:val="52"/>
          <w:szCs w:val="84"/>
        </w:rPr>
        <w:t>202</w:t>
      </w:r>
      <w:r>
        <w:rPr>
          <w:rFonts w:hint="eastAsia" w:ascii="华文中宋" w:hAnsi="华文中宋" w:eastAsia="华文中宋" w:cs="华文中宋"/>
          <w:b/>
          <w:sz w:val="52"/>
          <w:szCs w:val="84"/>
          <w:lang w:val="en-US" w:eastAsia="zh-CN"/>
        </w:rPr>
        <w:t>3</w:t>
      </w:r>
      <w:r>
        <w:rPr>
          <w:rFonts w:hint="eastAsia" w:ascii="华文中宋" w:hAnsi="华文中宋" w:eastAsia="华文中宋" w:cs="华文中宋"/>
          <w:b/>
          <w:sz w:val="52"/>
          <w:szCs w:val="84"/>
        </w:rPr>
        <w:t>年部门预算</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3</w:t>
      </w:r>
      <w:r>
        <w:rPr>
          <w:rFonts w:hint="eastAsia" w:ascii="黑体" w:hAnsi="黑体" w:eastAsia="黑体"/>
          <w:bCs/>
          <w:sz w:val="44"/>
          <w:szCs w:val="44"/>
        </w:rPr>
        <w:t>年2月</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500" w:lineRule="exact"/>
        <w:jc w:val="center"/>
        <w:rPr>
          <w:rFonts w:ascii="黑体" w:hAnsi="黑体" w:eastAsia="黑体"/>
          <w:bCs/>
          <w:sz w:val="44"/>
          <w:szCs w:val="44"/>
        </w:rPr>
      </w:pPr>
    </w:p>
    <w:p>
      <w:pPr>
        <w:pStyle w:val="6"/>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kern w:val="2"/>
          <w:sz w:val="32"/>
          <w:szCs w:val="32"/>
        </w:rPr>
        <w:t xml:space="preserve"> </w:t>
      </w:r>
      <w:r>
        <w:rPr>
          <w:rFonts w:hint="eastAsia" w:ascii="仿宋_GB2312" w:hAnsi="仿宋" w:eastAsia="仿宋_GB2312" w:cs="仿宋"/>
          <w:bCs/>
          <w:sz w:val="32"/>
          <w:szCs w:val="32"/>
        </w:rPr>
        <w:t>部门</w:t>
      </w:r>
      <w:r>
        <w:rPr>
          <w:rFonts w:hint="eastAsia" w:ascii="仿宋_GB2312" w:hAnsi="仿宋" w:eastAsia="仿宋_GB2312" w:cs="仿宋"/>
          <w:bCs/>
          <w:sz w:val="32"/>
          <w:szCs w:val="32"/>
          <w:u w:val="single"/>
        </w:rPr>
        <w:t>（单位）</w:t>
      </w:r>
      <w:r>
        <w:rPr>
          <w:rFonts w:hint="eastAsia" w:ascii="仿宋_GB2312" w:hAnsi="仿宋" w:eastAsia="仿宋_GB2312" w:cs="仿宋"/>
          <w:bCs/>
          <w:sz w:val="32"/>
          <w:szCs w:val="32"/>
        </w:rPr>
        <w:t>预算构成</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年度主要工作任务</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w:t>
      </w:r>
      <w:r>
        <w:rPr>
          <w:rFonts w:hint="eastAsia" w:ascii="仿宋_GB2312" w:hAnsi="仿宋" w:eastAsia="仿宋_GB2312" w:cs="仿宋"/>
          <w:b/>
          <w:sz w:val="32"/>
          <w:szCs w:val="32"/>
          <w:lang w:val="en-US" w:eastAsia="zh-CN"/>
        </w:rPr>
        <w:t>3</w:t>
      </w:r>
      <w:r>
        <w:rPr>
          <w:rFonts w:hint="eastAsia" w:ascii="仿宋_GB2312" w:hAnsi="仿宋" w:eastAsia="仿宋_GB2312" w:cs="仿宋"/>
          <w:b/>
          <w:sz w:val="32"/>
          <w:szCs w:val="32"/>
        </w:rPr>
        <w:t>年部门预算表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val="en-US" w:eastAsia="zh-CN"/>
        </w:rPr>
        <w:t xml:space="preserve"> 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年收支总表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2. </w:t>
      </w:r>
      <w:r>
        <w:rPr>
          <w:rFonts w:hint="eastAsia" w:ascii="仿宋_GB2312" w:hAnsi="仿宋" w:eastAsia="仿宋_GB2312" w:cs="仿宋"/>
          <w:bCs/>
          <w:sz w:val="32"/>
          <w:szCs w:val="32"/>
          <w:lang w:val="en-US" w:eastAsia="zh-CN"/>
        </w:rPr>
        <w:t>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年收入总表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3. </w:t>
      </w:r>
      <w:r>
        <w:rPr>
          <w:rFonts w:hint="eastAsia" w:ascii="仿宋_GB2312" w:hAnsi="仿宋" w:eastAsia="仿宋_GB2312" w:cs="仿宋"/>
          <w:bCs/>
          <w:sz w:val="32"/>
          <w:szCs w:val="32"/>
          <w:lang w:val="en-US" w:eastAsia="zh-CN"/>
        </w:rPr>
        <w:t>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年支出总表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val="en-US" w:eastAsia="zh-CN"/>
        </w:rPr>
        <w:t xml:space="preserve"> 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年财政拨款收支总表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5. </w:t>
      </w:r>
      <w:r>
        <w:rPr>
          <w:rFonts w:hint="eastAsia" w:ascii="仿宋_GB2312" w:hAnsi="仿宋" w:eastAsia="仿宋_GB2312" w:cs="仿宋"/>
          <w:bCs/>
          <w:sz w:val="32"/>
          <w:szCs w:val="32"/>
          <w:lang w:val="en-US" w:eastAsia="zh-CN"/>
        </w:rPr>
        <w:t>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6. </w:t>
      </w:r>
      <w:r>
        <w:rPr>
          <w:rFonts w:hint="eastAsia" w:ascii="仿宋_GB2312" w:hAnsi="仿宋" w:eastAsia="仿宋_GB2312" w:cs="仿宋"/>
          <w:bCs/>
          <w:sz w:val="32"/>
          <w:szCs w:val="32"/>
          <w:lang w:val="en-US" w:eastAsia="zh-CN"/>
        </w:rPr>
        <w:t>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年一般公共预算基本支出表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7. </w:t>
      </w:r>
      <w:r>
        <w:rPr>
          <w:rFonts w:hint="eastAsia" w:ascii="仿宋_GB2312" w:hAnsi="仿宋" w:eastAsia="仿宋_GB2312" w:cs="仿宋"/>
          <w:bCs/>
          <w:sz w:val="32"/>
          <w:szCs w:val="32"/>
          <w:lang w:val="en-US" w:eastAsia="zh-CN"/>
        </w:rPr>
        <w:t>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年政府性基金预算支出表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8. </w:t>
      </w:r>
      <w:r>
        <w:rPr>
          <w:rFonts w:hint="eastAsia" w:ascii="仿宋_GB2312" w:hAnsi="仿宋" w:eastAsia="仿宋_GB2312" w:cs="仿宋"/>
          <w:bCs/>
          <w:sz w:val="32"/>
          <w:szCs w:val="32"/>
          <w:lang w:val="en-US" w:eastAsia="zh-CN"/>
        </w:rPr>
        <w:t>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年国有资本经营预算支出表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9. </w:t>
      </w:r>
      <w:r>
        <w:rPr>
          <w:rFonts w:hint="eastAsia" w:ascii="仿宋_GB2312" w:hAnsi="仿宋" w:eastAsia="仿宋_GB2312" w:cs="仿宋"/>
          <w:bCs/>
          <w:sz w:val="32"/>
          <w:szCs w:val="32"/>
          <w:lang w:val="en-US" w:eastAsia="zh-CN"/>
        </w:rPr>
        <w:t>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年项目支出表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年政府采购支出表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w:t>
      </w:r>
      <w:r>
        <w:rPr>
          <w:rFonts w:hint="eastAsia" w:ascii="仿宋_GB2312" w:hAnsi="仿宋" w:eastAsia="仿宋_GB2312" w:cs="仿宋"/>
          <w:bCs/>
          <w:sz w:val="32"/>
          <w:szCs w:val="32"/>
          <w:lang w:val="en-US" w:eastAsia="zh-CN"/>
        </w:rPr>
        <w:t>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年政府购买服务支出表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w:t>
      </w:r>
      <w:r>
        <w:rPr>
          <w:rFonts w:hint="eastAsia" w:ascii="仿宋_GB2312" w:hAnsi="仿宋" w:eastAsia="仿宋_GB2312" w:cs="仿宋"/>
          <w:b/>
          <w:sz w:val="32"/>
          <w:szCs w:val="32"/>
          <w:lang w:val="en-US" w:eastAsia="zh-CN"/>
        </w:rPr>
        <w:t>3</w:t>
      </w:r>
      <w:r>
        <w:rPr>
          <w:rFonts w:hint="eastAsia" w:ascii="仿宋_GB2312" w:hAnsi="仿宋" w:eastAsia="仿宋_GB2312" w:cs="仿宋"/>
          <w:b/>
          <w:sz w:val="32"/>
          <w:szCs w:val="32"/>
        </w:rPr>
        <w:t>年部门预算情况说明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年收入总表的说明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年支出总表的说明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年财政拨款收支总表的说明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年一般公共预算基本支出表的说明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年政府性基金预算支出表的说明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年国有资本经营预算支出表的说明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年项目支出表的说明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年政府采购支出表的说明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年政府购买服务支出表的说明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第五部分 其它公开事项</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1. </w:t>
      </w:r>
      <w:r>
        <w:rPr>
          <w:rFonts w:hint="eastAsia" w:ascii="仿宋_GB2312" w:hAnsi="仿宋" w:eastAsia="仿宋_GB2312" w:cs="仿宋"/>
          <w:bCs/>
          <w:sz w:val="32"/>
          <w:szCs w:val="32"/>
          <w:lang w:val="en-US" w:eastAsia="zh-CN"/>
        </w:rPr>
        <w:t>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年部门预算纳入绩效考评项目表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2. </w:t>
      </w:r>
      <w:r>
        <w:rPr>
          <w:rFonts w:hint="eastAsia" w:ascii="仿宋_GB2312" w:hAnsi="仿宋" w:eastAsia="仿宋_GB2312" w:cs="仿宋"/>
          <w:bCs/>
          <w:sz w:val="32"/>
          <w:szCs w:val="32"/>
          <w:lang w:val="en-US" w:eastAsia="zh-CN"/>
        </w:rPr>
        <w:t>相山区教育局</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年部门预算专项资金管理清单（专栏公开）</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r>
        <w:rPr>
          <w:rStyle w:val="9"/>
          <w:rFonts w:hint="eastAsia" w:ascii="黑体" w:eastAsia="黑体"/>
          <w:color w:val="000000"/>
          <w:sz w:val="36"/>
          <w:szCs w:val="36"/>
        </w:rPr>
        <w:tab/>
      </w: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一）贯彻执行国家、省、市教育工作方针、政策和法律法规，研究制定全区教育发展战略和有关政策、制度并监督执行；统筹规划、协调指导全区教育体制和办学体制等方面的改革；指导全区依法行政和教育行政许可工作，负责局本级教育行政许可事项的审批。</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（二）负责制定全区教育事业的发展规划及年度工作计划，并统筹协调实施，负责审核全区学校的布局设置和结构调整规划。负责全区教育事业信息与统计、分析和发布。</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（三）负责统筹推进全区义务教育均衡发展和促进教育公平，指导全区学前教育、义务教育、普通高中教育工作，规划和指导基础教育教学改革，全面实施素质教育。</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四）负责本部门教育经费的统筹管理，提出区级财政预算内教育经费、教育附加及其他由市、区统筹使用的教育经费的安排计划；参与拟订教育经费筹措、教育拨款、教育基建投资相关制度；统计并监测全区教育经费的筹措和使用情况；编制局机关和区属学校经费预决算；指导义务教育经费保障机制改革和家庭经济困难学生资助工作；指导全区教育项目建设工作。</w:t>
      </w:r>
    </w:p>
    <w:p>
      <w:pPr>
        <w:widowControl/>
        <w:numPr>
          <w:ilvl w:val="0"/>
          <w:numId w:val="1"/>
        </w:numPr>
        <w:adjustRightInd w:val="0"/>
        <w:snapToGrid w:val="0"/>
        <w:spacing w:line="360" w:lineRule="auto"/>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部门</w:t>
      </w:r>
      <w:r>
        <w:rPr>
          <w:rFonts w:hint="eastAsia" w:ascii="黑体" w:hAnsi="黑体" w:eastAsia="黑体" w:cs="宋体"/>
          <w:bCs/>
          <w:kern w:val="0"/>
          <w:sz w:val="32"/>
          <w:szCs w:val="32"/>
          <w:u w:val="single"/>
        </w:rPr>
        <w:t>（单位）</w:t>
      </w:r>
      <w:r>
        <w:rPr>
          <w:rFonts w:hint="eastAsia" w:ascii="黑体" w:hAnsi="黑体" w:eastAsia="黑体" w:cs="宋体"/>
          <w:bCs/>
          <w:kern w:val="0"/>
          <w:sz w:val="32"/>
          <w:szCs w:val="32"/>
        </w:rPr>
        <w:t>预算构成</w:t>
      </w:r>
    </w:p>
    <w:p>
      <w:pPr>
        <w:pStyle w:val="6"/>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lang w:val="en-US" w:eastAsia="zh-CN"/>
        </w:rPr>
        <w:t>相山区教育局</w:t>
      </w:r>
      <w:r>
        <w:rPr>
          <w:rFonts w:hint="eastAsia" w:ascii="仿宋_GB2312" w:hAnsi="仿宋" w:eastAsia="仿宋_GB2312"/>
          <w:sz w:val="32"/>
          <w:szCs w:val="32"/>
          <w:lang w:val="en-US" w:eastAsia="zh-CN"/>
        </w:rPr>
        <w:t>2023</w:t>
      </w:r>
      <w:r>
        <w:rPr>
          <w:rFonts w:hint="eastAsia" w:ascii="仿宋_GB2312" w:hAnsi="仿宋" w:eastAsia="仿宋_GB2312"/>
          <w:sz w:val="32"/>
          <w:szCs w:val="32"/>
        </w:rPr>
        <w:t>年度部门预算包括</w:t>
      </w:r>
      <w:r>
        <w:rPr>
          <w:rFonts w:hint="eastAsia" w:ascii="仿宋_GB2312" w:hAnsi="仿宋" w:eastAsia="仿宋_GB2312"/>
          <w:sz w:val="32"/>
          <w:szCs w:val="32"/>
          <w:lang w:val="en-US" w:eastAsia="zh-CN"/>
        </w:rPr>
        <w:t>教育局</w:t>
      </w:r>
      <w:r>
        <w:rPr>
          <w:rFonts w:hint="eastAsia" w:ascii="仿宋_GB2312" w:hAnsi="仿宋" w:eastAsia="仿宋_GB2312"/>
          <w:sz w:val="32"/>
          <w:szCs w:val="32"/>
        </w:rPr>
        <w:t>本级预算和</w:t>
      </w:r>
      <w:r>
        <w:rPr>
          <w:rFonts w:hint="eastAsia" w:ascii="仿宋_GB2312" w:hAnsi="仿宋" w:eastAsia="仿宋_GB2312"/>
          <w:sz w:val="32"/>
          <w:szCs w:val="32"/>
          <w:lang w:val="en-US" w:eastAsia="zh-CN"/>
        </w:rPr>
        <w:t>教育局</w:t>
      </w:r>
      <w:r>
        <w:rPr>
          <w:rFonts w:hint="eastAsia" w:ascii="仿宋_GB2312" w:hAnsi="仿宋" w:eastAsia="仿宋_GB2312"/>
          <w:sz w:val="32"/>
          <w:szCs w:val="32"/>
        </w:rPr>
        <w:t>下属单位预算，纳入部门预算编制范围的单位共</w:t>
      </w:r>
      <w:r>
        <w:rPr>
          <w:rFonts w:hint="eastAsia" w:ascii="仿宋_GB2312" w:hAnsi="仿宋" w:eastAsia="仿宋_GB2312"/>
          <w:sz w:val="32"/>
          <w:szCs w:val="32"/>
          <w:lang w:val="en-US" w:eastAsia="zh-CN"/>
        </w:rPr>
        <w:t>32</w:t>
      </w:r>
      <w:r>
        <w:rPr>
          <w:rFonts w:hint="eastAsia" w:ascii="仿宋_GB2312" w:hAnsi="仿宋" w:eastAsia="仿宋_GB2312"/>
          <w:sz w:val="32"/>
          <w:szCs w:val="32"/>
        </w:rPr>
        <w:t>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单位名称</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单位性质</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ind w:firstLine="240" w:firstLineChars="100"/>
              <w:rPr>
                <w:rFonts w:hint="eastAsia" w:ascii="仿宋_GB2312" w:hAnsi="宋体" w:eastAsia="仿宋_GB2312"/>
                <w:sz w:val="24"/>
                <w:u w:val="single"/>
                <w:lang w:val="en-US" w:eastAsia="zh-CN"/>
              </w:rPr>
            </w:pPr>
            <w:r>
              <w:rPr>
                <w:rFonts w:hint="eastAsia" w:ascii="仿宋_GB2312" w:hAnsi="仿宋" w:eastAsia="仿宋_GB2312" w:cs="仿宋"/>
                <w:bCs/>
                <w:sz w:val="24"/>
                <w:lang w:val="en-US" w:eastAsia="zh-CN"/>
              </w:rPr>
              <w:t>相山区教育局本级</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行政单位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相山区第二实验小学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相山区淮海路小学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相山区古城路小学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相山区翠峰路小学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淮北市长山路小学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相山区朝阳小学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相山区九一O厂学校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相山区三堤口学校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相山区淮纺路中学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相山区淮纺路小学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相山区第十一中学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相山区第四中学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相山区第六中学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相山区刘桥矿小学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相山区南湖路小学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相山区桓谭小学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相山区丁小楼小学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相山区相山路学校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相山区桓谭中学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相山区土楼小学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相山区实验中学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相山区合众小学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相山区钟楼中学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相山区张集中学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相山区第二幼儿园</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淮北市太阳城学校</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相山区淮海路小学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相山区古城路小学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相山区翠峰路小学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淮北市长山路小学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相山区朝阳小学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相山区九一O厂学校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相山区三堤口学校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相山区刘桥矿小学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相山区南湖路小学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相山区丁小楼小学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相山区相山路学校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相山区土楼小学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相山区合众小学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相山区钟楼中学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相山区张集中学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淮北市太阳城学校</w:t>
                        </w: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相山区淮海路小学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相山区古城路小学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相山区翠峰路小学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淮北市长山路小学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相山区朝阳小学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相山区九一O厂学校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相山区三堤口学校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相山区刘桥矿小学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相山区南湖路小学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相山区丁小楼小学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相山区相山路学校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相山区土楼小学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相山区合众小学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相山区钟楼中学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相山区张集中学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淮北市太阳城学校</w:t>
                        </w: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相山区淮海路小学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相山区古城路小学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相山区翠峰路小学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淮北市长山路小学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相山区朝阳小学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相山区九一O厂学校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相山区三堤口学校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相山区刘桥矿小学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相山区南湖路小学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相山区丁小楼小学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相山区相山路学校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相山区土楼小学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相山区合众小学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相山区钟楼中学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相山区张集中学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淮北市太阳城学校</w:t>
                        </w:r>
                      </w:p>
                    </w:tc>
                  </w:tr>
                </w:tbl>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相山区教育局机关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相山区淮海路小学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相山区古城路小学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相山区翠峰路小学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淮北市长山路小学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相山区朝阳小学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相山区九一O厂学校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相山区三堤口学校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相山区刘桥矿小学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相山区南湖路小学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相山区丁小楼小学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相山区相山路学校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相山区土楼小学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相山区合众小学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相山区钟楼中学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相山区张集中学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淮北市太阳城学校</w:t>
                  </w:r>
                </w:p>
              </w:tc>
            </w:tr>
          </w:tbl>
          <w:p>
            <w:pPr>
              <w:adjustRightInd w:val="0"/>
              <w:snapToGrid w:val="0"/>
              <w:spacing w:line="360" w:lineRule="auto"/>
              <w:rPr>
                <w:rFonts w:hint="eastAsia" w:ascii="仿宋_GB2312" w:hAnsi="宋体" w:eastAsia="仿宋_GB2312"/>
                <w:sz w:val="24"/>
                <w:u w:val="single"/>
              </w:rPr>
            </w:pPr>
            <w:r>
              <w:rPr>
                <w:rFonts w:hint="eastAsia" w:ascii="仿宋_GB2312" w:hAnsi="宋体" w:eastAsia="仿宋_GB2312"/>
                <w:sz w:val="24"/>
              </w:rPr>
              <w:t>……</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相山区淮海路小学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相山区古城路小学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相山区翠峰路小学</w:t>
                  </w:r>
                </w:p>
              </w:tc>
            </w:tr>
          </w:tbl>
          <w:p>
            <w:pPr>
              <w:adjustRightInd w:val="0"/>
              <w:snapToGrid w:val="0"/>
              <w:spacing w:line="360" w:lineRule="auto"/>
              <w:rPr>
                <w:rFonts w:hint="eastAsia" w:ascii="仿宋_GB2312" w:hAnsi="宋体" w:eastAsia="仿宋_GB2312"/>
                <w:sz w:val="24"/>
                <w:u w:val="single"/>
              </w:rPr>
            </w:pP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4</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相山区古城路小学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5</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相山区翠峰路小学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6</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淮北市长山路小学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rPr>
            </w:pPr>
            <w:r>
              <w:rPr>
                <w:rFonts w:hint="eastAsia" w:ascii="仿宋_GB2312" w:hAnsi="仿宋" w:eastAsia="仿宋_GB2312" w:cs="仿宋"/>
                <w:bCs/>
                <w:sz w:val="24"/>
                <w:lang w:val="en-US" w:eastAsia="zh-CN"/>
              </w:rPr>
              <w:t>公益一</w:t>
            </w:r>
            <w:r>
              <w:rPr>
                <w:rFonts w:hint="eastAsia" w:ascii="仿宋_GB2312" w:hAnsi="仿宋" w:eastAsia="仿宋_GB2312" w:cs="仿宋"/>
                <w:bCs/>
                <w:sz w:val="24"/>
              </w:rPr>
              <w:t>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7</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相山区朝阳小学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8</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相山区九一O厂学校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9</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相山区三堤口学校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10</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相山区淮纺路中学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11</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相山区淮纺路小学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12</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相山区第十一中学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13</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相山区第四中学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14</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相山区第六中学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15</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相山区刘桥矿小学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16</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相山区桓谭小学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17</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相山区相山路学校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18</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相山区桓谭中学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19</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相山区土楼小学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20</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相山区实验中学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21</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相山区合众小学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22</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相山区钟楼中学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23</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相山区张集中学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24</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相山区第二幼儿园</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w:t>
            </w:r>
            <w:r>
              <w:rPr>
                <w:rFonts w:hint="eastAsia" w:ascii="仿宋_GB2312" w:hAnsi="仿宋" w:eastAsia="仿宋_GB2312" w:cs="仿宋"/>
                <w:bCs/>
                <w:sz w:val="24"/>
                <w:lang w:val="en-US" w:eastAsia="zh-CN"/>
              </w:rPr>
              <w:t>二</w:t>
            </w:r>
            <w:r>
              <w:rPr>
                <w:rFonts w:hint="eastAsia" w:ascii="仿宋_GB2312" w:hAnsi="仿宋" w:eastAsia="仿宋_GB2312" w:cs="仿宋"/>
                <w:bCs/>
                <w:sz w:val="24"/>
              </w:rPr>
              <w:t>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25</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淮北市太阳城学校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26</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淮北市第三实验幼儿园</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w:t>
            </w:r>
            <w:r>
              <w:rPr>
                <w:rFonts w:hint="eastAsia" w:ascii="仿宋_GB2312" w:hAnsi="仿宋" w:eastAsia="仿宋_GB2312" w:cs="仿宋"/>
                <w:bCs/>
                <w:sz w:val="24"/>
                <w:lang w:val="en-US" w:eastAsia="zh-CN"/>
              </w:rPr>
              <w:t>二</w:t>
            </w:r>
            <w:r>
              <w:rPr>
                <w:rFonts w:hint="eastAsia" w:ascii="仿宋_GB2312" w:hAnsi="仿宋" w:eastAsia="仿宋_GB2312" w:cs="仿宋"/>
                <w:bCs/>
                <w:sz w:val="24"/>
              </w:rPr>
              <w:t>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27</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江苏师范大学附属相山实验学校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28</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淮北市翠峰中学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29</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淮北师范大学附属相山学校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30</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淮北市曲阳学校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31</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淮北市凤凰城学校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32</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相山区青少年校外活动中心</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bl>
    <w:p>
      <w:pPr>
        <w:pStyle w:val="6"/>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三、202</w:t>
      </w:r>
      <w:r>
        <w:rPr>
          <w:rFonts w:hint="eastAsia" w:ascii="黑体" w:hAnsi="黑体" w:eastAsia="黑体"/>
          <w:bCs/>
          <w:sz w:val="32"/>
          <w:szCs w:val="32"/>
          <w:lang w:val="en-US" w:eastAsia="zh-CN"/>
        </w:rPr>
        <w:t>3</w:t>
      </w:r>
      <w:r>
        <w:rPr>
          <w:rFonts w:hint="eastAsia" w:ascii="黑体" w:hAnsi="黑体" w:eastAsia="黑体"/>
          <w:bCs/>
          <w:sz w:val="32"/>
          <w:szCs w:val="32"/>
        </w:rPr>
        <w:t>年度主要工作任务</w:t>
      </w:r>
    </w:p>
    <w:p>
      <w:pPr>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（一）持续提升党建工作质量，充分发挥党委核心作用。</w:t>
      </w:r>
    </w:p>
    <w:p>
      <w:pPr>
        <w:keepNext w:val="0"/>
        <w:keepLines w:val="0"/>
        <w:widowControl/>
        <w:suppressLineNumbers w:val="0"/>
        <w:spacing w:before="100" w:beforeAutospacing="1" w:after="100" w:afterAutospacing="1" w:line="15" w:lineRule="atLeast"/>
        <w:ind w:left="1598" w:leftChars="304" w:right="0" w:hanging="960" w:hangingChars="3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w:t>
      </w:r>
      <w:r>
        <w:rPr>
          <w:rFonts w:hint="eastAsia" w:ascii="仿宋_GB2312" w:hAnsi="仿宋" w:eastAsia="仿宋_GB2312" w:cs="宋体"/>
          <w:kern w:val="0"/>
          <w:sz w:val="32"/>
          <w:szCs w:val="32"/>
          <w:lang w:val="en-US" w:eastAsia="zh-CN"/>
        </w:rPr>
        <w:t>指导教育局机关及下属学校合理使用各项预算经费，及时弥补资金差额，保障学校正常运转。</w:t>
      </w: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第二部分202</w:t>
      </w:r>
      <w:r>
        <w:rPr>
          <w:rFonts w:hint="eastAsia" w:ascii="黑体" w:hAnsi="黑体" w:eastAsia="黑体"/>
          <w:bCs/>
          <w:sz w:val="36"/>
          <w:szCs w:val="36"/>
          <w:lang w:val="en-US" w:eastAsia="zh-CN"/>
        </w:rPr>
        <w:t>3</w:t>
      </w:r>
      <w:r>
        <w:rPr>
          <w:rFonts w:hint="eastAsia" w:ascii="黑体" w:hAnsi="黑体" w:eastAsia="黑体"/>
          <w:bCs/>
          <w:sz w:val="36"/>
          <w:szCs w:val="36"/>
        </w:rPr>
        <w:t>年部门预算表</w:t>
      </w:r>
    </w:p>
    <w:p>
      <w:pPr>
        <w:pStyle w:val="6"/>
        <w:adjustRightInd w:val="0"/>
        <w:snapToGrid w:val="0"/>
        <w:spacing w:before="0" w:beforeAutospacing="0" w:after="0" w:afterAutospacing="0" w:line="600" w:lineRule="exact"/>
        <w:jc w:val="center"/>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见“附件1-2 </w:t>
      </w:r>
      <w:r>
        <w:rPr>
          <w:rFonts w:hint="eastAsia" w:ascii="仿宋_GB2312" w:hAnsi="仿宋" w:eastAsia="仿宋_GB2312" w:cs="Times New Roman"/>
          <w:kern w:val="2"/>
          <w:sz w:val="32"/>
          <w:szCs w:val="32"/>
          <w:lang w:val="en-US" w:eastAsia="zh-CN"/>
        </w:rPr>
        <w:t>相山区教育局</w:t>
      </w:r>
      <w:r>
        <w:rPr>
          <w:rFonts w:hint="eastAsia"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年部门预算表”</w:t>
      </w:r>
    </w:p>
    <w:p>
      <w:pPr>
        <w:pStyle w:val="6"/>
        <w:adjustRightInd w:val="0"/>
        <w:snapToGrid w:val="0"/>
        <w:spacing w:before="0" w:beforeAutospacing="0" w:after="0" w:afterAutospacing="0" w:line="600" w:lineRule="exact"/>
        <w:jc w:val="center"/>
        <w:rPr>
          <w:rFonts w:ascii="黑体" w:hAnsi="黑体" w:eastAsia="黑体"/>
          <w:bCs/>
          <w:sz w:val="36"/>
          <w:szCs w:val="36"/>
        </w:rPr>
      </w:pP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w:t>
      </w:r>
      <w:r>
        <w:rPr>
          <w:rFonts w:hint="eastAsia" w:ascii="黑体" w:hAnsi="黑体" w:eastAsia="黑体"/>
          <w:bCs/>
          <w:sz w:val="36"/>
          <w:szCs w:val="36"/>
          <w:lang w:val="en-US" w:eastAsia="zh-CN"/>
        </w:rPr>
        <w:t>3</w:t>
      </w:r>
      <w:r>
        <w:rPr>
          <w:rFonts w:hint="eastAsia" w:ascii="黑体" w:hAnsi="黑体" w:eastAsia="黑体"/>
          <w:bCs/>
          <w:sz w:val="36"/>
          <w:szCs w:val="36"/>
        </w:rPr>
        <w:t>年部门预算情况说明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一、关于202</w:t>
      </w:r>
      <w:r>
        <w:rPr>
          <w:rFonts w:hint="eastAsia" w:ascii="黑体" w:hAnsi="仿宋" w:eastAsia="黑体"/>
          <w:color w:val="000000"/>
          <w:sz w:val="32"/>
          <w:szCs w:val="32"/>
          <w:lang w:val="en-US" w:eastAsia="zh-CN"/>
        </w:rPr>
        <w:t>3</w:t>
      </w:r>
      <w:r>
        <w:rPr>
          <w:rFonts w:hint="eastAsia" w:ascii="黑体" w:hAnsi="仿宋" w:eastAsia="黑体"/>
          <w:color w:val="000000"/>
          <w:sz w:val="32"/>
          <w:szCs w:val="32"/>
        </w:rPr>
        <w:t>年收支总表的说明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cs="Times New Roman"/>
          <w:kern w:val="2"/>
          <w:sz w:val="32"/>
          <w:szCs w:val="32"/>
          <w:lang w:val="en-US" w:eastAsia="zh-CN"/>
        </w:rPr>
        <w:t>相山区教育局</w:t>
      </w:r>
      <w:r>
        <w:rPr>
          <w:rFonts w:hint="eastAsia" w:ascii="仿宋_GB2312" w:hAnsi="仿宋" w:eastAsia="仿宋_GB2312"/>
          <w:sz w:val="32"/>
          <w:szCs w:val="32"/>
        </w:rPr>
        <w:t>所有收入和支出均纳入部门预算管理。</w:t>
      </w:r>
      <w:r>
        <w:rPr>
          <w:rFonts w:hint="eastAsia" w:ascii="仿宋_GB2312" w:hAnsi="仿宋" w:eastAsia="仿宋_GB2312" w:cs="Times New Roman"/>
          <w:kern w:val="2"/>
          <w:sz w:val="32"/>
          <w:szCs w:val="32"/>
          <w:lang w:val="en-US" w:eastAsia="zh-CN"/>
        </w:rPr>
        <w:t>相山区教育局</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39965.35</w:t>
      </w:r>
      <w:r>
        <w:rPr>
          <w:rFonts w:hint="eastAsia" w:ascii="仿宋_GB2312" w:hAnsi="仿宋" w:eastAsia="仿宋_GB2312"/>
          <w:sz w:val="32"/>
          <w:szCs w:val="32"/>
        </w:rPr>
        <w:t>万元，收入包括一般公共预算拨款收入、政府性基金预算拨款收入、国有资本经营预算拨款收入、财政专户管理资金收入等，支出包括：一般公共服务支出、社会保障和就业支出、卫生健康支出、住房保障支出。</w:t>
      </w:r>
    </w:p>
    <w:p>
      <w:pPr>
        <w:pStyle w:val="6"/>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二、关于202</w:t>
      </w:r>
      <w:r>
        <w:rPr>
          <w:rFonts w:hint="eastAsia" w:ascii="黑体" w:hAnsi="仿宋" w:eastAsia="黑体"/>
          <w:color w:val="000000"/>
          <w:sz w:val="32"/>
          <w:szCs w:val="32"/>
          <w:lang w:val="en-US" w:eastAsia="zh-CN"/>
        </w:rPr>
        <w:t>3</w:t>
      </w:r>
      <w:r>
        <w:rPr>
          <w:rFonts w:hint="eastAsia" w:ascii="黑体" w:hAnsi="仿宋" w:eastAsia="黑体"/>
          <w:color w:val="000000"/>
          <w:sz w:val="32"/>
          <w:szCs w:val="32"/>
        </w:rPr>
        <w:t>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lang w:val="en-US" w:eastAsia="zh-CN"/>
        </w:rPr>
        <w:t>相山区教育局</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39965.35</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39965.35</w:t>
      </w:r>
      <w:r>
        <w:rPr>
          <w:rFonts w:hint="eastAsia" w:ascii="仿宋_GB2312" w:hAnsi="仿宋" w:eastAsia="仿宋_GB2312"/>
          <w:sz w:val="32"/>
          <w:szCs w:val="32"/>
        </w:rPr>
        <w:t>万元。</w:t>
      </w:r>
    </w:p>
    <w:p>
      <w:pPr>
        <w:numPr>
          <w:ilvl w:val="0"/>
          <w:numId w:val="2"/>
        </w:numPr>
        <w:adjustRightInd w:val="0"/>
        <w:snapToGrid w:val="0"/>
        <w:spacing w:line="600" w:lineRule="exact"/>
        <w:ind w:left="-10" w:leftChars="0" w:firstLine="640" w:firstLineChars="0"/>
        <w:rPr>
          <w:rFonts w:hint="eastAsia" w:ascii="仿宋_GB2312" w:hAnsi="仿宋" w:eastAsia="仿宋_GB2312"/>
          <w:sz w:val="32"/>
          <w:szCs w:val="32"/>
          <w:lang w:val="en-US" w:eastAsia="zh-CN"/>
        </w:rPr>
      </w:pPr>
      <w:r>
        <w:rPr>
          <w:rFonts w:hint="eastAsia" w:ascii="仿宋_GB2312" w:hAnsi="仿宋" w:eastAsia="仿宋_GB2312"/>
          <w:sz w:val="32"/>
          <w:szCs w:val="32"/>
        </w:rPr>
        <w:t>本年收入</w:t>
      </w:r>
      <w:r>
        <w:rPr>
          <w:rFonts w:hint="eastAsia" w:ascii="仿宋_GB2312" w:hAnsi="仿宋" w:eastAsia="仿宋_GB2312"/>
          <w:sz w:val="32"/>
          <w:szCs w:val="32"/>
          <w:lang w:val="en-US" w:eastAsia="zh-CN"/>
        </w:rPr>
        <w:t>39965.35</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38824.35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97.15</w:t>
      </w:r>
      <w:r>
        <w:rPr>
          <w:rFonts w:hint="eastAsia" w:ascii="仿宋_GB2312" w:hAnsi="仿宋" w:eastAsia="仿宋_GB2312"/>
          <w:sz w:val="32"/>
          <w:szCs w:val="32"/>
        </w:rPr>
        <w:t>%，比2021年预算增加</w:t>
      </w:r>
      <w:r>
        <w:rPr>
          <w:rFonts w:hint="eastAsia" w:ascii="仿宋_GB2312" w:hAnsi="仿宋" w:eastAsia="仿宋_GB2312"/>
          <w:sz w:val="32"/>
          <w:szCs w:val="32"/>
          <w:lang w:val="en-US" w:eastAsia="zh-CN"/>
        </w:rPr>
        <w:t>9782.75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32.41</w:t>
      </w:r>
      <w:r>
        <w:rPr>
          <w:rFonts w:hint="eastAsia" w:ascii="仿宋_GB2312" w:hAnsi="仿宋" w:eastAsia="仿宋_GB2312"/>
          <w:sz w:val="32"/>
          <w:szCs w:val="32"/>
        </w:rPr>
        <w:t>%，原因主要是新增了</w:t>
      </w:r>
      <w:r>
        <w:rPr>
          <w:rFonts w:hint="eastAsia" w:ascii="仿宋_GB2312" w:hAnsi="仿宋" w:eastAsia="仿宋_GB2312"/>
          <w:sz w:val="32"/>
          <w:szCs w:val="32"/>
          <w:lang w:val="en-US" w:eastAsia="zh-CN"/>
        </w:rPr>
        <w:t>基础绩效奖。</w:t>
      </w:r>
    </w:p>
    <w:p>
      <w:pPr>
        <w:numPr>
          <w:ilvl w:val="0"/>
          <w:numId w:val="0"/>
        </w:numPr>
        <w:adjustRightInd w:val="0"/>
        <w:snapToGrid w:val="0"/>
        <w:spacing w:line="600" w:lineRule="exact"/>
        <w:ind w:left="630" w:leftChars="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三、关于2022年支出总表的说明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lang w:val="en-US" w:eastAsia="zh-CN"/>
        </w:rPr>
        <w:t>相山区教育局</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年支出预算</w:t>
      </w:r>
      <w:r>
        <w:rPr>
          <w:rFonts w:hint="eastAsia" w:ascii="仿宋_GB2312" w:hAnsi="仿宋" w:eastAsia="仿宋_GB2312"/>
          <w:sz w:val="32"/>
          <w:szCs w:val="32"/>
          <w:lang w:val="en-US" w:eastAsia="zh-CN"/>
        </w:rPr>
        <w:t>39965.35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9782.75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32.41</w:t>
      </w:r>
      <w:r>
        <w:rPr>
          <w:rFonts w:hint="eastAsia" w:ascii="仿宋_GB2312" w:hAnsi="仿宋" w:eastAsia="仿宋_GB2312"/>
          <w:sz w:val="32"/>
          <w:szCs w:val="32"/>
        </w:rPr>
        <w:t>%，增加原因主要</w:t>
      </w:r>
      <w:r>
        <w:rPr>
          <w:rFonts w:hint="eastAsia" w:ascii="仿宋_GB2312" w:hAnsi="仿宋" w:eastAsia="仿宋_GB2312"/>
          <w:sz w:val="32"/>
          <w:szCs w:val="32"/>
          <w:lang w:val="en-US" w:eastAsia="zh-CN"/>
        </w:rPr>
        <w:t>是新增了基础绩效奖。</w:t>
      </w:r>
      <w:r>
        <w:rPr>
          <w:rFonts w:hint="eastAsia" w:ascii="仿宋_GB2312" w:hAnsi="仿宋" w:eastAsia="仿宋_GB2312"/>
          <w:sz w:val="32"/>
          <w:szCs w:val="32"/>
        </w:rPr>
        <w:t>其中，基本支出</w:t>
      </w:r>
      <w:r>
        <w:rPr>
          <w:rFonts w:hint="eastAsia" w:ascii="仿宋_GB2312" w:hAnsi="仿宋" w:eastAsia="仿宋_GB2312"/>
          <w:sz w:val="32"/>
          <w:szCs w:val="32"/>
          <w:lang w:val="en-US" w:eastAsia="zh-CN"/>
        </w:rPr>
        <w:t>36225.86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90.64</w:t>
      </w:r>
      <w:r>
        <w:rPr>
          <w:rFonts w:hint="eastAsia" w:ascii="仿宋_GB2312" w:hAnsi="仿宋" w:eastAsia="仿宋_GB2312"/>
          <w:sz w:val="32"/>
          <w:szCs w:val="32"/>
        </w:rPr>
        <w:t>%，主要用于</w:t>
      </w:r>
      <w:r>
        <w:rPr>
          <w:rFonts w:hint="eastAsia" w:ascii="仿宋_GB2312" w:hAnsi="仿宋" w:eastAsia="仿宋_GB2312"/>
          <w:sz w:val="32"/>
          <w:szCs w:val="32"/>
          <w:lang w:val="en-US" w:eastAsia="zh-CN"/>
        </w:rPr>
        <w:t>教职工工资、</w:t>
      </w:r>
      <w:r>
        <w:rPr>
          <w:rFonts w:hint="eastAsia" w:ascii="仿宋_GB2312" w:hAnsi="仿宋" w:eastAsia="仿宋_GB2312"/>
          <w:sz w:val="32"/>
          <w:szCs w:val="32"/>
        </w:rPr>
        <w:t>保障机构日常运转、完成日常工作任务等；项目支出</w:t>
      </w:r>
      <w:r>
        <w:rPr>
          <w:rFonts w:hint="eastAsia" w:ascii="仿宋_GB2312" w:hAnsi="仿宋" w:eastAsia="仿宋_GB2312"/>
          <w:sz w:val="32"/>
          <w:szCs w:val="32"/>
          <w:lang w:val="en-US" w:eastAsia="zh-CN"/>
        </w:rPr>
        <w:t>3739.5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9.36</w:t>
      </w:r>
      <w:r>
        <w:rPr>
          <w:rFonts w:hint="eastAsia" w:ascii="仿宋_GB2312" w:hAnsi="仿宋" w:eastAsia="仿宋_GB2312"/>
          <w:sz w:val="32"/>
          <w:szCs w:val="32"/>
        </w:rPr>
        <w:t>%，主要用于</w:t>
      </w:r>
      <w:r>
        <w:rPr>
          <w:rFonts w:hint="eastAsia" w:ascii="仿宋_GB2312" w:hAnsi="仿宋" w:eastAsia="仿宋_GB2312"/>
          <w:sz w:val="32"/>
          <w:szCs w:val="32"/>
          <w:lang w:val="en-US" w:eastAsia="zh-CN"/>
        </w:rPr>
        <w:t>区聘教师工资，夕阳红工资，淮师大合作办学，5G+智慧课堂建设</w:t>
      </w:r>
      <w:r>
        <w:rPr>
          <w:rFonts w:hint="eastAsia" w:ascii="仿宋_GB2312" w:hAnsi="仿宋" w:eastAsia="仿宋_GB2312"/>
          <w:sz w:val="32"/>
          <w:szCs w:val="32"/>
        </w:rPr>
        <w:t>，</w:t>
      </w:r>
      <w:r>
        <w:rPr>
          <w:rFonts w:hint="eastAsia" w:ascii="仿宋_GB2312" w:hAnsi="仿宋" w:eastAsia="仿宋_GB2312"/>
          <w:sz w:val="32"/>
          <w:szCs w:val="32"/>
          <w:lang w:val="en-US" w:eastAsia="zh-CN"/>
        </w:rPr>
        <w:t>双减保障资金等</w:t>
      </w:r>
      <w:r>
        <w:rPr>
          <w:rFonts w:hint="eastAsia" w:ascii="仿宋_GB2312" w:hAnsi="仿宋" w:eastAsia="仿宋_GB2312"/>
          <w:sz w:val="32"/>
          <w:szCs w:val="32"/>
        </w:rPr>
        <w:t>。</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四、关于202</w:t>
      </w:r>
      <w:r>
        <w:rPr>
          <w:rFonts w:hint="eastAsia" w:ascii="黑体" w:hAnsi="仿宋" w:eastAsia="黑体" w:cs="宋体"/>
          <w:color w:val="000000"/>
          <w:kern w:val="0"/>
          <w:sz w:val="32"/>
          <w:szCs w:val="32"/>
          <w:lang w:val="en-US" w:eastAsia="zh-CN"/>
        </w:rPr>
        <w:t>3</w:t>
      </w:r>
      <w:r>
        <w:rPr>
          <w:rFonts w:hint="eastAsia" w:ascii="黑体" w:hAnsi="仿宋" w:eastAsia="黑体" w:cs="宋体"/>
          <w:color w:val="000000"/>
          <w:kern w:val="0"/>
          <w:sz w:val="32"/>
          <w:szCs w:val="32"/>
        </w:rPr>
        <w:t>年财政拨款收支总表的说明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val="en-US" w:eastAsia="zh-CN"/>
        </w:rPr>
        <w:t>相山区教育局</w:t>
      </w:r>
      <w:r>
        <w:rPr>
          <w:rFonts w:hint="eastAsia"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年财政拨款收支预算</w:t>
      </w:r>
      <w:r>
        <w:rPr>
          <w:rFonts w:hint="eastAsia" w:ascii="仿宋_GB2312" w:hAnsi="仿宋" w:eastAsia="仿宋_GB2312"/>
          <w:sz w:val="32"/>
          <w:szCs w:val="32"/>
          <w:lang w:val="en-US" w:eastAsia="zh-CN"/>
        </w:rPr>
        <w:t>39965.35</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38824.35</w:t>
      </w:r>
      <w:r>
        <w:rPr>
          <w:rFonts w:hint="eastAsia" w:ascii="仿宋_GB2312" w:hAnsi="仿宋" w:eastAsia="仿宋_GB2312" w:cs="Times New Roman"/>
          <w:kern w:val="2"/>
          <w:sz w:val="32"/>
          <w:szCs w:val="32"/>
        </w:rPr>
        <w:t>万元、政府性基金预算拨款0万元</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lang w:val="en-US" w:eastAsia="zh-CN"/>
        </w:rPr>
        <w:t>财政专户资金1141万元</w:t>
      </w:r>
      <w:r>
        <w:rPr>
          <w:rFonts w:hint="eastAsia" w:ascii="仿宋_GB2312" w:hAnsi="仿宋" w:eastAsia="仿宋_GB2312" w:cs="Times New Roman"/>
          <w:kern w:val="2"/>
          <w:sz w:val="32"/>
          <w:szCs w:val="32"/>
        </w:rPr>
        <w:t>；按资金年度分为：本年财政拨款收入</w:t>
      </w:r>
      <w:r>
        <w:rPr>
          <w:rFonts w:hint="eastAsia" w:ascii="仿宋_GB2312" w:hAnsi="仿宋" w:eastAsia="仿宋_GB2312" w:cs="Times New Roman"/>
          <w:kern w:val="2"/>
          <w:sz w:val="32"/>
          <w:szCs w:val="32"/>
          <w:lang w:val="en-US" w:eastAsia="zh-CN"/>
        </w:rPr>
        <w:t>38824.35</w:t>
      </w:r>
      <w:r>
        <w:rPr>
          <w:rFonts w:hint="eastAsia" w:ascii="仿宋_GB2312" w:hAnsi="仿宋" w:eastAsia="仿宋_GB2312" w:cs="Times New Roman"/>
          <w:kern w:val="2"/>
          <w:sz w:val="32"/>
          <w:szCs w:val="32"/>
        </w:rPr>
        <w:t>万元。支出按功能分类分为：教育支出</w:t>
      </w:r>
      <w:r>
        <w:rPr>
          <w:rFonts w:hint="eastAsia" w:ascii="仿宋_GB2312" w:hAnsi="仿宋" w:eastAsia="仿宋_GB2312" w:cs="Times New Roman"/>
          <w:kern w:val="2"/>
          <w:sz w:val="32"/>
          <w:szCs w:val="32"/>
          <w:lang w:val="en-US" w:eastAsia="zh-CN"/>
        </w:rPr>
        <w:t>32541.06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81.42</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5285.05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13.22</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1999.82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5.01</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139.42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0.35</w:t>
      </w:r>
      <w:r>
        <w:rPr>
          <w:rFonts w:hint="eastAsia" w:ascii="仿宋_GB2312" w:hAnsi="仿宋" w:eastAsia="仿宋_GB2312" w:cs="Times New Roman"/>
          <w:kern w:val="2"/>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五、关于202</w:t>
      </w:r>
      <w:r>
        <w:rPr>
          <w:rFonts w:hint="eastAsia" w:ascii="黑体" w:hAnsi="仿宋" w:eastAsia="黑体"/>
          <w:color w:val="000000"/>
          <w:sz w:val="32"/>
          <w:szCs w:val="32"/>
          <w:lang w:val="en-US" w:eastAsia="zh-CN"/>
        </w:rPr>
        <w:t>3</w:t>
      </w:r>
      <w:r>
        <w:rPr>
          <w:rFonts w:hint="eastAsia" w:ascii="黑体" w:hAnsi="仿宋" w:eastAsia="黑体"/>
          <w:color w:val="000000"/>
          <w:sz w:val="32"/>
          <w:szCs w:val="32"/>
        </w:rPr>
        <w:t>年一般公共预算支出表的说明</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6"/>
        <w:adjustRightInd w:val="0"/>
        <w:snapToGrid w:val="0"/>
        <w:spacing w:before="0" w:beforeAutospacing="0" w:after="0" w:afterAutospacing="0" w:line="600" w:lineRule="exact"/>
        <w:ind w:firstLine="627" w:firstLineChars="196"/>
        <w:rPr>
          <w:rFonts w:hint="eastAsia" w:ascii="仿宋_GB2312" w:hAnsi="仿宋" w:eastAsia="仿宋_GB2312"/>
          <w:sz w:val="32"/>
          <w:szCs w:val="32"/>
          <w:lang w:val="en-US" w:eastAsia="zh-CN"/>
        </w:rPr>
      </w:pPr>
      <w:r>
        <w:rPr>
          <w:rFonts w:hint="eastAsia" w:ascii="仿宋_GB2312" w:hAnsi="仿宋" w:eastAsia="仿宋_GB2312" w:cs="Times New Roman"/>
          <w:kern w:val="2"/>
          <w:sz w:val="32"/>
          <w:szCs w:val="32"/>
          <w:lang w:val="en-US" w:eastAsia="zh-CN"/>
        </w:rPr>
        <w:t>相山区教育局</w:t>
      </w:r>
      <w:r>
        <w:rPr>
          <w:rFonts w:hint="eastAsia"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39965.35</w:t>
      </w:r>
      <w:r>
        <w:rPr>
          <w:rFonts w:hint="eastAsia" w:ascii="仿宋_GB2312" w:hAnsi="仿宋" w:eastAsia="仿宋_GB2312" w:cs="Times New Roman"/>
          <w:kern w:val="2"/>
          <w:sz w:val="32"/>
          <w:szCs w:val="32"/>
        </w:rPr>
        <w:t>万元，比202</w:t>
      </w:r>
      <w:r>
        <w:rPr>
          <w:rFonts w:hint="eastAsia" w:ascii="仿宋_GB2312" w:hAnsi="仿宋" w:eastAsia="仿宋_GB2312" w:cs="Times New Roman"/>
          <w:kern w:val="2"/>
          <w:sz w:val="32"/>
          <w:szCs w:val="32"/>
          <w:lang w:val="en-US" w:eastAsia="zh-CN"/>
        </w:rPr>
        <w:t>2</w:t>
      </w:r>
      <w:r>
        <w:rPr>
          <w:rFonts w:hint="eastAsia" w:ascii="仿宋_GB2312" w:hAnsi="仿宋" w:eastAsia="仿宋_GB2312" w:cs="Times New Roman"/>
          <w:kern w:val="2"/>
          <w:sz w:val="32"/>
          <w:szCs w:val="32"/>
        </w:rPr>
        <w:t>年预算增加</w:t>
      </w:r>
      <w:r>
        <w:rPr>
          <w:rFonts w:hint="eastAsia" w:ascii="仿宋_GB2312" w:hAnsi="仿宋" w:eastAsia="仿宋_GB2312" w:cs="Times New Roman"/>
          <w:kern w:val="2"/>
          <w:sz w:val="32"/>
          <w:szCs w:val="32"/>
          <w:lang w:val="en-US" w:eastAsia="zh-CN"/>
        </w:rPr>
        <w:t>9782.75</w:t>
      </w:r>
      <w:r>
        <w:rPr>
          <w:rFonts w:hint="eastAsia" w:ascii="仿宋_GB2312" w:hAnsi="仿宋" w:eastAsia="仿宋_GB2312" w:cs="Times New Roman"/>
          <w:kern w:val="2"/>
          <w:sz w:val="32"/>
          <w:szCs w:val="32"/>
        </w:rPr>
        <w:t>万元，</w:t>
      </w:r>
      <w:r>
        <w:rPr>
          <w:rFonts w:hint="eastAsia" w:ascii="仿宋_GB2312" w:hAnsi="仿宋" w:eastAsia="仿宋_GB2312"/>
          <w:sz w:val="32"/>
          <w:szCs w:val="32"/>
        </w:rPr>
        <w:t>增长</w:t>
      </w:r>
      <w:r>
        <w:rPr>
          <w:rFonts w:hint="eastAsia" w:ascii="仿宋_GB2312" w:hAnsi="仿宋" w:eastAsia="仿宋_GB2312"/>
          <w:sz w:val="32"/>
          <w:szCs w:val="32"/>
          <w:lang w:val="en-US" w:eastAsia="zh-CN"/>
        </w:rPr>
        <w:t>32.41</w:t>
      </w:r>
      <w:r>
        <w:rPr>
          <w:rFonts w:hint="eastAsia" w:ascii="仿宋_GB2312" w:hAnsi="仿宋" w:eastAsia="仿宋_GB2312"/>
          <w:sz w:val="32"/>
          <w:szCs w:val="32"/>
        </w:rPr>
        <w:t>%，增加原因主要</w:t>
      </w:r>
      <w:r>
        <w:rPr>
          <w:rFonts w:hint="eastAsia" w:ascii="仿宋_GB2312" w:hAnsi="仿宋" w:eastAsia="仿宋_GB2312"/>
          <w:sz w:val="32"/>
          <w:szCs w:val="32"/>
          <w:lang w:val="en-US" w:eastAsia="zh-CN"/>
        </w:rPr>
        <w:t>是新增了基础绩效奖。</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教育支出</w:t>
      </w:r>
      <w:r>
        <w:rPr>
          <w:rFonts w:hint="eastAsia" w:ascii="仿宋_GB2312" w:hAnsi="仿宋" w:eastAsia="仿宋_GB2312" w:cs="Times New Roman"/>
          <w:kern w:val="2"/>
          <w:sz w:val="32"/>
          <w:szCs w:val="32"/>
          <w:lang w:val="en-US" w:eastAsia="zh-CN"/>
        </w:rPr>
        <w:t>32541.06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81.42</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5285.05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13.22</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1999.82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5.01</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139.42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0.35</w:t>
      </w:r>
      <w:r>
        <w:rPr>
          <w:rFonts w:hint="eastAsia" w:ascii="仿宋_GB2312" w:hAnsi="仿宋" w:eastAsia="仿宋_GB2312" w:cs="Times New Roman"/>
          <w:kern w:val="2"/>
          <w:sz w:val="32"/>
          <w:szCs w:val="32"/>
        </w:rPr>
        <w:t>%。</w:t>
      </w:r>
    </w:p>
    <w:p>
      <w:pPr>
        <w:adjustRightInd w:val="0"/>
        <w:snapToGrid w:val="0"/>
        <w:spacing w:line="600" w:lineRule="exact"/>
        <w:ind w:firstLine="640"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1.教育支出（类）</w:t>
      </w:r>
      <w:r>
        <w:rPr>
          <w:rFonts w:hint="eastAsia" w:ascii="仿宋_GB2312" w:hAnsi="仿宋" w:eastAsia="仿宋_GB2312"/>
          <w:b/>
          <w:sz w:val="32"/>
          <w:szCs w:val="32"/>
          <w:lang w:val="en-US" w:eastAsia="zh-CN"/>
        </w:rPr>
        <w:t>教育管理事务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行政运行</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430.08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59.83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16.16</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机关人员工资增加</w:t>
      </w:r>
      <w:r>
        <w:rPr>
          <w:rFonts w:hint="eastAsia" w:ascii="仿宋_GB2312" w:hAnsi="仿宋" w:eastAsia="仿宋_GB2312"/>
          <w:sz w:val="32"/>
          <w:szCs w:val="32"/>
        </w:rPr>
        <w:t>。</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rPr>
        <w:t>2.教育支出（类）</w:t>
      </w:r>
      <w:r>
        <w:rPr>
          <w:rFonts w:hint="eastAsia" w:ascii="仿宋_GB2312" w:hAnsi="仿宋" w:eastAsia="仿宋_GB2312"/>
          <w:b/>
          <w:sz w:val="32"/>
          <w:szCs w:val="32"/>
          <w:lang w:val="en-US" w:eastAsia="zh-CN"/>
        </w:rPr>
        <w:t>教育管理事务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一般行政管理事务</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17</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增加0.2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增长1.19</w:t>
      </w:r>
      <w:r>
        <w:rPr>
          <w:rFonts w:hint="eastAsia" w:ascii="仿宋_GB2312" w:hAnsi="仿宋" w:eastAsia="仿宋_GB2312"/>
          <w:sz w:val="32"/>
          <w:szCs w:val="32"/>
        </w:rPr>
        <w:t>%</w:t>
      </w:r>
      <w:r>
        <w:rPr>
          <w:rFonts w:hint="eastAsia" w:ascii="仿宋_GB2312" w:hAnsi="仿宋" w:eastAsia="仿宋_GB2312"/>
          <w:sz w:val="32"/>
          <w:szCs w:val="32"/>
          <w:lang w:val="en-US" w:eastAsia="zh-CN"/>
        </w:rPr>
        <w:t>。</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教育管理事务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其他教育管理事务</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759.8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增加505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增长198.19</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夕阳红工资，校长职级制工资，企业移交幼儿园工资计入了其他教育管理事务支出。</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学前教育</w:t>
      </w:r>
      <w:r>
        <w:rPr>
          <w:rFonts w:hint="eastAsia" w:ascii="仿宋_GB2312" w:hAnsi="仿宋" w:eastAsia="仿宋_GB2312"/>
          <w:b/>
          <w:sz w:val="32"/>
          <w:szCs w:val="32"/>
        </w:rPr>
        <w:t>（项）</w:t>
      </w:r>
      <w:r>
        <w:rPr>
          <w:rFonts w:hint="eastAsia" w:ascii="仿宋_GB2312" w:hAnsi="仿宋" w:eastAsia="仿宋_GB2312"/>
          <w:sz w:val="32"/>
          <w:szCs w:val="32"/>
        </w:rPr>
        <w:t>2022年预算</w:t>
      </w:r>
      <w:r>
        <w:rPr>
          <w:rFonts w:hint="eastAsia" w:ascii="仿宋_GB2312" w:hAnsi="仿宋" w:eastAsia="仿宋_GB2312"/>
          <w:sz w:val="32"/>
          <w:szCs w:val="32"/>
          <w:lang w:val="en-US" w:eastAsia="zh-CN"/>
        </w:rPr>
        <w:t>1563.14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减少496.92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减少24.12</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普惠园奖补资金的减少。</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小学教育</w:t>
      </w:r>
      <w:r>
        <w:rPr>
          <w:rFonts w:hint="eastAsia" w:ascii="仿宋_GB2312" w:hAnsi="仿宋" w:eastAsia="仿宋_GB2312"/>
          <w:b/>
          <w:sz w:val="32"/>
          <w:szCs w:val="32"/>
        </w:rPr>
        <w:t>（项）</w:t>
      </w:r>
      <w:r>
        <w:rPr>
          <w:rFonts w:hint="eastAsia" w:ascii="仿宋_GB2312" w:hAnsi="仿宋" w:eastAsia="仿宋_GB2312"/>
          <w:sz w:val="32"/>
          <w:szCs w:val="32"/>
        </w:rPr>
        <w:t>2022年预算</w:t>
      </w:r>
      <w:r>
        <w:rPr>
          <w:rFonts w:hint="eastAsia" w:ascii="仿宋_GB2312" w:hAnsi="仿宋" w:eastAsia="仿宋_GB2312"/>
          <w:sz w:val="32"/>
          <w:szCs w:val="32"/>
          <w:lang w:val="en-US" w:eastAsia="zh-CN"/>
        </w:rPr>
        <w:t>18517.04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增加6823.21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增长58.35</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增加基础绩效奖。</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初中教育</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7589.09</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增加190.09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增长2.57</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增加基础绩效奖。</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高中教育</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新增高中助学金。</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其他普通教育支出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1702.32</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减少432.48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减少20.26</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5G+智慧课堂资金，近视眼防控资金等预算资金的减少。</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进修及培训</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教师进修</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76.95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增加76.95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新增教师进修。</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进修及培训</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干部教育</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100</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增加100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新增干部教育。</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11</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进修及培训</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培训支出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3.94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增加3.94</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新增培训支出。</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12</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其他教育支出</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其他教育支出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637.7</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增加617.7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增长3088%</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5G+智慧课堂资金，近视眼防控资金等计入其他教育支出。</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13</w:t>
      </w:r>
      <w:r>
        <w:rPr>
          <w:rFonts w:hint="eastAsia" w:ascii="仿宋_GB2312" w:hAnsi="仿宋" w:eastAsia="仿宋_GB2312"/>
          <w:b/>
          <w:sz w:val="32"/>
          <w:szCs w:val="32"/>
        </w:rPr>
        <w:t>.社会保障和就业支出（类）</w:t>
      </w:r>
      <w:r>
        <w:rPr>
          <w:rFonts w:hint="eastAsia" w:ascii="仿宋_GB2312" w:hAnsi="仿宋" w:eastAsia="仿宋_GB2312"/>
          <w:b/>
          <w:sz w:val="32"/>
          <w:szCs w:val="32"/>
          <w:lang w:val="en-US" w:eastAsia="zh-CN"/>
        </w:rPr>
        <w:t>人力资源和社会保障管理事务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其他人力资源和社会保障管理事务</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549.42</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549.42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%，增长原因</w:t>
      </w:r>
      <w:r>
        <w:rPr>
          <w:rFonts w:hint="eastAsia" w:ascii="仿宋_GB2312" w:hAnsi="仿宋" w:eastAsia="仿宋_GB2312"/>
          <w:sz w:val="32"/>
          <w:szCs w:val="32"/>
          <w:lang w:val="en-US" w:eastAsia="zh-CN"/>
        </w:rPr>
        <w:t>是养老保险支出列入其他人力资源和社会保障管理事务</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lang w:val="en-US" w:eastAsia="zh-CN"/>
        </w:rPr>
        <w:t>14</w:t>
      </w:r>
      <w:r>
        <w:rPr>
          <w:rFonts w:hint="eastAsia" w:ascii="仿宋_GB2312" w:hAnsi="仿宋" w:eastAsia="仿宋_GB2312"/>
          <w:b/>
          <w:sz w:val="32"/>
          <w:szCs w:val="32"/>
        </w:rPr>
        <w:t>.社会保障和就业支出（类）行政事业单位养老支出（款）</w:t>
      </w:r>
      <w:r>
        <w:rPr>
          <w:rFonts w:hint="eastAsia" w:ascii="仿宋_GB2312" w:hAnsi="仿宋" w:eastAsia="仿宋_GB2312"/>
          <w:b/>
          <w:sz w:val="32"/>
          <w:szCs w:val="32"/>
          <w:lang w:val="en-US" w:eastAsia="zh-CN"/>
        </w:rPr>
        <w:t>行政</w:t>
      </w:r>
      <w:r>
        <w:rPr>
          <w:rFonts w:hint="eastAsia" w:ascii="仿宋_GB2312" w:hAnsi="仿宋" w:eastAsia="仿宋_GB2312"/>
          <w:b/>
          <w:sz w:val="32"/>
          <w:szCs w:val="32"/>
        </w:rPr>
        <w:t>单位离退休（项）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8.95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减少2.45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降低21.49</w:t>
      </w:r>
      <w:r>
        <w:rPr>
          <w:rFonts w:hint="eastAsia" w:ascii="仿宋_GB2312" w:hAnsi="仿宋" w:eastAsia="仿宋_GB2312"/>
          <w:sz w:val="32"/>
          <w:szCs w:val="32"/>
        </w:rPr>
        <w:t>%，</w:t>
      </w:r>
      <w:r>
        <w:rPr>
          <w:rFonts w:hint="eastAsia" w:ascii="仿宋_GB2312" w:hAnsi="仿宋" w:eastAsia="仿宋_GB2312"/>
          <w:sz w:val="32"/>
          <w:szCs w:val="32"/>
          <w:lang w:val="en-US" w:eastAsia="zh-CN"/>
        </w:rPr>
        <w:t>降低</w:t>
      </w:r>
      <w:r>
        <w:rPr>
          <w:rFonts w:hint="eastAsia" w:ascii="仿宋_GB2312" w:hAnsi="仿宋" w:eastAsia="仿宋_GB2312"/>
          <w:sz w:val="32"/>
          <w:szCs w:val="32"/>
        </w:rPr>
        <w:t>原因主要是离退休费中</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了提租补贴支出。</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lang w:val="en-US" w:eastAsia="zh-CN"/>
        </w:rPr>
        <w:t>15</w:t>
      </w:r>
      <w:r>
        <w:rPr>
          <w:rFonts w:hint="eastAsia" w:ascii="仿宋_GB2312" w:hAnsi="仿宋" w:eastAsia="仿宋_GB2312"/>
          <w:b/>
          <w:sz w:val="32"/>
          <w:szCs w:val="32"/>
        </w:rPr>
        <w:t>.社会保障和就业支出（类）行政事业单位养老支出（款）事业单位离退休（项）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145.53</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减少386.03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减少72.62</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原因主要是离退休费中</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了提租补贴支出。</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lang w:val="en-US" w:eastAsia="zh-CN"/>
        </w:rPr>
        <w:t>16</w:t>
      </w:r>
      <w:r>
        <w:rPr>
          <w:rFonts w:hint="eastAsia" w:ascii="仿宋_GB2312" w:hAnsi="仿宋" w:eastAsia="仿宋_GB2312"/>
          <w:b/>
          <w:sz w:val="32"/>
          <w:szCs w:val="32"/>
        </w:rPr>
        <w:t>. 社会保障和就业支出（类）行政事业单位养老支出（款）机关事业单位基本养老保险缴费支出（项）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2824.88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641.4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29.38</w:t>
      </w:r>
      <w:r>
        <w:rPr>
          <w:rFonts w:hint="eastAsia" w:ascii="仿宋_GB2312" w:hAnsi="仿宋" w:eastAsia="仿宋_GB2312"/>
          <w:sz w:val="32"/>
          <w:szCs w:val="32"/>
        </w:rPr>
        <w:t>%，增长原因主要是人员增加及工资变动。</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17</w:t>
      </w:r>
      <w:r>
        <w:rPr>
          <w:rFonts w:hint="eastAsia" w:ascii="仿宋_GB2312" w:hAnsi="仿宋" w:eastAsia="仿宋_GB2312"/>
          <w:b/>
          <w:sz w:val="32"/>
          <w:szCs w:val="32"/>
        </w:rPr>
        <w:t>. 社会保障和就业支出（类）行政事业单位养老支出（款）机关事业单位职业年金缴费支出（项）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1375.91</w:t>
      </w:r>
      <w:r>
        <w:rPr>
          <w:rFonts w:hint="eastAsia" w:ascii="仿宋_GB2312" w:hAnsi="仿宋" w:eastAsia="仿宋_GB2312"/>
          <w:sz w:val="32"/>
          <w:szCs w:val="32"/>
        </w:rPr>
        <w:t>万元， 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增加283.61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增长25.96</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原因主要是人员</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及工资变动。</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18</w:t>
      </w:r>
      <w:r>
        <w:rPr>
          <w:rFonts w:hint="eastAsia" w:ascii="仿宋_GB2312" w:hAnsi="仿宋" w:eastAsia="仿宋_GB2312"/>
          <w:b/>
          <w:sz w:val="32"/>
          <w:szCs w:val="32"/>
        </w:rPr>
        <w:t>. 社会保障和就业支出（类）</w:t>
      </w:r>
      <w:r>
        <w:rPr>
          <w:rFonts w:hint="eastAsia" w:ascii="仿宋_GB2312" w:hAnsi="仿宋" w:eastAsia="仿宋_GB2312"/>
          <w:b/>
          <w:sz w:val="32"/>
          <w:szCs w:val="32"/>
          <w:lang w:val="en-US" w:eastAsia="zh-CN"/>
        </w:rPr>
        <w:t>抚恤</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伤残抚恤</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9.31</w:t>
      </w:r>
      <w:r>
        <w:rPr>
          <w:rFonts w:hint="eastAsia" w:ascii="仿宋_GB2312" w:hAnsi="仿宋" w:eastAsia="仿宋_GB2312"/>
          <w:sz w:val="32"/>
          <w:szCs w:val="32"/>
        </w:rPr>
        <w:t>万元， 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增长8.96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抚恤金的增加</w:t>
      </w:r>
      <w:r>
        <w:rPr>
          <w:rFonts w:hint="eastAsia" w:ascii="仿宋_GB2312" w:hAnsi="仿宋" w:eastAsia="仿宋_GB2312"/>
          <w:sz w:val="32"/>
          <w:szCs w:val="32"/>
        </w:rPr>
        <w:t>。</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19</w:t>
      </w:r>
      <w:r>
        <w:rPr>
          <w:rFonts w:hint="eastAsia" w:ascii="仿宋_GB2312" w:hAnsi="仿宋" w:eastAsia="仿宋_GB2312"/>
          <w:b/>
          <w:sz w:val="32"/>
          <w:szCs w:val="32"/>
        </w:rPr>
        <w:t>. 社会保障和就业支出（类）其他社会保障和就业支出（款）其他社会保障和就业支出（项）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371.05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减少356.15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减少48.97</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养老保险支出列入其他人力资源和社会保障管理事务支出</w:t>
      </w:r>
      <w:r>
        <w:rPr>
          <w:rFonts w:hint="eastAsia" w:ascii="仿宋_GB2312" w:hAnsi="仿宋" w:eastAsia="仿宋_GB2312"/>
          <w:sz w:val="32"/>
          <w:szCs w:val="32"/>
        </w:rPr>
        <w:t>。</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20</w:t>
      </w:r>
      <w:r>
        <w:rPr>
          <w:rFonts w:hint="eastAsia" w:ascii="仿宋_GB2312" w:hAnsi="仿宋" w:eastAsia="仿宋_GB2312"/>
          <w:b/>
          <w:sz w:val="32"/>
          <w:szCs w:val="32"/>
        </w:rPr>
        <w:t>. 卫生健康支出（类）行政事业单位医疗（款）</w:t>
      </w:r>
      <w:r>
        <w:rPr>
          <w:rFonts w:hint="eastAsia" w:ascii="仿宋_GB2312" w:hAnsi="仿宋" w:eastAsia="仿宋_GB2312"/>
          <w:b/>
          <w:sz w:val="32"/>
          <w:szCs w:val="32"/>
          <w:lang w:val="en-US" w:eastAsia="zh-CN"/>
        </w:rPr>
        <w:t>事业</w:t>
      </w:r>
      <w:r>
        <w:rPr>
          <w:rFonts w:hint="eastAsia" w:ascii="仿宋_GB2312" w:hAnsi="仿宋" w:eastAsia="仿宋_GB2312"/>
          <w:b/>
          <w:sz w:val="32"/>
          <w:szCs w:val="32"/>
        </w:rPr>
        <w:t>单位医疗（项）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1626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429.69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35.92</w:t>
      </w:r>
      <w:r>
        <w:rPr>
          <w:rFonts w:hint="eastAsia" w:ascii="仿宋_GB2312" w:hAnsi="仿宋" w:eastAsia="仿宋_GB2312"/>
          <w:sz w:val="32"/>
          <w:szCs w:val="32"/>
        </w:rPr>
        <w:t>%，增长原因主要是人员</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及工资变化。</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21</w:t>
      </w:r>
      <w:r>
        <w:rPr>
          <w:rFonts w:hint="eastAsia" w:ascii="仿宋_GB2312" w:hAnsi="仿宋" w:eastAsia="仿宋_GB2312"/>
          <w:b/>
          <w:sz w:val="32"/>
          <w:szCs w:val="32"/>
        </w:rPr>
        <w:t>. 卫生健康支出（类）行政事业单位医疗（款）公务员医疗补助（项）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373.13</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减少1.07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减少0.28</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人员的变化。</w:t>
      </w:r>
    </w:p>
    <w:p>
      <w:pPr>
        <w:adjustRightInd w:val="0"/>
        <w:snapToGrid w:val="0"/>
        <w:spacing w:line="600" w:lineRule="exact"/>
        <w:ind w:firstLine="640" w:firstLineChars="200"/>
        <w:rPr>
          <w:rFonts w:hint="default" w:ascii="仿宋_GB2312" w:hAnsi="仿宋" w:eastAsia="仿宋_GB2312"/>
          <w:sz w:val="32"/>
          <w:szCs w:val="32"/>
          <w:lang w:val="en-US"/>
        </w:rPr>
      </w:pPr>
      <w:r>
        <w:rPr>
          <w:rFonts w:hint="eastAsia" w:ascii="仿宋_GB2312" w:hAnsi="仿宋" w:eastAsia="仿宋_GB2312"/>
          <w:b/>
          <w:sz w:val="32"/>
          <w:szCs w:val="32"/>
          <w:lang w:val="en-US" w:eastAsia="zh-CN"/>
        </w:rPr>
        <w:t>22</w:t>
      </w:r>
      <w:r>
        <w:rPr>
          <w:rFonts w:hint="eastAsia" w:ascii="仿宋_GB2312" w:hAnsi="仿宋" w:eastAsia="仿宋_GB2312"/>
          <w:b/>
          <w:sz w:val="32"/>
          <w:szCs w:val="32"/>
        </w:rPr>
        <w:t>. 卫生健康支出（类）行政事业单位医疗（款）</w:t>
      </w:r>
      <w:r>
        <w:rPr>
          <w:rFonts w:hint="eastAsia" w:ascii="仿宋_GB2312" w:hAnsi="仿宋" w:eastAsia="仿宋_GB2312"/>
          <w:b/>
          <w:sz w:val="32"/>
          <w:szCs w:val="32"/>
          <w:lang w:val="en-US" w:eastAsia="zh-CN"/>
        </w:rPr>
        <w:t>其他</w:t>
      </w:r>
      <w:r>
        <w:rPr>
          <w:rFonts w:hint="eastAsia" w:ascii="仿宋_GB2312" w:hAnsi="仿宋" w:eastAsia="仿宋_GB2312"/>
          <w:b/>
          <w:sz w:val="32"/>
          <w:szCs w:val="32"/>
        </w:rPr>
        <w:t>行政事业单位医疗</w:t>
      </w:r>
      <w:r>
        <w:rPr>
          <w:rFonts w:hint="eastAsia" w:ascii="仿宋_GB2312" w:hAnsi="仿宋" w:eastAsia="仿宋_GB2312"/>
          <w:b/>
          <w:sz w:val="32"/>
          <w:szCs w:val="32"/>
          <w:lang w:val="en-US" w:eastAsia="zh-CN"/>
        </w:rPr>
        <w:t>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0.68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增加0.68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增加100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新增其他</w:t>
      </w:r>
      <w:r>
        <w:rPr>
          <w:rFonts w:hint="eastAsia" w:ascii="仿宋_GB2312" w:hAnsi="仿宋" w:eastAsia="仿宋_GB2312"/>
          <w:sz w:val="32"/>
          <w:szCs w:val="32"/>
        </w:rPr>
        <w:t>行政事业单位医疗</w:t>
      </w:r>
      <w:r>
        <w:rPr>
          <w:rFonts w:hint="eastAsia" w:ascii="仿宋_GB2312" w:hAnsi="仿宋" w:eastAsia="仿宋_GB2312"/>
          <w:sz w:val="32"/>
          <w:szCs w:val="32"/>
          <w:lang w:val="en-US" w:eastAsia="zh-CN"/>
        </w:rPr>
        <w:t>支出</w:t>
      </w:r>
      <w:r>
        <w:rPr>
          <w:rFonts w:hint="eastAsia" w:ascii="仿宋_GB2312" w:hAnsi="仿宋" w:eastAsia="仿宋_GB2312"/>
          <w:sz w:val="32"/>
          <w:szCs w:val="32"/>
          <w:lang w:val="en-US" w:eastAsia="zh-CN"/>
        </w:rPr>
        <w:t>。</w:t>
      </w:r>
    </w:p>
    <w:p>
      <w:pPr>
        <w:ind w:firstLine="627" w:firstLineChars="196"/>
        <w:rPr>
          <w:rFonts w:ascii="仿宋_GB2312" w:hAnsi="仿宋" w:eastAsia="仿宋_GB2312"/>
          <w:sz w:val="32"/>
          <w:szCs w:val="32"/>
        </w:rPr>
      </w:pPr>
      <w:r>
        <w:rPr>
          <w:rFonts w:hint="eastAsia" w:ascii="仿宋_GB2312" w:hAnsi="仿宋" w:eastAsia="仿宋_GB2312"/>
          <w:b/>
          <w:sz w:val="32"/>
          <w:szCs w:val="32"/>
          <w:lang w:val="en-US" w:eastAsia="zh-CN"/>
        </w:rPr>
        <w:t>23</w:t>
      </w:r>
      <w:r>
        <w:rPr>
          <w:rFonts w:hint="eastAsia" w:ascii="仿宋_GB2312" w:hAnsi="仿宋" w:eastAsia="仿宋_GB2312"/>
          <w:b/>
          <w:sz w:val="32"/>
          <w:szCs w:val="32"/>
        </w:rPr>
        <w:t>. 住房保障支出（类）住房改革支出（款）住房公积金（项）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116.04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增加50.38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增加76.73</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调整预算功能科目</w:t>
      </w:r>
      <w:r>
        <w:rPr>
          <w:rFonts w:hint="eastAsia" w:ascii="仿宋_GB2312" w:hAnsi="仿宋" w:eastAsia="仿宋_GB2312"/>
          <w:sz w:val="32"/>
          <w:szCs w:val="32"/>
        </w:rPr>
        <w:t>。</w:t>
      </w:r>
    </w:p>
    <w:p>
      <w:pPr>
        <w:ind w:firstLine="627" w:firstLineChars="196"/>
        <w:rPr>
          <w:rFonts w:ascii="仿宋_GB2312" w:hAnsi="仿宋" w:eastAsia="仿宋_GB2312"/>
          <w:sz w:val="32"/>
          <w:szCs w:val="32"/>
        </w:rPr>
      </w:pPr>
      <w:r>
        <w:rPr>
          <w:rFonts w:hint="eastAsia" w:ascii="仿宋_GB2312" w:hAnsi="仿宋" w:eastAsia="仿宋_GB2312"/>
          <w:b/>
          <w:sz w:val="32"/>
          <w:szCs w:val="32"/>
          <w:lang w:val="en-US" w:eastAsia="zh-CN"/>
        </w:rPr>
        <w:t>24</w:t>
      </w:r>
      <w:r>
        <w:rPr>
          <w:rFonts w:hint="eastAsia" w:ascii="仿宋_GB2312" w:hAnsi="仿宋" w:eastAsia="仿宋_GB2312"/>
          <w:b/>
          <w:sz w:val="32"/>
          <w:szCs w:val="32"/>
        </w:rPr>
        <w:t>. 住房保障支出（类）住房改革支出（款）购房补贴（项）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23.39</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减少3.97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减少14.51</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人员的变化</w:t>
      </w:r>
      <w:r>
        <w:rPr>
          <w:rFonts w:hint="eastAsia" w:ascii="仿宋_GB2312" w:hAnsi="仿宋" w:eastAsia="仿宋_GB2312"/>
          <w:sz w:val="32"/>
          <w:szCs w:val="32"/>
        </w:rPr>
        <w:t>。</w:t>
      </w:r>
    </w:p>
    <w:p>
      <w:pPr>
        <w:pStyle w:val="6"/>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六、关于202</w:t>
      </w:r>
      <w:r>
        <w:rPr>
          <w:rFonts w:hint="eastAsia" w:ascii="黑体" w:hAnsi="仿宋" w:eastAsia="黑体" w:cs="Times New Roman"/>
          <w:color w:val="000000"/>
          <w:kern w:val="2"/>
          <w:sz w:val="32"/>
          <w:szCs w:val="32"/>
          <w:lang w:val="en-US" w:eastAsia="zh-CN"/>
        </w:rPr>
        <w:t>3</w:t>
      </w:r>
      <w:r>
        <w:rPr>
          <w:rFonts w:hint="eastAsia" w:ascii="黑体" w:hAnsi="仿宋" w:eastAsia="黑体" w:cs="Times New Roman"/>
          <w:color w:val="000000"/>
          <w:kern w:val="2"/>
          <w:sz w:val="32"/>
          <w:szCs w:val="32"/>
        </w:rPr>
        <w:t>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相山区教育局</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36225.86</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36205.96</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19.9</w:t>
      </w:r>
      <w:r>
        <w:rPr>
          <w:rFonts w:hint="eastAsia" w:ascii="仿宋_GB2312" w:hAnsi="仿宋" w:eastAsia="仿宋_GB2312"/>
          <w:sz w:val="32"/>
          <w:szCs w:val="32"/>
        </w:rPr>
        <w:t>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36205.96</w:t>
      </w:r>
      <w:r>
        <w:rPr>
          <w:rFonts w:hint="eastAsia" w:ascii="仿宋_GB2312" w:hAnsi="仿宋" w:eastAsia="仿宋_GB2312"/>
          <w:sz w:val="32"/>
          <w:szCs w:val="32"/>
        </w:rPr>
        <w:t>万元，主要包括:基本工资、津贴补贴、奖金、伙食补助费、绩效工资、机关事业单位基本养老保险费、职业年金缴费、职工基本医疗保险缴费、公务员医疗补助缴费、其他社会保障缴费、住房公积金、其他工资福利支出、离休费、生活补助、医疗费补助、对其他个人和家庭的补助支出等。</w:t>
      </w:r>
    </w:p>
    <w:p>
      <w:pPr>
        <w:ind w:firstLine="640" w:firstLineChars="200"/>
        <w:rPr>
          <w:rFonts w:ascii="仿宋_GB2312" w:hAnsi="仿宋" w:eastAsia="仿宋_GB2312"/>
          <w:sz w:val="32"/>
          <w:szCs w:val="32"/>
        </w:rPr>
      </w:pPr>
      <w:r>
        <w:rPr>
          <w:rFonts w:hint="eastAsia" w:ascii="仿宋_GB2312" w:hAnsi="仿宋" w:eastAsia="仿宋_GB2312"/>
          <w:sz w:val="32"/>
          <w:szCs w:val="32"/>
        </w:rPr>
        <w:t>（二）公用经费</w:t>
      </w:r>
      <w:r>
        <w:rPr>
          <w:rFonts w:hint="eastAsia" w:ascii="仿宋_GB2312" w:hAnsi="仿宋" w:eastAsia="仿宋_GB2312"/>
          <w:sz w:val="32"/>
          <w:szCs w:val="32"/>
          <w:lang w:val="en-US" w:eastAsia="zh-CN"/>
        </w:rPr>
        <w:t>19.9</w:t>
      </w:r>
      <w:r>
        <w:rPr>
          <w:rFonts w:hint="eastAsia" w:ascii="仿宋_GB2312" w:hAnsi="仿宋" w:eastAsia="仿宋_GB2312"/>
          <w:sz w:val="32"/>
          <w:szCs w:val="32"/>
        </w:rPr>
        <w:t>万元，主要包括：培训费、工会经费、福利费、其他商品服务支出等。</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w:t>
      </w:r>
      <w:r>
        <w:rPr>
          <w:rFonts w:hint="eastAsia" w:ascii="黑体" w:hAnsi="仿宋" w:eastAsia="黑体"/>
          <w:sz w:val="32"/>
          <w:szCs w:val="32"/>
          <w:lang w:val="en-US" w:eastAsia="zh-CN"/>
        </w:rPr>
        <w:t>3</w:t>
      </w:r>
      <w:r>
        <w:rPr>
          <w:rFonts w:hint="eastAsia" w:ascii="黑体" w:hAnsi="仿宋" w:eastAsia="黑体"/>
          <w:sz w:val="32"/>
          <w:szCs w:val="32"/>
        </w:rPr>
        <w:t>年政府性基金预算支出表的说明</w:t>
      </w:r>
    </w:p>
    <w:p>
      <w:pPr>
        <w:pStyle w:val="6"/>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相山区教育局</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w:t>
      </w:r>
      <w:r>
        <w:rPr>
          <w:rFonts w:hint="eastAsia" w:ascii="黑体" w:hAnsi="仿宋" w:eastAsia="黑体"/>
          <w:sz w:val="32"/>
          <w:szCs w:val="32"/>
          <w:lang w:val="en-US" w:eastAsia="zh-CN"/>
        </w:rPr>
        <w:t>3</w:t>
      </w:r>
      <w:r>
        <w:rPr>
          <w:rFonts w:hint="eastAsia" w:ascii="黑体" w:hAnsi="仿宋" w:eastAsia="黑体"/>
          <w:sz w:val="32"/>
          <w:szCs w:val="32"/>
        </w:rPr>
        <w:t>年国有资本经营预算支出表的说明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相山区教育局</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年没有国有资本经营预算拨款收入，也没有使用国有资本经营预算拨款安排的支出。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w:t>
      </w:r>
      <w:r>
        <w:rPr>
          <w:rFonts w:hint="eastAsia" w:ascii="黑体" w:hAnsi="仿宋" w:eastAsia="黑体"/>
          <w:sz w:val="32"/>
          <w:szCs w:val="32"/>
          <w:lang w:val="en-US" w:eastAsia="zh-CN"/>
        </w:rPr>
        <w:t>3</w:t>
      </w:r>
      <w:r>
        <w:rPr>
          <w:rFonts w:hint="eastAsia" w:ascii="黑体" w:hAnsi="仿宋" w:eastAsia="黑体"/>
          <w:sz w:val="32"/>
          <w:szCs w:val="32"/>
        </w:rPr>
        <w:t>年项目支出表的说明</w:t>
      </w:r>
    </w:p>
    <w:p>
      <w:pPr>
        <w:numPr>
          <w:ilvl w:val="0"/>
          <w:numId w:val="2"/>
        </w:numPr>
        <w:adjustRightInd w:val="0"/>
        <w:snapToGrid w:val="0"/>
        <w:spacing w:line="60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相山区教育局</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3739.5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减少540.48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减少12.63</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5G+智慧课堂项目、近视眼防控、双减保障等项目预算资金的减少。主要</w:t>
      </w:r>
      <w:r>
        <w:rPr>
          <w:rFonts w:hint="eastAsia" w:ascii="仿宋_GB2312" w:hAnsi="仿宋" w:eastAsia="仿宋_GB2312"/>
          <w:sz w:val="32"/>
          <w:szCs w:val="32"/>
        </w:rPr>
        <w:t>包括：本年财政拨款安排</w:t>
      </w:r>
      <w:r>
        <w:rPr>
          <w:rFonts w:hint="eastAsia" w:ascii="仿宋_GB2312" w:hAnsi="仿宋" w:eastAsia="仿宋_GB2312"/>
          <w:sz w:val="32"/>
          <w:szCs w:val="32"/>
          <w:lang w:val="en-US" w:eastAsia="zh-CN"/>
        </w:rPr>
        <w:t>3739.5</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2598.5</w:t>
      </w:r>
      <w:r>
        <w:rPr>
          <w:rFonts w:hint="eastAsia" w:ascii="仿宋_GB2312" w:hAnsi="仿宋" w:eastAsia="仿宋_GB2312"/>
          <w:sz w:val="32"/>
          <w:szCs w:val="32"/>
        </w:rPr>
        <w:t>万元，政府性基金预算拨款安排0万元，国有资本经营预算拨款安排0万元），财政拨款结转结余安排 0万元（其中，一般公共预算拨款安排0万元，政府性基金预算拨款安排0万元，国有资本经营预算拨款安排0万元）、财政专户管理资金安排</w:t>
      </w:r>
      <w:r>
        <w:rPr>
          <w:rFonts w:hint="eastAsia" w:ascii="仿宋_GB2312" w:hAnsi="仿宋" w:eastAsia="仿宋_GB2312"/>
          <w:sz w:val="32"/>
          <w:szCs w:val="32"/>
          <w:lang w:val="en-US" w:eastAsia="zh-CN"/>
        </w:rPr>
        <w:t>1141</w:t>
      </w:r>
      <w:r>
        <w:rPr>
          <w:rFonts w:hint="eastAsia" w:ascii="仿宋_GB2312" w:hAnsi="仿宋" w:eastAsia="仿宋_GB2312"/>
          <w:sz w:val="32"/>
          <w:szCs w:val="32"/>
        </w:rPr>
        <w:t>万元和</w:t>
      </w:r>
      <w:r>
        <w:rPr>
          <w:rFonts w:hint="eastAsia" w:ascii="仿宋_GB2312" w:hAnsi="仿宋" w:eastAsia="仿宋_GB2312"/>
          <w:sz w:val="32"/>
          <w:szCs w:val="32"/>
          <w:lang w:val="en-US" w:eastAsia="zh-CN"/>
        </w:rPr>
        <w:t>其他</w:t>
      </w:r>
      <w:r>
        <w:rPr>
          <w:rFonts w:hint="eastAsia" w:ascii="仿宋_GB2312" w:hAnsi="仿宋" w:eastAsia="仿宋_GB2312"/>
          <w:sz w:val="32"/>
          <w:szCs w:val="32"/>
        </w:rPr>
        <w:t>资金安排0万元。</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w:t>
      </w:r>
      <w:r>
        <w:rPr>
          <w:rFonts w:hint="eastAsia" w:ascii="黑体" w:hAnsi="仿宋" w:eastAsia="黑体"/>
          <w:sz w:val="32"/>
          <w:szCs w:val="32"/>
          <w:lang w:val="en-US" w:eastAsia="zh-CN"/>
        </w:rPr>
        <w:t>3</w:t>
      </w:r>
      <w:r>
        <w:rPr>
          <w:rFonts w:hint="eastAsia" w:ascii="黑体" w:hAnsi="仿宋" w:eastAsia="黑体"/>
          <w:sz w:val="32"/>
          <w:szCs w:val="32"/>
        </w:rPr>
        <w:t>年政府采购支出表的说明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val="en-US" w:eastAsia="zh-CN"/>
        </w:rPr>
        <w:t>相山区教育局</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年预算安排政府采购支出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与</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持平</w:t>
      </w:r>
      <w:r>
        <w:rPr>
          <w:rFonts w:hint="eastAsia" w:ascii="仿宋_GB2312" w:hAnsi="仿宋" w:eastAsia="仿宋_GB2312"/>
          <w:sz w:val="32"/>
          <w:szCs w:val="32"/>
        </w:rPr>
        <w:t>。其中，一般公共预算安排0万元，占0%；政府性基金预算安排0万元，占0%；国有资本经营预算安排0万元，占0%；财政专户管理资金安排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仿宋" w:eastAsia="仿宋_GB2312"/>
          <w:sz w:val="32"/>
          <w:szCs w:val="32"/>
          <w:lang w:val="en-US" w:eastAsia="zh-CN"/>
        </w:rPr>
        <w:t>其他</w:t>
      </w:r>
      <w:r>
        <w:rPr>
          <w:rFonts w:hint="eastAsia" w:ascii="仿宋_GB2312" w:hAnsi="仿宋" w:eastAsia="仿宋_GB2312"/>
          <w:sz w:val="32"/>
          <w:szCs w:val="32"/>
        </w:rPr>
        <w:t>资金安排0万元，占0%。</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w:t>
      </w:r>
      <w:r>
        <w:rPr>
          <w:rFonts w:hint="eastAsia" w:ascii="黑体" w:hAnsi="仿宋" w:eastAsia="黑体"/>
          <w:sz w:val="32"/>
          <w:szCs w:val="32"/>
          <w:lang w:val="en-US" w:eastAsia="zh-CN"/>
        </w:rPr>
        <w:t>3</w:t>
      </w:r>
      <w:r>
        <w:rPr>
          <w:rFonts w:hint="eastAsia" w:ascii="黑体" w:hAnsi="仿宋" w:eastAsia="黑体"/>
          <w:sz w:val="32"/>
          <w:szCs w:val="32"/>
        </w:rPr>
        <w:t>年政府购买服务支出表的说明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val="en-US" w:eastAsia="zh-CN"/>
        </w:rPr>
        <w:t>相山区教育局</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widowControl/>
        <w:shd w:val="clear" w:color="auto" w:fill="FFFFFF"/>
        <w:spacing w:line="600" w:lineRule="atLeast"/>
        <w:ind w:firstLine="753"/>
        <w:rPr>
          <w:rFonts w:hint="eastAsia" w:ascii="宋体" w:hAnsi="宋体" w:cs="宋体"/>
          <w:color w:val="333333"/>
          <w:sz w:val="24"/>
        </w:rPr>
      </w:pPr>
      <w:r>
        <w:rPr>
          <w:rFonts w:hint="eastAsia" w:ascii="仿宋_GB2312" w:hAnsi="宋体" w:eastAsia="仿宋_GB2312" w:cs="仿宋_GB2312"/>
          <w:b/>
          <w:bCs/>
          <w:color w:val="333333"/>
          <w:kern w:val="0"/>
          <w:sz w:val="30"/>
          <w:szCs w:val="30"/>
          <w:shd w:val="clear" w:color="auto" w:fill="FFFFFF"/>
          <w:lang w:bidi="ar"/>
        </w:rPr>
        <w:t>1</w:t>
      </w:r>
      <w:r>
        <w:rPr>
          <w:rFonts w:ascii="仿宋_GB2312" w:hAnsi="宋体" w:eastAsia="仿宋_GB2312" w:cs="仿宋_GB2312"/>
          <w:b/>
          <w:bCs/>
          <w:color w:val="333333"/>
          <w:kern w:val="0"/>
          <w:sz w:val="30"/>
          <w:szCs w:val="30"/>
          <w:shd w:val="clear" w:color="auto" w:fill="FFFFFF"/>
          <w:lang w:bidi="ar"/>
        </w:rPr>
        <w:t>.“</w:t>
      </w:r>
      <w:r>
        <w:rPr>
          <w:rFonts w:hint="eastAsia" w:ascii="仿宋_GB2312" w:hAnsi="宋体" w:eastAsia="仿宋_GB2312" w:cs="仿宋_GB2312"/>
          <w:b/>
          <w:bCs/>
          <w:color w:val="333333"/>
          <w:kern w:val="0"/>
          <w:sz w:val="30"/>
          <w:szCs w:val="30"/>
          <w:shd w:val="clear" w:color="auto" w:fill="FFFFFF"/>
          <w:lang w:val="en-US" w:eastAsia="zh-CN" w:bidi="ar"/>
        </w:rPr>
        <w:t>工资、津贴、补贴资金</w:t>
      </w:r>
      <w:r>
        <w:rPr>
          <w:rFonts w:ascii="仿宋_GB2312" w:hAnsi="宋体" w:eastAsia="仿宋_GB2312" w:cs="仿宋_GB2312"/>
          <w:b/>
          <w:bCs/>
          <w:color w:val="333333"/>
          <w:kern w:val="0"/>
          <w:sz w:val="30"/>
          <w:szCs w:val="30"/>
          <w:shd w:val="clear" w:color="auto" w:fill="FFFFFF"/>
          <w:lang w:bidi="ar"/>
        </w:rPr>
        <w:t>”项目</w:t>
      </w:r>
      <w:r>
        <w:rPr>
          <w:rFonts w:hint="eastAsia" w:ascii="仿宋_GB2312" w:hAnsi="宋体" w:eastAsia="仿宋_GB2312" w:cs="仿宋_GB2312"/>
          <w:b/>
          <w:bCs/>
          <w:color w:val="333333"/>
          <w:kern w:val="0"/>
          <w:sz w:val="30"/>
          <w:szCs w:val="30"/>
          <w:shd w:val="clear" w:color="auto" w:fill="FFFFFF"/>
          <w:lang w:eastAsia="zh-CN" w:bidi="ar"/>
        </w:rPr>
        <w:t>（</w:t>
      </w:r>
      <w:r>
        <w:rPr>
          <w:rFonts w:hint="eastAsia" w:ascii="仿宋_GB2312" w:hAnsi="宋体" w:eastAsia="仿宋_GB2312" w:cs="仿宋_GB2312"/>
          <w:b/>
          <w:bCs/>
          <w:color w:val="333333"/>
          <w:kern w:val="0"/>
          <w:sz w:val="30"/>
          <w:szCs w:val="30"/>
          <w:shd w:val="clear" w:color="auto" w:fill="FFFFFF"/>
          <w:lang w:val="en-US" w:eastAsia="zh-CN" w:bidi="ar"/>
        </w:rPr>
        <w:t>夕阳红工资</w:t>
      </w:r>
      <w:r>
        <w:rPr>
          <w:rFonts w:hint="eastAsia" w:ascii="仿宋_GB2312" w:hAnsi="宋体" w:eastAsia="仿宋_GB2312" w:cs="仿宋_GB2312"/>
          <w:b/>
          <w:bCs/>
          <w:color w:val="333333"/>
          <w:kern w:val="0"/>
          <w:sz w:val="30"/>
          <w:szCs w:val="30"/>
          <w:shd w:val="clear" w:color="auto" w:fill="FFFFFF"/>
          <w:lang w:eastAsia="zh-CN" w:bidi="ar"/>
        </w:rPr>
        <w:t>）</w:t>
      </w:r>
      <w:r>
        <w:rPr>
          <w:rFonts w:ascii="仿宋_GB2312" w:hAnsi="宋体" w:eastAsia="仿宋_GB2312" w:cs="仿宋_GB2312"/>
          <w:b/>
          <w:bCs/>
          <w:color w:val="333333"/>
          <w:kern w:val="0"/>
          <w:sz w:val="30"/>
          <w:szCs w:val="30"/>
          <w:shd w:val="clear" w:color="auto" w:fill="FFFFFF"/>
          <w:lang w:bidi="ar"/>
        </w:rPr>
        <w:t>。</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1）项目概述：鉴于我区教师编制有限，每年招录教师无法满足实际教学需求，根据市有关文件精神，计划启动“夕阳红”支教计划，每年招募一批城镇退休教村学校支教。招聘退休教师年龄在65岁以下，具有小学高级及以上教师资格，每月补助1700元，资金由区财政统筹。</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（2）立项依据：2016年第18次区长办公会议纪要；《相山区实施“夕阳红”计划工作方案》</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（3）起止时间：202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4）项目内容：根据《淮北市乡村教师支持计划实施办法》淮政办[2016]16号文件第十一条规定：启动实施“夕阳红”支教计划，每年招募一批城镇退休的特级教师、高级教师到乡村学校支教，所需费用由政府负担。此计划的启动，可以在很大程度上缓解教师的紧缺问题。</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（5）年度预算安排：</w:t>
      </w:r>
      <w:r>
        <w:rPr>
          <w:rFonts w:hint="eastAsia" w:ascii="仿宋_GB2312" w:hAnsi="宋体" w:eastAsia="仿宋_GB2312" w:cs="仿宋_GB2312"/>
          <w:color w:val="333333"/>
          <w:kern w:val="0"/>
          <w:sz w:val="30"/>
          <w:szCs w:val="30"/>
          <w:shd w:val="clear" w:color="auto" w:fill="FFFFFF"/>
          <w:lang w:val="en-US" w:eastAsia="zh-CN" w:bidi="ar"/>
        </w:rPr>
        <w:t>469.2</w:t>
      </w:r>
      <w:r>
        <w:rPr>
          <w:rFonts w:hint="eastAsia" w:ascii="仿宋_GB2312" w:hAnsi="宋体" w:eastAsia="仿宋_GB2312" w:cs="仿宋_GB2312"/>
          <w:color w:val="333333"/>
          <w:kern w:val="0"/>
          <w:sz w:val="30"/>
          <w:szCs w:val="30"/>
          <w:shd w:val="clear" w:color="auto" w:fill="FFFFFF"/>
          <w:lang w:bidi="ar"/>
        </w:rPr>
        <w:t>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）绩效目标：合理保证教育教学工作顺利完成，促进淮北教育高质量发展。</w:t>
      </w:r>
    </w:p>
    <w:tbl>
      <w:tblPr>
        <w:tblStyle w:val="7"/>
        <w:tblW w:w="9020" w:type="dxa"/>
        <w:tblInd w:w="93" w:type="dxa"/>
        <w:tblLayout w:type="fixed"/>
        <w:tblCellMar>
          <w:top w:w="0" w:type="dxa"/>
          <w:left w:w="108" w:type="dxa"/>
          <w:bottom w:w="0" w:type="dxa"/>
          <w:right w:w="108" w:type="dxa"/>
        </w:tblCellMar>
      </w:tblPr>
      <w:tblGrid>
        <w:gridCol w:w="1681"/>
        <w:gridCol w:w="917"/>
        <w:gridCol w:w="917"/>
        <w:gridCol w:w="918"/>
        <w:gridCol w:w="917"/>
        <w:gridCol w:w="917"/>
        <w:gridCol w:w="917"/>
        <w:gridCol w:w="918"/>
        <w:gridCol w:w="918"/>
      </w:tblGrid>
      <w:tr>
        <w:tblPrEx>
          <w:tblCellMar>
            <w:top w:w="0" w:type="dxa"/>
            <w:left w:w="108" w:type="dxa"/>
            <w:bottom w:w="0" w:type="dxa"/>
            <w:right w:w="108" w:type="dxa"/>
          </w:tblCellMar>
        </w:tblPrEx>
        <w:trPr>
          <w:trHeight w:val="360" w:hRule="atLeast"/>
        </w:trPr>
        <w:tc>
          <w:tcPr>
            <w:tcW w:w="90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cs="宋体"/>
                <w:b/>
                <w:bCs/>
                <w:sz w:val="32"/>
                <w:szCs w:val="32"/>
              </w:rPr>
            </w:pPr>
            <w:r>
              <w:rPr>
                <w:rFonts w:hint="eastAsia" w:ascii="宋体" w:hAnsi="宋体" w:eastAsia="宋体" w:cs="宋体"/>
                <w:b/>
                <w:bCs/>
                <w:i w:val="0"/>
                <w:iCs w:val="0"/>
                <w:color w:val="000000"/>
                <w:kern w:val="0"/>
                <w:sz w:val="28"/>
                <w:szCs w:val="28"/>
                <w:u w:val="none"/>
                <w:lang w:val="en-US" w:eastAsia="zh-CN" w:bidi="ar"/>
              </w:rPr>
              <w:t>项目支出绩效目标申报表</w:t>
            </w:r>
          </w:p>
        </w:tc>
      </w:tr>
      <w:tr>
        <w:tblPrEx>
          <w:tblCellMar>
            <w:top w:w="0" w:type="dxa"/>
            <w:left w:w="108" w:type="dxa"/>
            <w:bottom w:w="0" w:type="dxa"/>
            <w:right w:w="108" w:type="dxa"/>
          </w:tblCellMar>
        </w:tblPrEx>
        <w:trPr>
          <w:trHeight w:val="270" w:hRule="atLeast"/>
        </w:trPr>
        <w:tc>
          <w:tcPr>
            <w:tcW w:w="90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 202</w:t>
            </w:r>
            <w:r>
              <w:rPr>
                <w:rStyle w:val="12"/>
                <w:rFonts w:hint="eastAsia"/>
                <w:lang w:val="en-US" w:eastAsia="zh-CN" w:bidi="ar"/>
              </w:rPr>
              <w:t>3</w:t>
            </w:r>
            <w:r>
              <w:rPr>
                <w:rStyle w:val="12"/>
                <w:lang w:val="en-US" w:eastAsia="zh-CN" w:bidi="ar"/>
              </w:rPr>
              <w:t xml:space="preserve"> 年度 ）</w:t>
            </w:r>
          </w:p>
        </w:tc>
      </w:tr>
      <w:tr>
        <w:tblPrEx>
          <w:tblCellMar>
            <w:top w:w="0" w:type="dxa"/>
            <w:left w:w="108" w:type="dxa"/>
            <w:bottom w:w="0" w:type="dxa"/>
            <w:right w:w="108" w:type="dxa"/>
          </w:tblCellMar>
        </w:tblPrEx>
        <w:trPr>
          <w:trHeight w:val="330" w:hRule="atLeast"/>
        </w:trPr>
        <w:tc>
          <w:tcPr>
            <w:tcW w:w="902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color w:val="000000"/>
                <w:sz w:val="20"/>
                <w:szCs w:val="20"/>
                <w:lang w:val="en-US"/>
              </w:rPr>
            </w:pPr>
            <w:r>
              <w:rPr>
                <w:rFonts w:hint="eastAsia" w:ascii="宋体" w:hAnsi="宋体" w:eastAsia="宋体" w:cs="宋体"/>
                <w:i w:val="0"/>
                <w:iCs w:val="0"/>
                <w:color w:val="000000"/>
                <w:kern w:val="0"/>
                <w:sz w:val="22"/>
                <w:szCs w:val="22"/>
                <w:u w:val="none"/>
                <w:lang w:val="en-US" w:eastAsia="zh-CN" w:bidi="ar"/>
              </w:rPr>
              <w:t>填报单位：</w:t>
            </w:r>
            <w:r>
              <w:rPr>
                <w:rFonts w:hint="eastAsia" w:ascii="宋体" w:hAnsi="宋体" w:cs="宋体"/>
                <w:i w:val="0"/>
                <w:iCs w:val="0"/>
                <w:color w:val="000000"/>
                <w:kern w:val="0"/>
                <w:sz w:val="22"/>
                <w:szCs w:val="22"/>
                <w:u w:val="none"/>
                <w:lang w:val="en-US" w:eastAsia="zh-CN" w:bidi="ar"/>
              </w:rPr>
              <w:t>相山区教育局</w:t>
            </w:r>
          </w:p>
        </w:tc>
      </w:tr>
      <w:tr>
        <w:tblPrEx>
          <w:tblCellMar>
            <w:top w:w="0" w:type="dxa"/>
            <w:left w:w="108" w:type="dxa"/>
            <w:bottom w:w="0" w:type="dxa"/>
            <w:right w:w="108" w:type="dxa"/>
          </w:tblCellMar>
        </w:tblPrEx>
        <w:trPr>
          <w:trHeight w:val="330" w:hRule="atLeast"/>
        </w:trPr>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项目名称</w:t>
            </w:r>
          </w:p>
        </w:tc>
        <w:tc>
          <w:tcPr>
            <w:tcW w:w="275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夕阳红支教教师补助</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项目属性</w:t>
            </w:r>
          </w:p>
        </w:tc>
        <w:tc>
          <w:tcPr>
            <w:tcW w:w="27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一次性项目</w:t>
            </w:r>
          </w:p>
        </w:tc>
      </w:tr>
      <w:tr>
        <w:tblPrEx>
          <w:tblCellMar>
            <w:top w:w="0" w:type="dxa"/>
            <w:left w:w="108" w:type="dxa"/>
            <w:bottom w:w="0" w:type="dxa"/>
            <w:right w:w="108" w:type="dxa"/>
          </w:tblCellMar>
        </w:tblPrEx>
        <w:trPr>
          <w:trHeight w:val="330" w:hRule="atLeast"/>
        </w:trPr>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主管部门</w:t>
            </w:r>
          </w:p>
        </w:tc>
        <w:tc>
          <w:tcPr>
            <w:tcW w:w="275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相山区教育局</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功能科目</w:t>
            </w:r>
          </w:p>
        </w:tc>
        <w:tc>
          <w:tcPr>
            <w:tcW w:w="27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其他普通教育支出</w:t>
            </w:r>
          </w:p>
        </w:tc>
      </w:tr>
      <w:tr>
        <w:tblPrEx>
          <w:tblCellMar>
            <w:top w:w="0" w:type="dxa"/>
            <w:left w:w="108" w:type="dxa"/>
            <w:bottom w:w="0" w:type="dxa"/>
            <w:right w:w="108" w:type="dxa"/>
          </w:tblCellMar>
        </w:tblPrEx>
        <w:trPr>
          <w:trHeight w:val="330" w:hRule="atLeast"/>
        </w:trPr>
        <w:tc>
          <w:tcPr>
            <w:tcW w:w="168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项目起止时间</w:t>
            </w:r>
          </w:p>
        </w:tc>
        <w:tc>
          <w:tcPr>
            <w:tcW w:w="27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202</w:t>
            </w:r>
            <w:r>
              <w:rPr>
                <w:rStyle w:val="12"/>
                <w:rFonts w:hint="eastAsia"/>
                <w:lang w:val="en-US" w:eastAsia="zh-CN" w:bidi="ar"/>
              </w:rPr>
              <w:t>3</w:t>
            </w:r>
            <w:r>
              <w:rPr>
                <w:rStyle w:val="12"/>
                <w:lang w:val="en-US" w:eastAsia="zh-CN" w:bidi="ar"/>
              </w:rPr>
              <w:t>.01—202</w:t>
            </w:r>
            <w:r>
              <w:rPr>
                <w:rStyle w:val="12"/>
                <w:rFonts w:hint="eastAsia"/>
                <w:lang w:val="en-US" w:eastAsia="zh-CN" w:bidi="ar"/>
              </w:rPr>
              <w:t>3</w:t>
            </w:r>
            <w:r>
              <w:rPr>
                <w:rStyle w:val="12"/>
                <w:lang w:val="en-US" w:eastAsia="zh-CN" w:bidi="ar"/>
              </w:rPr>
              <w:t>.12</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项目资金属性</w:t>
            </w:r>
          </w:p>
        </w:tc>
        <w:tc>
          <w:tcPr>
            <w:tcW w:w="27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一般预算</w:t>
            </w:r>
          </w:p>
        </w:tc>
      </w:tr>
      <w:tr>
        <w:tblPrEx>
          <w:tblCellMar>
            <w:top w:w="0" w:type="dxa"/>
            <w:left w:w="108" w:type="dxa"/>
            <w:bottom w:w="0" w:type="dxa"/>
            <w:right w:w="108" w:type="dxa"/>
          </w:tblCellMar>
        </w:tblPrEx>
        <w:trPr>
          <w:trHeight w:val="330" w:hRule="atLeast"/>
        </w:trPr>
        <w:tc>
          <w:tcPr>
            <w:tcW w:w="1681"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项目分类</w:t>
            </w:r>
          </w:p>
        </w:tc>
        <w:tc>
          <w:tcPr>
            <w:tcW w:w="27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补贴补助类</w:t>
            </w:r>
          </w:p>
        </w:tc>
        <w:tc>
          <w:tcPr>
            <w:tcW w:w="18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项目级次</w:t>
            </w:r>
          </w:p>
        </w:tc>
        <w:tc>
          <w:tcPr>
            <w:tcW w:w="27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本级支出</w:t>
            </w:r>
          </w:p>
        </w:tc>
      </w:tr>
      <w:tr>
        <w:tblPrEx>
          <w:tblCellMar>
            <w:top w:w="0" w:type="dxa"/>
            <w:left w:w="108" w:type="dxa"/>
            <w:bottom w:w="0" w:type="dxa"/>
            <w:right w:w="108" w:type="dxa"/>
          </w:tblCellMar>
        </w:tblPrEx>
        <w:trPr>
          <w:trHeight w:val="330" w:hRule="atLeast"/>
        </w:trPr>
        <w:tc>
          <w:tcPr>
            <w:tcW w:w="1681"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项目实施单位</w:t>
            </w:r>
          </w:p>
        </w:tc>
        <w:tc>
          <w:tcPr>
            <w:tcW w:w="27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相山区教育局</w:t>
            </w:r>
          </w:p>
        </w:tc>
        <w:tc>
          <w:tcPr>
            <w:tcW w:w="183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项目负责人</w:t>
            </w:r>
          </w:p>
        </w:tc>
        <w:tc>
          <w:tcPr>
            <w:tcW w:w="27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孙刚</w:t>
            </w:r>
          </w:p>
        </w:tc>
      </w:tr>
      <w:tr>
        <w:tblPrEx>
          <w:tblCellMar>
            <w:top w:w="0" w:type="dxa"/>
            <w:left w:w="108" w:type="dxa"/>
            <w:bottom w:w="0" w:type="dxa"/>
            <w:right w:w="108" w:type="dxa"/>
          </w:tblCellMar>
        </w:tblPrEx>
        <w:trPr>
          <w:trHeight w:val="330" w:hRule="atLeast"/>
        </w:trPr>
        <w:tc>
          <w:tcPr>
            <w:tcW w:w="168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联系电话</w:t>
            </w:r>
          </w:p>
        </w:tc>
        <w:tc>
          <w:tcPr>
            <w:tcW w:w="2752" w:type="dxa"/>
            <w:gridSpan w:val="3"/>
            <w:tcBorders>
              <w:top w:val="single" w:color="auto" w:sz="4" w:space="0"/>
              <w:left w:val="nil"/>
              <w:bottom w:val="single" w:color="auto" w:sz="4" w:space="0"/>
              <w:right w:val="nil"/>
            </w:tcBorders>
            <w:shd w:val="clear" w:color="auto" w:fill="auto"/>
            <w:vAlign w:val="center"/>
          </w:tcPr>
          <w:p>
            <w:pPr>
              <w:jc w:val="both"/>
              <w:rPr>
                <w:rFonts w:ascii="宋体" w:hAnsi="宋体" w:cs="宋体"/>
                <w:sz w:val="20"/>
                <w:szCs w:val="20"/>
              </w:rPr>
            </w:pPr>
          </w:p>
        </w:tc>
        <w:tc>
          <w:tcPr>
            <w:tcW w:w="1834" w:type="dxa"/>
            <w:gridSpan w:val="2"/>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项目实施时限</w:t>
            </w:r>
          </w:p>
        </w:tc>
        <w:tc>
          <w:tcPr>
            <w:tcW w:w="275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202</w:t>
            </w:r>
            <w:r>
              <w:rPr>
                <w:rStyle w:val="12"/>
                <w:lang w:val="en-US" w:eastAsia="zh-CN" w:bidi="ar"/>
              </w:rPr>
              <w:t>2.01—2022.12</w:t>
            </w:r>
          </w:p>
        </w:tc>
      </w:tr>
      <w:tr>
        <w:tblPrEx>
          <w:tblCellMar>
            <w:top w:w="0" w:type="dxa"/>
            <w:left w:w="108" w:type="dxa"/>
            <w:bottom w:w="0" w:type="dxa"/>
            <w:right w:w="108" w:type="dxa"/>
          </w:tblCellMar>
        </w:tblPrEx>
        <w:trPr>
          <w:trHeight w:val="660" w:hRule="atLeast"/>
        </w:trPr>
        <w:tc>
          <w:tcPr>
            <w:tcW w:w="168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7339" w:type="dxa"/>
            <w:gridSpan w:val="8"/>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制定教育事业发展规划及年度工作计划，指导和宏观管理全区各级各类教育，贯彻党的教育方针，推进素质教育。组织实施各级各类学校的设置标准，指导各级各类学校教育教学改革，负责教育基本信息的统计、分析和发布。</w:t>
            </w:r>
          </w:p>
        </w:tc>
      </w:tr>
      <w:tr>
        <w:tblPrEx>
          <w:tblCellMar>
            <w:top w:w="0" w:type="dxa"/>
            <w:left w:w="108" w:type="dxa"/>
            <w:bottom w:w="0" w:type="dxa"/>
            <w:right w:w="108" w:type="dxa"/>
          </w:tblCellMar>
        </w:tblPrEx>
        <w:trPr>
          <w:trHeight w:val="830" w:hRule="atLeast"/>
        </w:trPr>
        <w:tc>
          <w:tcPr>
            <w:tcW w:w="1681"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项目概况</w:t>
            </w:r>
          </w:p>
        </w:tc>
        <w:tc>
          <w:tcPr>
            <w:tcW w:w="7339"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鉴于我区教师编制有限，每年招录教师无法满足实际教学需求，根据市有关文件精神，计划启动“夕阳红”支教计划，每年招募一批城镇退休教村学校支教。招聘退休教师年龄在65岁以下，具有小学高级及以上教师资格，每月补助1700元，资金由区财政统筹。</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项目立项依据类型</w:t>
            </w:r>
          </w:p>
        </w:tc>
        <w:tc>
          <w:tcPr>
            <w:tcW w:w="7339" w:type="dxa"/>
            <w:gridSpan w:val="8"/>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相山区实施“夕阳红”计划工作方案</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项目立项依据</w:t>
            </w:r>
          </w:p>
        </w:tc>
        <w:tc>
          <w:tcPr>
            <w:tcW w:w="7339" w:type="dxa"/>
            <w:gridSpan w:val="8"/>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2016年第18次区长办公会议纪要</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7339" w:type="dxa"/>
            <w:gridSpan w:val="8"/>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鉴于我区教师编制有限，每年招录教师无法满足实际教学需求，根据市有关文件精神，计划启动“夕阳红”支教计划，每年招募一批城镇退休教村学校支教。招聘退休教师年龄在65岁以下，具有小学高级及以上教师资格，每月补助1700元，资金由区财政统筹。</w:t>
            </w:r>
          </w:p>
        </w:tc>
      </w:tr>
      <w:tr>
        <w:tblPrEx>
          <w:tblCellMar>
            <w:top w:w="0" w:type="dxa"/>
            <w:left w:w="108" w:type="dxa"/>
            <w:bottom w:w="0" w:type="dxa"/>
            <w:right w:w="108" w:type="dxa"/>
          </w:tblCellMar>
        </w:tblPrEx>
        <w:trPr>
          <w:trHeight w:val="315" w:hRule="atLeast"/>
        </w:trPr>
        <w:tc>
          <w:tcPr>
            <w:tcW w:w="1681"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项目绩效目标概述</w:t>
            </w:r>
          </w:p>
        </w:tc>
        <w:tc>
          <w:tcPr>
            <w:tcW w:w="3669" w:type="dxa"/>
            <w:gridSpan w:val="4"/>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b/>
                <w:bCs/>
                <w:i w:val="0"/>
                <w:iCs w:val="0"/>
                <w:color w:val="000000"/>
                <w:kern w:val="0"/>
                <w:sz w:val="22"/>
                <w:szCs w:val="22"/>
                <w:u w:val="none"/>
                <w:lang w:val="en-US" w:eastAsia="zh-CN" w:bidi="ar"/>
              </w:rPr>
              <w:t>总体目标</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b/>
                <w:bCs/>
                <w:i w:val="0"/>
                <w:iCs w:val="0"/>
                <w:color w:val="000000"/>
                <w:kern w:val="0"/>
                <w:sz w:val="22"/>
                <w:szCs w:val="22"/>
                <w:u w:val="none"/>
                <w:lang w:val="en-US" w:eastAsia="zh-CN" w:bidi="ar"/>
              </w:rPr>
              <w:t>年度目标</w:t>
            </w:r>
          </w:p>
        </w:tc>
      </w:tr>
      <w:tr>
        <w:tblPrEx>
          <w:tblCellMar>
            <w:top w:w="0" w:type="dxa"/>
            <w:left w:w="108" w:type="dxa"/>
            <w:bottom w:w="0" w:type="dxa"/>
            <w:right w:w="108" w:type="dxa"/>
          </w:tblCellMar>
        </w:tblPrEx>
        <w:trPr>
          <w:trHeight w:val="315" w:hRule="atLeast"/>
        </w:trPr>
        <w:tc>
          <w:tcPr>
            <w:tcW w:w="1681"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p>
        </w:tc>
        <w:tc>
          <w:tcPr>
            <w:tcW w:w="3669" w:type="dxa"/>
            <w:gridSpan w:val="4"/>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根据《淮北市乡村教师支持计划实施办法》淮政办[2016]16号文件第十一条规定：启动实施“夕阳红”支教计划，每年招募一批城镇退休的特级教师、高级教师到乡村学校支教，所需费用由政府负担。此计划的启动，可以在很大程度上缓解教师的紧缺问题。</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根据《淮北市乡村教师支持计划实施办法》淮政办[2016]16号文件第十一条规定：启动实施“夕阳红”支教计划，每年招募一批城镇退休的特级教师、高级教师到乡村学校支教，所需费用由政府负担。此计划的启动，可以在很大程度上缓解教师的紧缺问题。</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项目完成数量</w:t>
            </w:r>
          </w:p>
        </w:tc>
        <w:tc>
          <w:tcPr>
            <w:tcW w:w="3669" w:type="dxa"/>
            <w:gridSpan w:val="4"/>
            <w:tcBorders>
              <w:top w:val="nil"/>
              <w:left w:val="single" w:color="auto" w:sz="4" w:space="0"/>
              <w:bottom w:val="single" w:color="000000" w:sz="4" w:space="0"/>
              <w:right w:val="single" w:color="auto" w:sz="4" w:space="0"/>
            </w:tcBorders>
            <w:vAlign w:val="center"/>
          </w:tcPr>
          <w:p>
            <w:pPr>
              <w:jc w:val="both"/>
              <w:rPr>
                <w:rFonts w:ascii="宋体" w:hAnsi="宋体" w:cs="宋体"/>
                <w:sz w:val="20"/>
                <w:szCs w:val="20"/>
              </w:rPr>
            </w:pPr>
          </w:p>
        </w:tc>
        <w:tc>
          <w:tcPr>
            <w:tcW w:w="3670" w:type="dxa"/>
            <w:gridSpan w:val="4"/>
            <w:tcBorders>
              <w:top w:val="nil"/>
              <w:left w:val="nil"/>
              <w:bottom w:val="single" w:color="auto" w:sz="4" w:space="0"/>
              <w:right w:val="single" w:color="auto" w:sz="4" w:space="0"/>
            </w:tcBorders>
            <w:shd w:val="clear" w:color="auto" w:fill="auto"/>
            <w:vAlign w:val="center"/>
          </w:tcPr>
          <w:p>
            <w:pPr>
              <w:jc w:val="both"/>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项目实施进度</w:t>
            </w:r>
          </w:p>
        </w:tc>
        <w:tc>
          <w:tcPr>
            <w:tcW w:w="3669" w:type="dxa"/>
            <w:gridSpan w:val="4"/>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w:t>
            </w:r>
            <w:r>
              <w:rPr>
                <w:rStyle w:val="13"/>
                <w:rFonts w:hint="eastAsia"/>
                <w:lang w:val="en-US" w:eastAsia="zh-CN" w:bidi="ar"/>
              </w:rPr>
              <w:t>3</w:t>
            </w:r>
            <w:r>
              <w:rPr>
                <w:rStyle w:val="13"/>
                <w:lang w:val="en-US" w:eastAsia="zh-CN" w:bidi="ar"/>
              </w:rPr>
              <w:t>.01—202</w:t>
            </w:r>
            <w:r>
              <w:rPr>
                <w:rStyle w:val="13"/>
                <w:rFonts w:hint="eastAsia"/>
                <w:lang w:val="en-US" w:eastAsia="zh-CN" w:bidi="ar"/>
              </w:rPr>
              <w:t>3</w:t>
            </w:r>
            <w:r>
              <w:rPr>
                <w:rStyle w:val="13"/>
                <w:lang w:val="en-US" w:eastAsia="zh-CN" w:bidi="ar"/>
              </w:rPr>
              <w:t>.12</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w:t>
            </w:r>
            <w:r>
              <w:rPr>
                <w:rStyle w:val="13"/>
                <w:rFonts w:hint="eastAsia"/>
                <w:lang w:val="en-US" w:eastAsia="zh-CN" w:bidi="ar"/>
              </w:rPr>
              <w:t>3</w:t>
            </w:r>
            <w:r>
              <w:rPr>
                <w:rStyle w:val="13"/>
                <w:lang w:val="en-US" w:eastAsia="zh-CN" w:bidi="ar"/>
              </w:rPr>
              <w:t>.01—202</w:t>
            </w:r>
            <w:r>
              <w:rPr>
                <w:rStyle w:val="13"/>
                <w:rFonts w:hint="eastAsia"/>
                <w:lang w:val="en-US" w:eastAsia="zh-CN" w:bidi="ar"/>
              </w:rPr>
              <w:t>3</w:t>
            </w:r>
            <w:r>
              <w:rPr>
                <w:rStyle w:val="13"/>
                <w:lang w:val="en-US" w:eastAsia="zh-CN" w:bidi="ar"/>
              </w:rPr>
              <w:t>.12</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项目完成质量</w:t>
            </w:r>
          </w:p>
        </w:tc>
        <w:tc>
          <w:tcPr>
            <w:tcW w:w="3669" w:type="dxa"/>
            <w:gridSpan w:val="4"/>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通过绩效评估。</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通过绩效评估。</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项目金额测算</w:t>
            </w:r>
          </w:p>
        </w:tc>
        <w:tc>
          <w:tcPr>
            <w:tcW w:w="3669"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cs="宋体"/>
                <w:i w:val="0"/>
                <w:iCs w:val="0"/>
                <w:color w:val="000000"/>
                <w:kern w:val="0"/>
                <w:sz w:val="20"/>
                <w:szCs w:val="20"/>
                <w:u w:val="none"/>
                <w:lang w:val="en-US" w:eastAsia="zh-CN" w:bidi="ar"/>
              </w:rPr>
              <w:t>469.2</w:t>
            </w:r>
            <w:r>
              <w:rPr>
                <w:rFonts w:hint="eastAsia" w:ascii="宋体" w:hAnsi="宋体" w:eastAsia="宋体" w:cs="宋体"/>
                <w:i w:val="0"/>
                <w:iCs w:val="0"/>
                <w:color w:val="000000"/>
                <w:kern w:val="0"/>
                <w:sz w:val="20"/>
                <w:szCs w:val="20"/>
                <w:u w:val="none"/>
                <w:lang w:val="en-US" w:eastAsia="zh-CN" w:bidi="ar"/>
              </w:rPr>
              <w:t>万元</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cs="宋体"/>
                <w:i w:val="0"/>
                <w:iCs w:val="0"/>
                <w:color w:val="000000"/>
                <w:kern w:val="0"/>
                <w:sz w:val="20"/>
                <w:szCs w:val="20"/>
                <w:u w:val="none"/>
                <w:lang w:val="en-US" w:eastAsia="zh-CN" w:bidi="ar"/>
              </w:rPr>
              <w:t>469.2</w:t>
            </w:r>
            <w:r>
              <w:rPr>
                <w:rFonts w:hint="eastAsia" w:ascii="宋体" w:hAnsi="宋体" w:eastAsia="宋体" w:cs="宋体"/>
                <w:i w:val="0"/>
                <w:iCs w:val="0"/>
                <w:color w:val="000000"/>
                <w:kern w:val="0"/>
                <w:sz w:val="20"/>
                <w:szCs w:val="20"/>
                <w:u w:val="none"/>
                <w:lang w:val="en-US" w:eastAsia="zh-CN" w:bidi="ar"/>
              </w:rPr>
              <w:t>万元</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项目预计效益</w:t>
            </w:r>
          </w:p>
        </w:tc>
        <w:tc>
          <w:tcPr>
            <w:tcW w:w="3669" w:type="dxa"/>
            <w:gridSpan w:val="4"/>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根据《淮北市乡村教师支持计划实施办法》淮政办[2016]16号文件第十一条规定：启动实施“夕阳红”支教计划，每年招募一批城镇退休的特级教师、高级教师到乡村学校支教，所需费用由政府负担。此计划的启动，可以在很大程度上缓解教师的紧缺问题。</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根据《淮北市乡村教师支持计划实施办法》淮政办[2016]16号文件第十一条规定：启动实施“夕阳红”支教计划，每年招募一批城镇退休的特级教师、高级教师到乡村学校支教，所需费用由政府负担。此计划的启动，可以在很大程度上缓解教师的紧缺问题。</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服务对象满意度</w:t>
            </w:r>
          </w:p>
        </w:tc>
        <w:tc>
          <w:tcPr>
            <w:tcW w:w="3669" w:type="dxa"/>
            <w:gridSpan w:val="4"/>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满意</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满意</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其他</w:t>
            </w:r>
          </w:p>
        </w:tc>
        <w:tc>
          <w:tcPr>
            <w:tcW w:w="3669" w:type="dxa"/>
            <w:gridSpan w:val="4"/>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无</w:t>
            </w:r>
          </w:p>
        </w:tc>
        <w:tc>
          <w:tcPr>
            <w:tcW w:w="367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无</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项目资金申报数</w:t>
            </w:r>
          </w:p>
        </w:tc>
        <w:tc>
          <w:tcPr>
            <w:tcW w:w="917"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总计</w:t>
            </w:r>
          </w:p>
        </w:tc>
        <w:tc>
          <w:tcPr>
            <w:tcW w:w="27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预算拨款安排</w:t>
            </w:r>
          </w:p>
        </w:tc>
        <w:tc>
          <w:tcPr>
            <w:tcW w:w="1834"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91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基金支出安排</w:t>
            </w:r>
          </w:p>
        </w:tc>
        <w:tc>
          <w:tcPr>
            <w:tcW w:w="91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上年结余</w:t>
            </w: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both"/>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（万元）</w:t>
            </w:r>
          </w:p>
        </w:tc>
        <w:tc>
          <w:tcPr>
            <w:tcW w:w="917"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0"/>
                <w:szCs w:val="20"/>
              </w:rPr>
            </w:pP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小计</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财政拨款安排</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1834"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0"/>
                <w:szCs w:val="20"/>
              </w:rPr>
            </w:pPr>
          </w:p>
        </w:tc>
        <w:tc>
          <w:tcPr>
            <w:tcW w:w="918" w:type="dxa"/>
            <w:vMerge w:val="continue"/>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918" w:type="dxa"/>
            <w:vMerge w:val="continue"/>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1681"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right"/>
              <w:textAlignment w:val="center"/>
              <w:rPr>
                <w:rFonts w:hint="default" w:ascii="宋体" w:hAnsi="宋体" w:cs="宋体"/>
                <w:sz w:val="20"/>
                <w:szCs w:val="20"/>
                <w:lang w:val="en-US"/>
              </w:rPr>
            </w:pPr>
            <w:r>
              <w:rPr>
                <w:rFonts w:hint="eastAsia" w:ascii="宋体" w:hAnsi="宋体" w:cs="宋体"/>
                <w:i w:val="0"/>
                <w:iCs w:val="0"/>
                <w:color w:val="000000"/>
                <w:kern w:val="0"/>
                <w:sz w:val="24"/>
                <w:szCs w:val="24"/>
                <w:u w:val="none"/>
                <w:lang w:val="en-US" w:eastAsia="zh-CN" w:bidi="ar"/>
              </w:rPr>
              <w:t>469.2</w:t>
            </w:r>
          </w:p>
        </w:tc>
        <w:tc>
          <w:tcPr>
            <w:tcW w:w="917"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right"/>
              <w:textAlignment w:val="center"/>
              <w:rPr>
                <w:rFonts w:hint="default" w:ascii="宋体" w:hAnsi="宋体" w:cs="宋体"/>
                <w:sz w:val="20"/>
                <w:szCs w:val="20"/>
                <w:lang w:val="en-US"/>
              </w:rPr>
            </w:pPr>
            <w:r>
              <w:rPr>
                <w:rFonts w:hint="eastAsia" w:ascii="宋体" w:hAnsi="宋体" w:cs="宋体"/>
                <w:i w:val="0"/>
                <w:iCs w:val="0"/>
                <w:color w:val="000000"/>
                <w:kern w:val="0"/>
                <w:sz w:val="22"/>
                <w:szCs w:val="22"/>
                <w:u w:val="none"/>
                <w:lang w:val="en-US" w:eastAsia="zh-CN" w:bidi="ar"/>
              </w:rPr>
              <w:t>469.2</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sz w:val="20"/>
                <w:szCs w:val="20"/>
                <w:lang w:val="en-US"/>
              </w:rPr>
            </w:pPr>
            <w:r>
              <w:rPr>
                <w:rFonts w:hint="eastAsia" w:ascii="宋体" w:hAnsi="宋体" w:cs="宋体"/>
                <w:i w:val="0"/>
                <w:iCs w:val="0"/>
                <w:color w:val="000000"/>
                <w:kern w:val="0"/>
                <w:sz w:val="22"/>
                <w:szCs w:val="22"/>
                <w:u w:val="none"/>
                <w:lang w:val="en-US" w:eastAsia="zh-CN" w:bidi="ar"/>
              </w:rPr>
              <w:t>469.2</w:t>
            </w:r>
          </w:p>
        </w:tc>
        <w:tc>
          <w:tcPr>
            <w:tcW w:w="9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sz w:val="20"/>
                <w:szCs w:val="20"/>
                <w:lang w:val="en-US"/>
              </w:rPr>
            </w:pPr>
            <w:r>
              <w:rPr>
                <w:rFonts w:hint="eastAsia" w:ascii="宋体" w:hAnsi="宋体" w:cs="宋体"/>
                <w:i w:val="0"/>
                <w:iCs w:val="0"/>
                <w:color w:val="000000"/>
                <w:kern w:val="0"/>
                <w:sz w:val="22"/>
                <w:szCs w:val="22"/>
                <w:u w:val="none"/>
                <w:lang w:val="en-US" w:eastAsia="zh-CN" w:bidi="ar"/>
              </w:rPr>
              <w:t>469.2</w:t>
            </w:r>
          </w:p>
        </w:tc>
        <w:tc>
          <w:tcPr>
            <w:tcW w:w="917"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p>
        </w:tc>
        <w:tc>
          <w:tcPr>
            <w:tcW w:w="1834" w:type="dxa"/>
            <w:gridSpan w:val="2"/>
            <w:tcBorders>
              <w:top w:val="nil"/>
              <w:left w:val="single" w:color="auto" w:sz="4" w:space="0"/>
              <w:bottom w:val="single" w:color="000000" w:sz="4" w:space="0"/>
              <w:right w:val="single" w:color="auto" w:sz="4" w:space="0"/>
            </w:tcBorders>
            <w:vAlign w:val="center"/>
          </w:tcPr>
          <w:p>
            <w:pPr>
              <w:jc w:val="right"/>
              <w:rPr>
                <w:rFonts w:ascii="宋体" w:hAnsi="宋体" w:cs="宋体"/>
                <w:sz w:val="20"/>
                <w:szCs w:val="20"/>
              </w:rPr>
            </w:pPr>
          </w:p>
        </w:tc>
        <w:tc>
          <w:tcPr>
            <w:tcW w:w="918"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p>
        </w:tc>
        <w:tc>
          <w:tcPr>
            <w:tcW w:w="918"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p>
        </w:tc>
      </w:tr>
    </w:tbl>
    <w:p>
      <w:pPr>
        <w:adjustRightInd w:val="0"/>
        <w:snapToGrid w:val="0"/>
        <w:spacing w:line="600" w:lineRule="exact"/>
        <w:rPr>
          <w:rFonts w:ascii="仿宋_GB2312" w:hAnsi="楷体" w:eastAsia="仿宋_GB2312"/>
          <w:b/>
          <w:sz w:val="32"/>
          <w:szCs w:val="32"/>
        </w:rPr>
      </w:pPr>
    </w:p>
    <w:p>
      <w:pPr>
        <w:widowControl/>
        <w:shd w:val="clear" w:color="auto" w:fill="FFFFFF"/>
        <w:spacing w:line="600" w:lineRule="atLeast"/>
        <w:ind w:firstLine="753"/>
        <w:rPr>
          <w:rFonts w:hint="eastAsia" w:ascii="宋体" w:hAnsi="宋体" w:cs="宋体"/>
          <w:color w:val="333333"/>
          <w:sz w:val="24"/>
        </w:rPr>
      </w:pPr>
      <w:r>
        <w:rPr>
          <w:rFonts w:hint="eastAsia" w:ascii="仿宋_GB2312" w:hAnsi="宋体" w:eastAsia="仿宋_GB2312" w:cs="仿宋_GB2312"/>
          <w:b/>
          <w:bCs/>
          <w:color w:val="333333"/>
          <w:kern w:val="0"/>
          <w:sz w:val="30"/>
          <w:szCs w:val="30"/>
          <w:shd w:val="clear" w:color="auto" w:fill="FFFFFF"/>
          <w:lang w:val="en-US" w:eastAsia="zh-CN" w:bidi="ar"/>
        </w:rPr>
        <w:t>2</w:t>
      </w:r>
      <w:r>
        <w:rPr>
          <w:rFonts w:ascii="仿宋_GB2312" w:hAnsi="宋体" w:eastAsia="仿宋_GB2312" w:cs="仿宋_GB2312"/>
          <w:b/>
          <w:bCs/>
          <w:color w:val="333333"/>
          <w:kern w:val="0"/>
          <w:sz w:val="30"/>
          <w:szCs w:val="30"/>
          <w:shd w:val="clear" w:color="auto" w:fill="FFFFFF"/>
          <w:lang w:bidi="ar"/>
        </w:rPr>
        <w:t>.“</w:t>
      </w:r>
      <w:r>
        <w:rPr>
          <w:rFonts w:hint="eastAsia" w:ascii="仿宋_GB2312" w:hAnsi="宋体" w:eastAsia="仿宋_GB2312" w:cs="仿宋_GB2312"/>
          <w:b/>
          <w:bCs/>
          <w:color w:val="333333"/>
          <w:kern w:val="0"/>
          <w:sz w:val="30"/>
          <w:szCs w:val="30"/>
          <w:shd w:val="clear" w:color="auto" w:fill="FFFFFF"/>
          <w:lang w:val="en-US" w:eastAsia="zh-CN" w:bidi="ar"/>
        </w:rPr>
        <w:t>工资、津贴、补贴资金</w:t>
      </w:r>
      <w:r>
        <w:rPr>
          <w:rFonts w:ascii="仿宋_GB2312" w:hAnsi="宋体" w:eastAsia="仿宋_GB2312" w:cs="仿宋_GB2312"/>
          <w:b/>
          <w:bCs/>
          <w:color w:val="333333"/>
          <w:kern w:val="0"/>
          <w:sz w:val="30"/>
          <w:szCs w:val="30"/>
          <w:shd w:val="clear" w:color="auto" w:fill="FFFFFF"/>
          <w:lang w:bidi="ar"/>
        </w:rPr>
        <w:t>”项目</w:t>
      </w:r>
      <w:r>
        <w:rPr>
          <w:rFonts w:hint="eastAsia" w:ascii="仿宋_GB2312" w:hAnsi="宋体" w:eastAsia="仿宋_GB2312" w:cs="仿宋_GB2312"/>
          <w:b/>
          <w:bCs/>
          <w:color w:val="333333"/>
          <w:kern w:val="0"/>
          <w:sz w:val="30"/>
          <w:szCs w:val="30"/>
          <w:shd w:val="clear" w:color="auto" w:fill="FFFFFF"/>
          <w:lang w:eastAsia="zh-CN" w:bidi="ar"/>
        </w:rPr>
        <w:t>（</w:t>
      </w:r>
      <w:r>
        <w:rPr>
          <w:rFonts w:hint="eastAsia" w:ascii="仿宋_GB2312" w:hAnsi="宋体" w:eastAsia="仿宋_GB2312" w:cs="仿宋_GB2312"/>
          <w:b/>
          <w:bCs/>
          <w:color w:val="333333"/>
          <w:kern w:val="0"/>
          <w:sz w:val="30"/>
          <w:szCs w:val="30"/>
          <w:shd w:val="clear" w:color="auto" w:fill="FFFFFF"/>
          <w:lang w:val="en-US" w:eastAsia="zh-CN" w:bidi="ar"/>
        </w:rPr>
        <w:t>校长职级津贴</w:t>
      </w:r>
      <w:r>
        <w:rPr>
          <w:rFonts w:hint="eastAsia" w:ascii="仿宋_GB2312" w:hAnsi="宋体" w:eastAsia="仿宋_GB2312" w:cs="仿宋_GB2312"/>
          <w:b/>
          <w:bCs/>
          <w:color w:val="333333"/>
          <w:kern w:val="0"/>
          <w:sz w:val="30"/>
          <w:szCs w:val="30"/>
          <w:shd w:val="clear" w:color="auto" w:fill="FFFFFF"/>
          <w:lang w:eastAsia="zh-CN" w:bidi="ar"/>
        </w:rPr>
        <w:t>）</w:t>
      </w:r>
      <w:r>
        <w:rPr>
          <w:rFonts w:ascii="仿宋_GB2312" w:hAnsi="宋体" w:eastAsia="仿宋_GB2312" w:cs="仿宋_GB2312"/>
          <w:b/>
          <w:bCs/>
          <w:color w:val="333333"/>
          <w:kern w:val="0"/>
          <w:sz w:val="30"/>
          <w:szCs w:val="30"/>
          <w:shd w:val="clear" w:color="auto" w:fill="FFFFFF"/>
          <w:lang w:bidi="ar"/>
        </w:rPr>
        <w:t>。</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（1）项目概述：进一步加强校长队伍建设，提高校长管理水平，建立和完善以职级制为核心的中小学校长管理体制。</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（2）立项依据：《相山区关于中小学校长职级制改革的实施方案 （试行）》（相区办发〔2020〕45号</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（3）起止时间：202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（4）项目内容：建立和完善以职级制为核心的中小学校长管理体制，努力形成教育家办学的激励机制和政策导向，造就一支高素质、专业化的中小学校长队伍，推动城乡教育一体化改革发展。</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（5）年度预算安排：</w:t>
      </w:r>
      <w:r>
        <w:rPr>
          <w:rFonts w:hint="eastAsia" w:ascii="仿宋_GB2312" w:hAnsi="宋体" w:eastAsia="仿宋_GB2312" w:cs="仿宋_GB2312"/>
          <w:color w:val="333333"/>
          <w:kern w:val="0"/>
          <w:sz w:val="30"/>
          <w:szCs w:val="30"/>
          <w:shd w:val="clear" w:color="auto" w:fill="FFFFFF"/>
          <w:lang w:val="en-US" w:eastAsia="zh-CN" w:bidi="ar"/>
        </w:rPr>
        <w:t>145</w:t>
      </w:r>
      <w:r>
        <w:rPr>
          <w:rFonts w:hint="eastAsia" w:ascii="仿宋_GB2312" w:hAnsi="宋体" w:eastAsia="仿宋_GB2312" w:cs="仿宋_GB2312"/>
          <w:color w:val="333333"/>
          <w:kern w:val="0"/>
          <w:sz w:val="30"/>
          <w:szCs w:val="30"/>
          <w:shd w:val="clear" w:color="auto" w:fill="FFFFFF"/>
          <w:lang w:bidi="ar"/>
        </w:rPr>
        <w:t>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）绩效目标：合理保证教育教学工作顺利完成，促进淮北教育高质量发展。</w:t>
      </w:r>
    </w:p>
    <w:tbl>
      <w:tblPr>
        <w:tblStyle w:val="7"/>
        <w:tblW w:w="10647" w:type="dxa"/>
        <w:tblInd w:w="-7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2559"/>
        <w:gridCol w:w="756"/>
        <w:gridCol w:w="348"/>
        <w:gridCol w:w="372"/>
        <w:gridCol w:w="384"/>
        <w:gridCol w:w="2013"/>
        <w:gridCol w:w="240"/>
        <w:gridCol w:w="960"/>
        <w:gridCol w:w="528"/>
        <w:gridCol w:w="288"/>
        <w:gridCol w:w="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647"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647"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66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tc>
        <w:tc>
          <w:tcPr>
            <w:tcW w:w="2559" w:type="dxa"/>
            <w:tcBorders>
              <w:top w:val="nil"/>
              <w:left w:val="nil"/>
              <w:bottom w:val="nil"/>
              <w:right w:val="nil"/>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相山区教育局</w:t>
            </w:r>
          </w:p>
        </w:tc>
        <w:tc>
          <w:tcPr>
            <w:tcW w:w="110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419" w:type="dxa"/>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校长职级津贴</w:t>
            </w:r>
          </w:p>
        </w:tc>
        <w:tc>
          <w:tcPr>
            <w:tcW w:w="2253"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307"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331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348"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4"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53"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w:t>
            </w:r>
          </w:p>
        </w:tc>
        <w:tc>
          <w:tcPr>
            <w:tcW w:w="2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项目起止时间</w:t>
            </w:r>
          </w:p>
        </w:tc>
        <w:tc>
          <w:tcPr>
            <w:tcW w:w="331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p>
        </w:tc>
        <w:tc>
          <w:tcPr>
            <w:tcW w:w="348"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4"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项目资金属性</w:t>
            </w:r>
          </w:p>
        </w:tc>
        <w:tc>
          <w:tcPr>
            <w:tcW w:w="9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w:t>
            </w:r>
          </w:p>
        </w:tc>
        <w:tc>
          <w:tcPr>
            <w:tcW w:w="528"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8"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1"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3315" w:type="dxa"/>
            <w:gridSpan w:val="2"/>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专项业务费</w:t>
            </w:r>
          </w:p>
        </w:tc>
        <w:tc>
          <w:tcPr>
            <w:tcW w:w="348"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2"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84"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项目级次</w:t>
            </w:r>
          </w:p>
        </w:tc>
        <w:tc>
          <w:tcPr>
            <w:tcW w:w="960"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w:t>
            </w:r>
          </w:p>
        </w:tc>
        <w:tc>
          <w:tcPr>
            <w:tcW w:w="528"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8"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34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孙刚</w:t>
            </w:r>
          </w:p>
        </w:tc>
        <w:tc>
          <w:tcPr>
            <w:tcW w:w="5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31"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6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31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48"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72"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84"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项目实施时限</w:t>
            </w:r>
          </w:p>
        </w:tc>
        <w:tc>
          <w:tcPr>
            <w:tcW w:w="960"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1-12月份</w:t>
            </w:r>
          </w:p>
        </w:tc>
        <w:tc>
          <w:tcPr>
            <w:tcW w:w="528"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88"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31" w:type="dxa"/>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66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8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教育事业发展规划及年度工作计划，指导和宏观管理全区各级各类教育，贯彻党的教育方针，推进素质教育。组织实施各级各类学校的设置标准，指导各级各类学校教育教学改革，负责教育基本信息的统计、分析和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8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项目立项依据类型</w:t>
            </w:r>
          </w:p>
        </w:tc>
        <w:tc>
          <w:tcPr>
            <w:tcW w:w="897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常年安排项目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w:t>
            </w:r>
          </w:p>
        </w:tc>
        <w:tc>
          <w:tcPr>
            <w:tcW w:w="8979" w:type="dxa"/>
            <w:gridSpan w:val="11"/>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《相山区关于中小学校长职级制改革的实施方案 （试行）》（相区办发〔2020〕45号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8979"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进一步加强校长队伍建设，提高校长管理水平，建立和完善以职级制为核心的中小学校长管理体制。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项目绩效目标概述</w:t>
            </w:r>
          </w:p>
        </w:tc>
        <w:tc>
          <w:tcPr>
            <w:tcW w:w="6432" w:type="dxa"/>
            <w:gridSpan w:val="6"/>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2547"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32"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c>
          <w:tcPr>
            <w:tcW w:w="2547"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项目完成数量</w:t>
            </w:r>
          </w:p>
        </w:tc>
        <w:tc>
          <w:tcPr>
            <w:tcW w:w="6432" w:type="dxa"/>
            <w:gridSpan w:val="6"/>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47"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项目实施进度</w:t>
            </w:r>
          </w:p>
        </w:tc>
        <w:tc>
          <w:tcPr>
            <w:tcW w:w="6432"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项目完成质量</w:t>
            </w:r>
          </w:p>
        </w:tc>
        <w:tc>
          <w:tcPr>
            <w:tcW w:w="64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c>
          <w:tcPr>
            <w:tcW w:w="25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项目金额测算</w:t>
            </w:r>
          </w:p>
        </w:tc>
        <w:tc>
          <w:tcPr>
            <w:tcW w:w="6432" w:type="dxa"/>
            <w:gridSpan w:val="6"/>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45</w:t>
            </w:r>
            <w:r>
              <w:rPr>
                <w:rFonts w:hint="eastAsia" w:ascii="宋体" w:hAnsi="宋体" w:eastAsia="宋体" w:cs="宋体"/>
                <w:i w:val="0"/>
                <w:iCs w:val="0"/>
                <w:color w:val="000000"/>
                <w:kern w:val="0"/>
                <w:sz w:val="20"/>
                <w:szCs w:val="20"/>
                <w:u w:val="none"/>
                <w:lang w:val="en-US" w:eastAsia="zh-CN" w:bidi="ar"/>
              </w:rPr>
              <w:t>万元</w:t>
            </w:r>
          </w:p>
        </w:tc>
        <w:tc>
          <w:tcPr>
            <w:tcW w:w="25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145</w:t>
            </w:r>
            <w:r>
              <w:rPr>
                <w:rFonts w:hint="eastAsia" w:ascii="宋体" w:hAnsi="宋体" w:eastAsia="宋体"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项目预计效益</w:t>
            </w:r>
          </w:p>
        </w:tc>
        <w:tc>
          <w:tcPr>
            <w:tcW w:w="64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c>
          <w:tcPr>
            <w:tcW w:w="25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建立和完善以职级制为核心的中小学校长管理体制，努力形成教育家办学的激励机制和政策导向，造就一支高素质、专业化的中小学校长队伍，推动城乡教育一体化改革发展。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6432"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c>
          <w:tcPr>
            <w:tcW w:w="2547"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6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w:t>
            </w:r>
          </w:p>
        </w:tc>
        <w:tc>
          <w:tcPr>
            <w:tcW w:w="6432" w:type="dxa"/>
            <w:gridSpan w:val="6"/>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47"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项目资金申报数（万元）</w:t>
            </w:r>
          </w:p>
        </w:tc>
        <w:tc>
          <w:tcPr>
            <w:tcW w:w="3315"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3117"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预算拨款安排</w:t>
            </w:r>
          </w:p>
        </w:tc>
        <w:tc>
          <w:tcPr>
            <w:tcW w:w="1200"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816"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基金支出安排</w:t>
            </w:r>
          </w:p>
        </w:tc>
        <w:tc>
          <w:tcPr>
            <w:tcW w:w="53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6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15"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财政拨款安排</w:t>
            </w:r>
          </w:p>
        </w:tc>
        <w:tc>
          <w:tcPr>
            <w:tcW w:w="2013"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1200"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66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145</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145</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16"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1"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adjustRightInd w:val="0"/>
        <w:snapToGrid w:val="0"/>
        <w:spacing w:line="600" w:lineRule="exact"/>
        <w:ind w:firstLine="640" w:firstLineChars="200"/>
        <w:rPr>
          <w:rFonts w:ascii="仿宋_GB2312" w:hAnsi="楷体" w:eastAsia="仿宋_GB2312"/>
          <w:b/>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753"/>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t>3</w:t>
      </w:r>
      <w:r>
        <w:rPr>
          <w:rFonts w:ascii="仿宋_GB2312" w:hAnsi="宋体" w:eastAsia="仿宋_GB2312" w:cs="仿宋_GB2312"/>
          <w:b/>
          <w:bCs/>
          <w:i w:val="0"/>
          <w:iCs w:val="0"/>
          <w:caps w:val="0"/>
          <w:color w:val="333333"/>
          <w:spacing w:val="0"/>
          <w:kern w:val="0"/>
          <w:sz w:val="30"/>
          <w:szCs w:val="30"/>
          <w:shd w:val="clear" w:color="auto" w:fill="FFFFFF"/>
          <w:lang w:val="en-US" w:eastAsia="zh-CN" w:bidi="ar"/>
        </w:rPr>
        <w:t>.“</w:t>
      </w:r>
      <w:r>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t>民办普惠园奖补、延时服务补贴</w:t>
      </w:r>
      <w:r>
        <w:rPr>
          <w:rFonts w:ascii="仿宋_GB2312" w:hAnsi="宋体" w:eastAsia="仿宋_GB2312" w:cs="仿宋_GB2312"/>
          <w:b/>
          <w:bCs/>
          <w:i w:val="0"/>
          <w:iCs w:val="0"/>
          <w:caps w:val="0"/>
          <w:color w:val="333333"/>
          <w:spacing w:val="0"/>
          <w:kern w:val="0"/>
          <w:sz w:val="30"/>
          <w:szCs w:val="30"/>
          <w:shd w:val="clear" w:color="auto" w:fill="FFFFFF"/>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（1）项目概述：完善学前教育经费投入保障机制，支持和鼓励社会力量办园，保障普惠性民办园日常运转，促进学前教育事业健康发展。。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（2）立项依据：贯彻落实《中共中央 国务院关于学前教育深化改革规范发展的若干意见》（中发〔2018〕39号）精神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（3）起止时间：2023年-2023年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（4）项目内容：支持鼓励社会力量办园，保障普惠性民办幼儿园规范办园，正常运转。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（5）年度预算安排：300万元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）绩效目标：</w:t>
      </w: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保障普惠性民办幼儿园规范办园，正常运转。</w:t>
      </w:r>
    </w:p>
    <w:tbl>
      <w:tblPr>
        <w:tblStyle w:val="7"/>
        <w:tblW w:w="94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7"/>
        <w:gridCol w:w="1632"/>
        <w:gridCol w:w="1380"/>
        <w:gridCol w:w="552"/>
        <w:gridCol w:w="420"/>
        <w:gridCol w:w="1356"/>
        <w:gridCol w:w="240"/>
        <w:gridCol w:w="1308"/>
        <w:gridCol w:w="516"/>
        <w:gridCol w:w="288"/>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445"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445"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1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w:t>
            </w:r>
          </w:p>
        </w:tc>
        <w:tc>
          <w:tcPr>
            <w:tcW w:w="1632" w:type="dxa"/>
            <w:tcBorders>
              <w:top w:val="nil"/>
              <w:left w:val="nil"/>
              <w:bottom w:val="nil"/>
              <w:right w:val="nil"/>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相山区教育局</w:t>
            </w:r>
          </w:p>
        </w:tc>
        <w:tc>
          <w:tcPr>
            <w:tcW w:w="13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984"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民办普惠性幼儿园奖补资金</w:t>
            </w:r>
          </w:p>
        </w:tc>
        <w:tc>
          <w:tcPr>
            <w:tcW w:w="1596"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748"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6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138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w:t>
            </w:r>
          </w:p>
        </w:tc>
        <w:tc>
          <w:tcPr>
            <w:tcW w:w="27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项目起止时间</w:t>
            </w:r>
          </w:p>
        </w:tc>
        <w:tc>
          <w:tcPr>
            <w:tcW w:w="16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p>
        </w:tc>
        <w:tc>
          <w:tcPr>
            <w:tcW w:w="138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项目资金属性</w:t>
            </w:r>
          </w:p>
        </w:tc>
        <w:tc>
          <w:tcPr>
            <w:tcW w:w="130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w:t>
            </w:r>
          </w:p>
        </w:tc>
        <w:tc>
          <w:tcPr>
            <w:tcW w:w="516"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8"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36"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1632"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专项业务费</w:t>
            </w:r>
          </w:p>
        </w:tc>
        <w:tc>
          <w:tcPr>
            <w:tcW w:w="138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2"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项目级次</w:t>
            </w:r>
          </w:p>
        </w:tc>
        <w:tc>
          <w:tcPr>
            <w:tcW w:w="1308"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w:t>
            </w:r>
          </w:p>
        </w:tc>
        <w:tc>
          <w:tcPr>
            <w:tcW w:w="516"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88"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3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13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13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636"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1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6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38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52"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42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项目实施时限</w:t>
            </w:r>
          </w:p>
        </w:tc>
        <w:tc>
          <w:tcPr>
            <w:tcW w:w="130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1-12月份</w:t>
            </w:r>
          </w:p>
        </w:tc>
        <w:tc>
          <w:tcPr>
            <w:tcW w:w="516"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88"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636" w:type="dxa"/>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11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83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民办普惠性幼儿园年检合格后生均不少于</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00元奖补资金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83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贯彻落实《中共中央 国务院关于学前教育深化改革规范发展的若干意见》（中发〔2018〕39号）精神，完善学前教育经费投入保障机制，支持和鼓励社会力量办园，保障普惠性民办园日常运转，促进学前教育事业健康发展。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项目立项依据类型</w:t>
            </w:r>
          </w:p>
        </w:tc>
        <w:tc>
          <w:tcPr>
            <w:tcW w:w="8328" w:type="dxa"/>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上级文件提出任务要求的事项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w:t>
            </w:r>
          </w:p>
        </w:tc>
        <w:tc>
          <w:tcPr>
            <w:tcW w:w="8328"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8328"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完善学前教育经费投入机制，支持和鼓励社会力量办园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项目绩效目标概述</w:t>
            </w:r>
          </w:p>
        </w:tc>
        <w:tc>
          <w:tcPr>
            <w:tcW w:w="5340"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2988"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贯彻落实 《中共中央 国务院关于学前教育深化改革规范发展的若干意见》</w:t>
            </w:r>
          </w:p>
        </w:tc>
        <w:tc>
          <w:tcPr>
            <w:tcW w:w="2988"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完善学前教育经费投诉，支持鼓励社会力量办园，保障普惠性民办园日常运转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项目完成数量</w:t>
            </w: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88"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项目实施进度</w:t>
            </w: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8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项目完成质量</w:t>
            </w: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普惠性民办幼儿园年检合格，促进规范办园</w:t>
            </w:r>
          </w:p>
        </w:tc>
        <w:tc>
          <w:tcPr>
            <w:tcW w:w="298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普惠性民办园财政补助标准不低于</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00元/生•年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项目金额测算</w:t>
            </w: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万元</w:t>
            </w:r>
          </w:p>
        </w:tc>
        <w:tc>
          <w:tcPr>
            <w:tcW w:w="298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项目预计效益</w:t>
            </w:r>
          </w:p>
        </w:tc>
        <w:tc>
          <w:tcPr>
            <w:tcW w:w="5340"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保障民办普惠园正常运转</w:t>
            </w:r>
          </w:p>
        </w:tc>
        <w:tc>
          <w:tcPr>
            <w:tcW w:w="298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确保民办普惠性幼儿园规范办园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服务对象满意度</w:t>
            </w:r>
          </w:p>
        </w:tc>
        <w:tc>
          <w:tcPr>
            <w:tcW w:w="5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c>
          <w:tcPr>
            <w:tcW w:w="2988"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1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w:t>
            </w:r>
          </w:p>
        </w:tc>
        <w:tc>
          <w:tcPr>
            <w:tcW w:w="5340"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88"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项目资金申报数（万元）</w:t>
            </w:r>
          </w:p>
        </w:tc>
        <w:tc>
          <w:tcPr>
            <w:tcW w:w="163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3708"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预算拨款安排</w:t>
            </w:r>
          </w:p>
        </w:tc>
        <w:tc>
          <w:tcPr>
            <w:tcW w:w="1548"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804"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基金支出安排</w:t>
            </w:r>
          </w:p>
        </w:tc>
        <w:tc>
          <w:tcPr>
            <w:tcW w:w="63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7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财政拨款安排</w:t>
            </w:r>
          </w:p>
        </w:tc>
        <w:tc>
          <w:tcPr>
            <w:tcW w:w="1356"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1548"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4"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1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04"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36"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widowControl/>
        <w:shd w:val="clear" w:color="auto" w:fill="FFFFFF"/>
        <w:spacing w:line="600" w:lineRule="atLeast"/>
        <w:ind w:firstLine="753"/>
        <w:rPr>
          <w:rFonts w:hint="eastAsia" w:ascii="宋体" w:hAnsi="宋体" w:cs="宋体"/>
          <w:color w:val="333333"/>
          <w:sz w:val="24"/>
        </w:rPr>
      </w:pPr>
      <w:r>
        <w:rPr>
          <w:rFonts w:hint="eastAsia" w:ascii="仿宋_GB2312" w:hAnsi="宋体" w:eastAsia="仿宋_GB2312" w:cs="仿宋_GB2312"/>
          <w:b/>
          <w:bCs/>
          <w:color w:val="333333"/>
          <w:kern w:val="0"/>
          <w:sz w:val="30"/>
          <w:szCs w:val="30"/>
          <w:shd w:val="clear" w:color="auto" w:fill="FFFFFF"/>
          <w:lang w:val="en-US" w:eastAsia="zh-CN" w:bidi="ar"/>
        </w:rPr>
        <w:t>4</w:t>
      </w:r>
      <w:r>
        <w:rPr>
          <w:rFonts w:ascii="仿宋_GB2312" w:hAnsi="宋体" w:eastAsia="仿宋_GB2312" w:cs="仿宋_GB2312"/>
          <w:b/>
          <w:bCs/>
          <w:color w:val="333333"/>
          <w:kern w:val="0"/>
          <w:sz w:val="30"/>
          <w:szCs w:val="30"/>
          <w:shd w:val="clear" w:color="auto" w:fill="FFFFFF"/>
          <w:lang w:bidi="ar"/>
        </w:rPr>
        <w:t>.“</w:t>
      </w:r>
      <w:r>
        <w:rPr>
          <w:rFonts w:hint="eastAsia" w:ascii="仿宋_GB2312" w:hAnsi="宋体" w:eastAsia="仿宋_GB2312" w:cs="仿宋_GB2312"/>
          <w:b/>
          <w:bCs/>
          <w:color w:val="333333"/>
          <w:kern w:val="0"/>
          <w:sz w:val="30"/>
          <w:szCs w:val="30"/>
          <w:shd w:val="clear" w:color="auto" w:fill="FFFFFF"/>
          <w:lang w:bidi="ar"/>
        </w:rPr>
        <w:t>与淮师大合作办学</w:t>
      </w:r>
      <w:r>
        <w:rPr>
          <w:rFonts w:ascii="仿宋_GB2312" w:hAnsi="宋体" w:eastAsia="仿宋_GB2312" w:cs="仿宋_GB2312"/>
          <w:b/>
          <w:bCs/>
          <w:color w:val="333333"/>
          <w:kern w:val="0"/>
          <w:sz w:val="30"/>
          <w:szCs w:val="30"/>
          <w:shd w:val="clear" w:color="auto" w:fill="FFFFFF"/>
          <w:lang w:bidi="ar"/>
        </w:rPr>
        <w:t>”项目。</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color w:val="333333"/>
          <w:kern w:val="0"/>
          <w:sz w:val="30"/>
          <w:szCs w:val="30"/>
          <w:shd w:val="clear" w:color="auto" w:fill="FFFFFF"/>
          <w:lang w:bidi="ar"/>
        </w:rPr>
        <w:t>（1）项目概述：</w:t>
      </w: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全面加强基础教育交流与合作，整体提升相山基础教育服务水平。建立一种自主合作、互惠共赢、灵活多样、高效运行的联动机制，在教科研合作、教师挂职、师资培训、信息资源共享以及合作办学等方面实行协商规划、合作推进、成果共享。</w:t>
      </w:r>
    </w:p>
    <w:p>
      <w:pPr>
        <w:spacing w:line="580" w:lineRule="exact"/>
        <w:ind w:firstLine="600" w:firstLineChars="2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（2）立项依据：《安徽省中小学优质均衡建设标准》</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（3）起止时间：202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color w:val="333333"/>
          <w:kern w:val="0"/>
          <w:sz w:val="30"/>
          <w:szCs w:val="30"/>
          <w:shd w:val="clear" w:color="auto" w:fill="FFFFFF"/>
          <w:lang w:bidi="ar"/>
        </w:rPr>
        <w:t>（4）</w:t>
      </w: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项目内容：第一条  甲方根据教学需要在乙方所辖的各类学校建立教学实践基地，安排本科生、研究生到教学实践基地教育实习、见习。每年一个学期甲方至少向乙方选派音、体、美、计算机等学科50名优秀学生实习、见习，并根据甲方本科生、研究生实习管理规定要求进行管理。</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第二条  因教学需要，甲方定期选派人员参加乙方及区属学校举行的各种教研活动，以便了解中小学、幼儿园教学动态。甲方可聘任乙方特级教师或教育、教学专家担任兼职教师，将实践经验传授给大学生，提升大学生实践能力；乙方也可以根据需要聘任甲方学科带头人、学术骨干和骨干教师到区属学校讲学，促使乙方所属学校广大教师了解教育发展前沿，以提高教师队伍的素质，提升教育教学水平。所产生的人员酬劳，可根据双方协定执行。</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第三条  甲方要发挥师资力量强，科研实力雄厚的优势，创造条件，选派教学、科研能力较强的中青年教师到乙方中小学、幼儿园挂职副校（园）长，协助加强中小学、幼儿园的管理，与乙方所属学校采取联合教科研攻关、共同申报教科研课题等方式，以提升乙方中小学、幼儿园教师的教科研能力。</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第四条  乙方及其所属学校可以采取多种形式，选派中青年、骨干教师或管理人员到甲方学习、深造和业务培训，提高知识水平和业务能力，所产生费用，由乙方承担，按期拨付给甲方。甲方应提供学习、培训的场所及其他学习条件，保证学习或培训任务的完成（如图书馆、实验室、实践基地等）。</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第五条  乙方在符合国家就业政策的前提下，或在每年优秀人才引进方面，对甲方优秀毕业生、优秀实习生到乙方所属学校就业，同等条件下，优先录用。</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第六条  经甲、乙双方协商，根据国家相关法律法规和政策的规定，乙方将一所九年一贯制学校委托给甲方进行合作办学，并命名为“淮北师范大学附属相山学校”（以最后批准名称为准，</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（5）年度预算安排：210万元</w:t>
      </w:r>
    </w:p>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（6）绩效目标：合理保证教育教学工作顺利完成，促进淮北教育高质量发展。</w:t>
      </w:r>
    </w:p>
    <w:tbl>
      <w:tblPr>
        <w:tblStyle w:val="7"/>
        <w:tblW w:w="94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9"/>
        <w:gridCol w:w="2340"/>
        <w:gridCol w:w="732"/>
        <w:gridCol w:w="240"/>
        <w:gridCol w:w="240"/>
        <w:gridCol w:w="1020"/>
        <w:gridCol w:w="828"/>
        <w:gridCol w:w="1584"/>
        <w:gridCol w:w="240"/>
        <w:gridCol w:w="24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493"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493"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78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填报单位（盖章）：相山区   </w:t>
            </w:r>
          </w:p>
        </w:tc>
        <w:tc>
          <w:tcPr>
            <w:tcW w:w="23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552"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相山区教育局与淮师大合作办学</w:t>
            </w:r>
          </w:p>
        </w:tc>
        <w:tc>
          <w:tcPr>
            <w:tcW w:w="1848"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304"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3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淮北市相山区教育局</w:t>
            </w:r>
          </w:p>
        </w:tc>
        <w:tc>
          <w:tcPr>
            <w:tcW w:w="73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8"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w:t>
            </w:r>
          </w:p>
        </w:tc>
        <w:tc>
          <w:tcPr>
            <w:tcW w:w="23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项目起止时间</w:t>
            </w:r>
          </w:p>
        </w:tc>
        <w:tc>
          <w:tcPr>
            <w:tcW w:w="23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p>
        </w:tc>
        <w:tc>
          <w:tcPr>
            <w:tcW w:w="732"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项目资金属性</w:t>
            </w:r>
          </w:p>
        </w:tc>
        <w:tc>
          <w:tcPr>
            <w:tcW w:w="158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w:t>
            </w: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2340"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专项业务费</w:t>
            </w:r>
          </w:p>
        </w:tc>
        <w:tc>
          <w:tcPr>
            <w:tcW w:w="732"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项目级次</w:t>
            </w:r>
          </w:p>
        </w:tc>
        <w:tc>
          <w:tcPr>
            <w:tcW w:w="1584"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w:t>
            </w:r>
          </w:p>
        </w:tc>
        <w:tc>
          <w:tcPr>
            <w:tcW w:w="24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淮北市相山区教育局</w:t>
            </w:r>
          </w:p>
        </w:tc>
        <w:tc>
          <w:tcPr>
            <w:tcW w:w="7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15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5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项目实施时限</w:t>
            </w:r>
          </w:p>
        </w:tc>
        <w:tc>
          <w:tcPr>
            <w:tcW w:w="1584"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1-12月份</w:t>
            </w:r>
          </w:p>
        </w:tc>
        <w:tc>
          <w:tcPr>
            <w:tcW w:w="24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78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77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与淮师大合作办学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77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全面加强基础教育交流与合作，整体提升相山基础教育服务水平。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项目立项依据类型</w:t>
            </w:r>
          </w:p>
        </w:tc>
        <w:tc>
          <w:tcPr>
            <w:tcW w:w="7704" w:type="dxa"/>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区政府与淮师大合作协议提出任务要求的事项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w:t>
            </w:r>
          </w:p>
        </w:tc>
        <w:tc>
          <w:tcPr>
            <w:tcW w:w="7704" w:type="dxa"/>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区政府与淮师大合作协议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7704"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创建全国义务教育优质均衡示范区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项目绩效目标概述</w:t>
            </w:r>
          </w:p>
        </w:tc>
        <w:tc>
          <w:tcPr>
            <w:tcW w:w="4572"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3132"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72"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为了创建全国义务教育优质均衡示范区，提升校园文化建设品质、提升老师、学生的音、体（心理）、美、劳动教育的专业素养。促进“五育”并举，办好人民满意的教育</w:t>
            </w:r>
          </w:p>
        </w:tc>
        <w:tc>
          <w:tcPr>
            <w:tcW w:w="3132"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为了创建全国义务教育优质均衡示范区，提升校园文化建设品质、提升老师、学生的音、体（心理）、美、劳动教育的专业素养。促进“五育”并举，办好人民满意的教育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项目完成数量</w:t>
            </w:r>
          </w:p>
        </w:tc>
        <w:tc>
          <w:tcPr>
            <w:tcW w:w="4572" w:type="dxa"/>
            <w:gridSpan w:val="5"/>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32"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项目实施进度</w:t>
            </w:r>
          </w:p>
        </w:tc>
        <w:tc>
          <w:tcPr>
            <w:tcW w:w="4572"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32"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项目完成质量</w:t>
            </w:r>
          </w:p>
        </w:tc>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建立一种自主合作、互惠共赢、灵活多样、高效运行的联动机制，在教科研合作、教师挂职、师资培训、信息资源共享以及合作办学等方面实行协商规划、合作推进、成果共享。</w:t>
            </w:r>
          </w:p>
        </w:tc>
        <w:tc>
          <w:tcPr>
            <w:tcW w:w="3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建立一种自主合作、互惠共赢、灵活多样、高效运行的联动机制，在教科研合作、教师挂职、师资培训、信息资源共享以及合作办学等方面实行协商规划、合作推进、成果共享。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项目金额测算</w:t>
            </w:r>
          </w:p>
        </w:tc>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210</w:t>
            </w:r>
            <w:r>
              <w:rPr>
                <w:rFonts w:hint="eastAsia" w:ascii="宋体" w:hAnsi="宋体" w:eastAsia="宋体" w:cs="宋体"/>
                <w:i w:val="0"/>
                <w:iCs w:val="0"/>
                <w:color w:val="000000"/>
                <w:kern w:val="0"/>
                <w:sz w:val="20"/>
                <w:szCs w:val="20"/>
                <w:u w:val="none"/>
                <w:lang w:val="en-US" w:eastAsia="zh-CN" w:bidi="ar"/>
              </w:rPr>
              <w:t>万元</w:t>
            </w:r>
          </w:p>
        </w:tc>
        <w:tc>
          <w:tcPr>
            <w:tcW w:w="3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210</w:t>
            </w:r>
            <w:r>
              <w:rPr>
                <w:rFonts w:hint="eastAsia" w:ascii="宋体" w:hAnsi="宋体" w:eastAsia="宋体"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项目预计效益</w:t>
            </w:r>
          </w:p>
        </w:tc>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使相山区中小学教育教学更具个性化、多元化及人文性，实现启迪学生的心智、塑造学生心灵的目的。</w:t>
            </w:r>
          </w:p>
        </w:tc>
        <w:tc>
          <w:tcPr>
            <w:tcW w:w="3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使相山区中小学教育教学更具个性化、多元化及人文性，实现启迪学生的心智、塑造学生心灵的目的。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服务对象满意度</w:t>
            </w:r>
          </w:p>
        </w:tc>
        <w:tc>
          <w:tcPr>
            <w:tcW w:w="4572"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c>
          <w:tcPr>
            <w:tcW w:w="3132"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8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w:t>
            </w:r>
          </w:p>
        </w:tc>
        <w:tc>
          <w:tcPr>
            <w:tcW w:w="4572"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132"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8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项目资金申报数（万元）</w:t>
            </w:r>
          </w:p>
        </w:tc>
        <w:tc>
          <w:tcPr>
            <w:tcW w:w="234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2232"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预算拨款安排</w:t>
            </w:r>
          </w:p>
        </w:tc>
        <w:tc>
          <w:tcPr>
            <w:tcW w:w="2412"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480"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基金支出安排</w:t>
            </w:r>
          </w:p>
        </w:tc>
        <w:tc>
          <w:tcPr>
            <w:tcW w:w="24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8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财政拨款安排</w:t>
            </w:r>
          </w:p>
        </w:tc>
        <w:tc>
          <w:tcPr>
            <w:tcW w:w="102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2412"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78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210</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0"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p>
    <w:p>
      <w:pPr>
        <w:ind w:firstLine="600" w:firstLineChars="200"/>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t>5.“近视防控”项目。</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1）项目概述：2020年相山区被评为全国儿童青少年近视防控适宜技术试点区，为改善全区中小学用眼环境，实施安装护眼灯计划，在三年的时间内全区中小学校的教室环境，满足《国家体育卫生工作条例》要求的标准。</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（2）立项依据：《相山区近视防控实施方案》</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（3）起止时间：202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年1月-202</w:t>
      </w:r>
      <w:r>
        <w:rPr>
          <w:rFonts w:hint="eastAsia" w:ascii="仿宋_GB2312" w:hAnsi="宋体" w:eastAsia="仿宋_GB2312" w:cs="仿宋_GB2312"/>
          <w:color w:val="333333"/>
          <w:kern w:val="0"/>
          <w:sz w:val="30"/>
          <w:szCs w:val="30"/>
          <w:shd w:val="clear" w:color="auto" w:fill="FFFFFF"/>
          <w:lang w:val="en-US" w:eastAsia="zh-CN" w:bidi="ar"/>
        </w:rPr>
        <w:t>3</w:t>
      </w:r>
      <w:r>
        <w:rPr>
          <w:rFonts w:hint="eastAsia" w:ascii="仿宋_GB2312" w:hAnsi="宋体" w:eastAsia="仿宋_GB2312" w:cs="仿宋_GB2312"/>
          <w:color w:val="333333"/>
          <w:kern w:val="0"/>
          <w:sz w:val="30"/>
          <w:szCs w:val="30"/>
          <w:shd w:val="clear" w:color="auto" w:fill="FFFFFF"/>
          <w:lang w:bidi="ar"/>
        </w:rPr>
        <w:t>年12月</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（4）项目内容：在相山区公办中小学内通过每间教室安装9+2盏护眼灯达到护眼照度要求、配备可调课桌、宣传氛围的营造。</w:t>
      </w:r>
    </w:p>
    <w:p>
      <w:pPr>
        <w:widowControl/>
        <w:shd w:val="clear" w:color="auto" w:fill="FFFFFF"/>
        <w:spacing w:line="600" w:lineRule="atLeast"/>
        <w:ind w:firstLine="600"/>
        <w:rPr>
          <w:rFonts w:hint="eastAsia" w:ascii="宋体" w:hAnsi="宋体" w:cs="宋体"/>
          <w:color w:val="333333"/>
          <w:sz w:val="24"/>
        </w:rPr>
      </w:pPr>
      <w:r>
        <w:rPr>
          <w:rFonts w:hint="eastAsia" w:ascii="仿宋_GB2312" w:hAnsi="宋体" w:eastAsia="仿宋_GB2312" w:cs="仿宋_GB2312"/>
          <w:color w:val="333333"/>
          <w:kern w:val="0"/>
          <w:sz w:val="30"/>
          <w:szCs w:val="30"/>
          <w:shd w:val="clear" w:color="auto" w:fill="FFFFFF"/>
          <w:lang w:bidi="ar"/>
        </w:rPr>
        <w:t>（5）年度预算安排：</w:t>
      </w:r>
      <w:r>
        <w:rPr>
          <w:rFonts w:hint="eastAsia" w:ascii="仿宋_GB2312" w:hAnsi="宋体" w:eastAsia="仿宋_GB2312" w:cs="仿宋_GB2312"/>
          <w:color w:val="333333"/>
          <w:kern w:val="0"/>
          <w:sz w:val="30"/>
          <w:szCs w:val="30"/>
          <w:shd w:val="clear" w:color="auto" w:fill="FFFFFF"/>
          <w:lang w:val="en-US" w:eastAsia="zh-CN" w:bidi="ar"/>
        </w:rPr>
        <w:t>1</w:t>
      </w:r>
      <w:r>
        <w:rPr>
          <w:rFonts w:hint="eastAsia" w:ascii="仿宋_GB2312" w:hAnsi="宋体" w:eastAsia="仿宋_GB2312" w:cs="仿宋_GB2312"/>
          <w:color w:val="333333"/>
          <w:kern w:val="0"/>
          <w:sz w:val="30"/>
          <w:szCs w:val="30"/>
          <w:shd w:val="clear" w:color="auto" w:fill="FFFFFF"/>
          <w:lang w:bidi="ar"/>
        </w:rPr>
        <w:t>00万元</w:t>
      </w:r>
    </w:p>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r>
        <w:rPr>
          <w:rFonts w:hint="eastAsia" w:ascii="仿宋_GB2312" w:hAnsi="宋体" w:eastAsia="仿宋_GB2312" w:cs="仿宋_GB2312"/>
          <w:color w:val="333333"/>
          <w:kern w:val="0"/>
          <w:sz w:val="30"/>
          <w:szCs w:val="30"/>
          <w:shd w:val="clear" w:color="auto" w:fill="FFFFFF"/>
          <w:lang w:bidi="ar"/>
        </w:rPr>
        <w:t>（6）绩效目标：</w:t>
      </w:r>
      <w:r>
        <w:rPr>
          <w:rFonts w:hint="eastAsia" w:ascii="仿宋_GB2312" w:hAnsi="宋体" w:eastAsia="仿宋_GB2312" w:cs="仿宋_GB2312"/>
          <w:color w:val="333333"/>
          <w:kern w:val="0"/>
          <w:sz w:val="30"/>
          <w:szCs w:val="30"/>
          <w:shd w:val="clear" w:color="auto" w:fill="FFFFFF"/>
          <w:lang w:val="en-US" w:eastAsia="zh-CN" w:bidi="ar"/>
        </w:rPr>
        <w:t>给学生创造更好的学习环境</w:t>
      </w:r>
      <w:r>
        <w:rPr>
          <w:rFonts w:hint="eastAsia" w:ascii="仿宋_GB2312" w:hAnsi="宋体" w:eastAsia="仿宋_GB2312" w:cs="仿宋_GB2312"/>
          <w:color w:val="333333"/>
          <w:kern w:val="0"/>
          <w:sz w:val="30"/>
          <w:szCs w:val="30"/>
          <w:shd w:val="clear" w:color="auto" w:fill="FFFFFF"/>
          <w:lang w:bidi="ar"/>
        </w:rPr>
        <w:t>。</w:t>
      </w:r>
    </w:p>
    <w:tbl>
      <w:tblPr>
        <w:tblStyle w:val="7"/>
        <w:tblW w:w="96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1335"/>
        <w:gridCol w:w="739"/>
        <w:gridCol w:w="592"/>
        <w:gridCol w:w="1281"/>
        <w:gridCol w:w="261"/>
        <w:gridCol w:w="1151"/>
        <w:gridCol w:w="222"/>
        <w:gridCol w:w="222"/>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85"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项目支出绩效目标申报表（   202</w:t>
            </w:r>
            <w:r>
              <w:rPr>
                <w:rFonts w:hint="eastAsia" w:ascii="宋体" w:hAnsi="宋体" w:cs="宋体"/>
                <w:b/>
                <w:bCs/>
                <w:i w:val="0"/>
                <w:iCs w:val="0"/>
                <w:color w:val="000000"/>
                <w:kern w:val="0"/>
                <w:sz w:val="28"/>
                <w:szCs w:val="28"/>
                <w:u w:val="none"/>
                <w:lang w:val="en-US" w:eastAsia="zh-CN" w:bidi="ar"/>
              </w:rPr>
              <w:t>3</w:t>
            </w:r>
            <w:r>
              <w:rPr>
                <w:rFonts w:hint="eastAsia" w:ascii="宋体" w:hAnsi="宋体" w:eastAsia="宋体" w:cs="宋体"/>
                <w:b/>
                <w:bCs/>
                <w:i w:val="0"/>
                <w:iCs w:val="0"/>
                <w:color w:val="000000"/>
                <w:kern w:val="0"/>
                <w:sz w:val="28"/>
                <w:szCs w:val="28"/>
                <w:u w:val="none"/>
                <w:lang w:val="en-US" w:eastAsia="zh-CN" w:bidi="ar"/>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填报单位（盖章）：相山区   </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95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近视眼防控资金</w:t>
            </w: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项目起止时间</w:t>
            </w:r>
          </w:p>
        </w:tc>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项目资金属性</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w:t>
            </w:r>
          </w:p>
        </w:tc>
        <w:tc>
          <w:tcPr>
            <w:tcW w:w="0" w:type="auto"/>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项目级次</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w:t>
            </w: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相山区教育局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孙刚</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项目实施时限</w:t>
            </w:r>
          </w:p>
        </w:tc>
        <w:tc>
          <w:tcPr>
            <w:tcW w:w="0" w:type="auto"/>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1-12月份</w:t>
            </w:r>
          </w:p>
        </w:tc>
        <w:tc>
          <w:tcPr>
            <w:tcW w:w="0" w:type="auto"/>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0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65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近视防控试点区学校护眼灯的安装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65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为了确保装备经费项目安全稳定运行，完善教学环境装备保障机制，创造更加良好的教学环境。通过购买装备，完善教学环境装备保障机制。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项目立项依据类型</w:t>
            </w:r>
          </w:p>
        </w:tc>
        <w:tc>
          <w:tcPr>
            <w:tcW w:w="0" w:type="auto"/>
            <w:gridSpan w:val="9"/>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上级文件提出任务要求的事项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w:t>
            </w:r>
          </w:p>
        </w:tc>
        <w:tc>
          <w:tcPr>
            <w:tcW w:w="6585" w:type="dxa"/>
            <w:gridSpan w:val="9"/>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6585" w:type="dxa"/>
            <w:gridSpan w:val="9"/>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全面校园环境建设，为学校工作教学环境提供坚强有力的保障，为验收试点区提供强有力的支撑。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项目绩效目标概述</w:t>
            </w:r>
          </w:p>
        </w:tc>
        <w:tc>
          <w:tcPr>
            <w:tcW w:w="0" w:type="auto"/>
            <w:gridSpan w:val="4"/>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0" w:type="auto"/>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为了确保装备经费项目安全稳定运行，完善校园教室环境装备保障机制，创造更加良好的教学环境。通过购买装备，完善校园环境装备保障机制。</w:t>
            </w:r>
          </w:p>
        </w:tc>
        <w:tc>
          <w:tcPr>
            <w:tcW w:w="391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为了确保装备经费项目安全稳定运行，完善校园教室环境装备保障机制，创造更加良好的教室环境。通过购买装备，提升教育教学环境装备保障机制。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项目完成数量</w:t>
            </w: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15" w:type="dxa"/>
            <w:gridSpan w:val="5"/>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项目实施进度</w:t>
            </w: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1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项目完成质量</w:t>
            </w: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完善实战化装备保障机制，提高教育教学护眼灯的使用效率，保障学校正常的教育教学；加大学校信息化、基础设施和重点技术装备建设，为基层一线提供保障。</w:t>
            </w:r>
          </w:p>
        </w:tc>
        <w:tc>
          <w:tcPr>
            <w:tcW w:w="391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完善教室装备保障机制，提高教室护眼灯使用效率，保障正常教育教学。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项目金额测算</w:t>
            </w: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00万元</w:t>
            </w:r>
          </w:p>
        </w:tc>
        <w:tc>
          <w:tcPr>
            <w:tcW w:w="391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项目预计效益</w:t>
            </w:r>
          </w:p>
        </w:tc>
        <w:tc>
          <w:tcPr>
            <w:tcW w:w="29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完善实战化装备保障机制，提高执法效率，保障执法安全；加大公安信息化、基础设施和重点技术装备建设，为基层一线实战提供保障。</w:t>
            </w:r>
          </w:p>
        </w:tc>
        <w:tc>
          <w:tcPr>
            <w:tcW w:w="391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完善教室用眼护眼环境保障机制，加大教学环境信息化、基础设施和重点技术装备建设，为基层一线实战提供保障。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服务对象满意度</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c>
          <w:tcPr>
            <w:tcW w:w="391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w:t>
            </w:r>
          </w:p>
        </w:tc>
        <w:tc>
          <w:tcPr>
            <w:tcW w:w="2955" w:type="dxa"/>
            <w:gridSpan w:val="4"/>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15"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0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项目资金申报数（万元）</w:t>
            </w:r>
          </w:p>
        </w:tc>
        <w:tc>
          <w:tcPr>
            <w:tcW w:w="133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62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预算拨款安排</w:t>
            </w:r>
          </w:p>
        </w:tc>
        <w:tc>
          <w:tcPr>
            <w:tcW w:w="1455"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885"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基金支出安排</w:t>
            </w:r>
          </w:p>
        </w:tc>
        <w:tc>
          <w:tcPr>
            <w:tcW w:w="157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财政拨款安排</w:t>
            </w:r>
          </w:p>
        </w:tc>
        <w:tc>
          <w:tcPr>
            <w:tcW w:w="129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1455"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5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00</w:t>
            </w:r>
          </w:p>
        </w:tc>
        <w:tc>
          <w:tcPr>
            <w:tcW w:w="6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widowControl/>
        <w:shd w:val="clear" w:color="auto" w:fill="FFFFFF"/>
        <w:spacing w:line="600" w:lineRule="atLeast"/>
        <w:ind w:firstLine="600"/>
        <w:rPr>
          <w:rFonts w:hint="eastAsia" w:ascii="仿宋_GB2312" w:hAnsi="宋体" w:eastAsia="仿宋_GB2312" w:cs="仿宋_GB2312"/>
          <w:color w:val="333333"/>
          <w:kern w:val="0"/>
          <w:sz w:val="30"/>
          <w:szCs w:val="30"/>
          <w:shd w:val="clear" w:color="auto" w:fill="FFFFFF"/>
          <w:lang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753"/>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t>6</w:t>
      </w:r>
      <w:r>
        <w:rPr>
          <w:rFonts w:ascii="仿宋_GB2312" w:hAnsi="宋体" w:eastAsia="仿宋_GB2312" w:cs="仿宋_GB2312"/>
          <w:b/>
          <w:bCs/>
          <w:i w:val="0"/>
          <w:iCs w:val="0"/>
          <w:caps w:val="0"/>
          <w:color w:val="333333"/>
          <w:spacing w:val="0"/>
          <w:kern w:val="0"/>
          <w:sz w:val="30"/>
          <w:szCs w:val="30"/>
          <w:shd w:val="clear" w:color="auto" w:fill="FFFFFF"/>
          <w:lang w:val="en-US" w:eastAsia="zh-CN" w:bidi="ar"/>
        </w:rPr>
        <w:t>.“</w:t>
      </w:r>
      <w:r>
        <w:rPr>
          <w:rFonts w:hint="eastAsia" w:ascii="仿宋_GB2312" w:hAnsi="宋体" w:eastAsia="仿宋_GB2312" w:cs="仿宋_GB2312"/>
          <w:b/>
          <w:bCs/>
          <w:i w:val="0"/>
          <w:iCs w:val="0"/>
          <w:caps w:val="0"/>
          <w:color w:val="333333"/>
          <w:spacing w:val="0"/>
          <w:kern w:val="0"/>
          <w:sz w:val="30"/>
          <w:szCs w:val="30"/>
          <w:shd w:val="clear" w:color="auto" w:fill="FFFFFF"/>
          <w:lang w:val="en-US" w:eastAsia="zh-CN" w:bidi="ar"/>
        </w:rPr>
        <w:t>5G+智慧课堂专项资金</w:t>
      </w:r>
      <w:r>
        <w:rPr>
          <w:rFonts w:ascii="仿宋_GB2312" w:hAnsi="宋体" w:eastAsia="仿宋_GB2312" w:cs="仿宋_GB2312"/>
          <w:b/>
          <w:bCs/>
          <w:i w:val="0"/>
          <w:iCs w:val="0"/>
          <w:caps w:val="0"/>
          <w:color w:val="333333"/>
          <w:spacing w:val="0"/>
          <w:kern w:val="0"/>
          <w:sz w:val="30"/>
          <w:szCs w:val="30"/>
          <w:shd w:val="clear" w:color="auto" w:fill="FFFFFF"/>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1）项目概述：为了迎接全国义务教育优质均衡示范区的验收，对标优质均衡指标，全区在信息化校园建设、图书册数、教学仪器设备值、信息化基础环境和功能教室配备方面还有很大差距，为了保证相山区教育优质均衡创建顺利完成，参照市教育局建设标准和预算，结合我区实际情况，拟定建设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（2）立项依据：《安徽省中小学优质均衡建设标准》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（3）起止时间：2023年-2023年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（4）项目内容：73套智慧课堂设备；27.8万册图书；8口实验室、7口科学探究室、23套音乐室、23套美术室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（5）年度预算安排：300万元</w:t>
      </w:r>
    </w:p>
    <w:p>
      <w:pPr>
        <w:adjustRightInd w:val="0"/>
        <w:snapToGrid w:val="0"/>
        <w:spacing w:line="600" w:lineRule="exact"/>
        <w:ind w:firstLine="600" w:firstLineChars="200"/>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pPr>
      <w:r>
        <w:rPr>
          <w:rFonts w:hint="eastAsia" w:ascii="仿宋_GB2312" w:hAnsi="宋体" w:eastAsia="仿宋_GB2312" w:cs="仿宋_GB2312"/>
          <w:i w:val="0"/>
          <w:iCs w:val="0"/>
          <w:caps w:val="0"/>
          <w:color w:val="333333"/>
          <w:spacing w:val="0"/>
          <w:kern w:val="0"/>
          <w:sz w:val="30"/>
          <w:szCs w:val="30"/>
          <w:shd w:val="clear" w:color="auto" w:fill="FFFFFF"/>
          <w:lang w:val="en-US" w:eastAsia="zh-CN" w:bidi="ar"/>
        </w:rPr>
        <w:t>（6）绩效目标：创造更好的教学环境，提高教学质量。</w:t>
      </w:r>
    </w:p>
    <w:tbl>
      <w:tblPr>
        <w:tblStyle w:val="7"/>
        <w:tblW w:w="9481"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7"/>
        <w:gridCol w:w="2301"/>
        <w:gridCol w:w="675"/>
        <w:gridCol w:w="557"/>
        <w:gridCol w:w="236"/>
        <w:gridCol w:w="1307"/>
        <w:gridCol w:w="240"/>
        <w:gridCol w:w="313"/>
        <w:gridCol w:w="240"/>
        <w:gridCol w:w="671"/>
        <w:gridCol w:w="553"/>
        <w:gridCol w:w="131"/>
        <w:gridCol w:w="313"/>
        <w:gridCol w:w="240"/>
        <w:gridCol w:w="44"/>
        <w:gridCol w:w="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720" w:hRule="atLeast"/>
        </w:trPr>
        <w:tc>
          <w:tcPr>
            <w:tcW w:w="8928"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379" w:hRule="atLeast"/>
        </w:trPr>
        <w:tc>
          <w:tcPr>
            <w:tcW w:w="8928"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0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填报单位（盖章）：相山区   </w:t>
            </w:r>
          </w:p>
        </w:tc>
        <w:tc>
          <w:tcPr>
            <w:tcW w:w="230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6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2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9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20"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533"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5G+智慧课堂专项资金</w:t>
            </w:r>
          </w:p>
        </w:tc>
        <w:tc>
          <w:tcPr>
            <w:tcW w:w="1783"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2505" w:type="dxa"/>
            <w:gridSpan w:val="8"/>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30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淮北市相山区教育局</w:t>
            </w:r>
          </w:p>
        </w:tc>
        <w:tc>
          <w:tcPr>
            <w:tcW w:w="675"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7"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6"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0" w:type="dxa"/>
            <w:gridSpan w:val="4"/>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w:t>
            </w:r>
          </w:p>
        </w:tc>
        <w:tc>
          <w:tcPr>
            <w:tcW w:w="25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项目起止时间</w:t>
            </w:r>
          </w:p>
        </w:tc>
        <w:tc>
          <w:tcPr>
            <w:tcW w:w="230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p>
        </w:tc>
        <w:tc>
          <w:tcPr>
            <w:tcW w:w="675"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7"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6"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项目资金属性</w:t>
            </w:r>
          </w:p>
        </w:tc>
        <w:tc>
          <w:tcPr>
            <w:tcW w:w="1224"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w:t>
            </w:r>
          </w:p>
        </w:tc>
        <w:tc>
          <w:tcPr>
            <w:tcW w:w="444" w:type="dxa"/>
            <w:gridSpan w:val="2"/>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7" w:type="dxa"/>
            <w:gridSpan w:val="2"/>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07"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项目分类</w:t>
            </w:r>
          </w:p>
        </w:tc>
        <w:tc>
          <w:tcPr>
            <w:tcW w:w="2301"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专项业务费</w:t>
            </w:r>
          </w:p>
        </w:tc>
        <w:tc>
          <w:tcPr>
            <w:tcW w:w="675"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6"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项目级次</w:t>
            </w:r>
          </w:p>
        </w:tc>
        <w:tc>
          <w:tcPr>
            <w:tcW w:w="1224" w:type="dxa"/>
            <w:gridSpan w:val="2"/>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w:t>
            </w:r>
          </w:p>
        </w:tc>
        <w:tc>
          <w:tcPr>
            <w:tcW w:w="444" w:type="dxa"/>
            <w:gridSpan w:val="2"/>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0" w:type="dxa"/>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7"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淮北市教育局</w:t>
            </w: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122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97" w:type="dxa"/>
            <w:gridSpan w:val="2"/>
            <w:tcBorders>
              <w:top w:val="nil"/>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30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57"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36"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项目实施时限</w:t>
            </w:r>
          </w:p>
        </w:tc>
        <w:tc>
          <w:tcPr>
            <w:tcW w:w="1224" w:type="dxa"/>
            <w:gridSpan w:val="2"/>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1-12月份</w:t>
            </w:r>
          </w:p>
        </w:tc>
        <w:tc>
          <w:tcPr>
            <w:tcW w:w="444" w:type="dxa"/>
            <w:gridSpan w:val="2"/>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40" w:type="dxa"/>
            <w:tcBorders>
              <w:top w:val="single" w:color="000000" w:sz="4"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597" w:type="dxa"/>
            <w:gridSpan w:val="2"/>
            <w:tcBorders>
              <w:top w:val="single" w:color="000000" w:sz="4" w:space="0"/>
              <w:left w:val="nil"/>
              <w:bottom w:val="nil"/>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799" w:hRule="atLeast"/>
        </w:trPr>
        <w:tc>
          <w:tcPr>
            <w:tcW w:w="110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项目实施单位职能概述</w:t>
            </w:r>
          </w:p>
        </w:tc>
        <w:tc>
          <w:tcPr>
            <w:tcW w:w="782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建设优质均衡校园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780"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p>
        </w:tc>
        <w:tc>
          <w:tcPr>
            <w:tcW w:w="782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615"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项目立项依据类型</w:t>
            </w:r>
          </w:p>
        </w:tc>
        <w:tc>
          <w:tcPr>
            <w:tcW w:w="7821" w:type="dxa"/>
            <w:gridSpan w:val="1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上级文件提出任务要求的事项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62"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项目立项依据</w:t>
            </w:r>
          </w:p>
        </w:tc>
        <w:tc>
          <w:tcPr>
            <w:tcW w:w="7821" w:type="dxa"/>
            <w:gridSpan w:val="1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660" w:hRule="atLeast"/>
        </w:trPr>
        <w:tc>
          <w:tcPr>
            <w:tcW w:w="11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项目实施可行性必要性</w:t>
            </w:r>
          </w:p>
        </w:tc>
        <w:tc>
          <w:tcPr>
            <w:tcW w:w="7821" w:type="dxa"/>
            <w:gridSpan w:val="1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创建全国义务教育优质均衡示范区，增加投入，改善办学条件。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99"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项目绩效目标概述</w:t>
            </w:r>
          </w:p>
        </w:tc>
        <w:tc>
          <w:tcPr>
            <w:tcW w:w="5076" w:type="dxa"/>
            <w:gridSpan w:val="5"/>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2745" w:type="dxa"/>
            <w:gridSpan w:val="9"/>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855"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c>
          <w:tcPr>
            <w:tcW w:w="2745"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99"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项目完成数量</w:t>
            </w: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45" w:type="dxa"/>
            <w:gridSpan w:val="9"/>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99"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项目实施进度</w:t>
            </w: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45"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750"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项目完成质量</w:t>
            </w: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c>
          <w:tcPr>
            <w:tcW w:w="2745"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99"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项目金额测算</w:t>
            </w: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300</w:t>
            </w:r>
            <w:r>
              <w:rPr>
                <w:rFonts w:hint="eastAsia" w:ascii="宋体" w:hAnsi="宋体" w:eastAsia="宋体" w:cs="宋体"/>
                <w:i w:val="0"/>
                <w:iCs w:val="0"/>
                <w:color w:val="000000"/>
                <w:kern w:val="0"/>
                <w:sz w:val="20"/>
                <w:szCs w:val="20"/>
                <w:u w:val="none"/>
                <w:lang w:val="en-US" w:eastAsia="zh-CN" w:bidi="ar"/>
              </w:rPr>
              <w:t>万元</w:t>
            </w:r>
          </w:p>
        </w:tc>
        <w:tc>
          <w:tcPr>
            <w:tcW w:w="2745"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795"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项目预计效益</w:t>
            </w:r>
          </w:p>
        </w:tc>
        <w:tc>
          <w:tcPr>
            <w:tcW w:w="5076"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c>
          <w:tcPr>
            <w:tcW w:w="2745" w:type="dxa"/>
            <w:gridSpan w:val="9"/>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为了创建全国义务教育优质均衡示范区，对标优质均衡指标，全区在信息化校园建设、图书册数、教学仪器设备值、信息化基础环境和功能教室配备方面增加投入，采购设备。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3" w:type="dxa"/>
          <w:trHeight w:val="499"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服务对象满意度</w:t>
            </w:r>
          </w:p>
        </w:tc>
        <w:tc>
          <w:tcPr>
            <w:tcW w:w="50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c>
          <w:tcPr>
            <w:tcW w:w="2745" w:type="dxa"/>
            <w:gridSpan w:val="9"/>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3" w:type="dxa"/>
          <w:trHeight w:val="499" w:hRule="atLeast"/>
        </w:trPr>
        <w:tc>
          <w:tcPr>
            <w:tcW w:w="110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w:t>
            </w:r>
          </w:p>
        </w:tc>
        <w:tc>
          <w:tcPr>
            <w:tcW w:w="5076"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45" w:type="dxa"/>
            <w:gridSpan w:val="9"/>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3" w:type="dxa"/>
          <w:trHeight w:val="420" w:hRule="atLeast"/>
        </w:trPr>
        <w:tc>
          <w:tcPr>
            <w:tcW w:w="110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项目资金申报数（万元）</w:t>
            </w:r>
          </w:p>
        </w:tc>
        <w:tc>
          <w:tcPr>
            <w:tcW w:w="230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277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预算拨款安排</w:t>
            </w:r>
          </w:p>
        </w:tc>
        <w:tc>
          <w:tcPr>
            <w:tcW w:w="1464" w:type="dxa"/>
            <w:gridSpan w:val="4"/>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纳入专户管理政府非税收入</w:t>
            </w:r>
          </w:p>
        </w:tc>
        <w:tc>
          <w:tcPr>
            <w:tcW w:w="684"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基金支出安排</w:t>
            </w:r>
          </w:p>
        </w:tc>
        <w:tc>
          <w:tcPr>
            <w:tcW w:w="597" w:type="dxa"/>
            <w:gridSpan w:val="3"/>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3" w:type="dxa"/>
          <w:trHeight w:val="720" w:hRule="atLeast"/>
        </w:trPr>
        <w:tc>
          <w:tcPr>
            <w:tcW w:w="11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财政拨款安排</w:t>
            </w:r>
          </w:p>
        </w:tc>
        <w:tc>
          <w:tcPr>
            <w:tcW w:w="1543"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预算内政府非税收入</w:t>
            </w:r>
          </w:p>
        </w:tc>
        <w:tc>
          <w:tcPr>
            <w:tcW w:w="1464" w:type="dxa"/>
            <w:gridSpan w:val="4"/>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4"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7" w:type="dxa"/>
            <w:gridSpan w:val="3"/>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3" w:type="dxa"/>
          <w:trHeight w:val="645" w:hRule="atLeast"/>
        </w:trPr>
        <w:tc>
          <w:tcPr>
            <w:tcW w:w="110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4"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97" w:type="dxa"/>
            <w:gridSpan w:val="3"/>
            <w:tcBorders>
              <w:top w:val="single" w:color="000000"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adjustRightInd w:val="0"/>
        <w:snapToGrid w:val="0"/>
        <w:spacing w:line="600" w:lineRule="exact"/>
        <w:ind w:firstLine="600" w:firstLineChars="200"/>
        <w:rPr>
          <w:rFonts w:hint="default" w:ascii="仿宋_GB2312" w:hAnsi="宋体" w:eastAsia="仿宋_GB2312" w:cs="仿宋_GB2312"/>
          <w:i w:val="0"/>
          <w:iCs w:val="0"/>
          <w:caps w:val="0"/>
          <w:color w:val="333333"/>
          <w:spacing w:val="0"/>
          <w:kern w:val="0"/>
          <w:sz w:val="30"/>
          <w:szCs w:val="30"/>
          <w:shd w:val="clear" w:color="auto" w:fill="FFFFFF"/>
          <w:lang w:val="en-US" w:eastAsia="zh-CN" w:bidi="ar"/>
        </w:rPr>
      </w:pP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19.9</w:t>
      </w:r>
      <w:r>
        <w:rPr>
          <w:rFonts w:hint="eastAsia" w:ascii="仿宋_GB2312" w:hAnsi="仿宋" w:eastAsia="仿宋_GB2312"/>
          <w:sz w:val="32"/>
          <w:szCs w:val="32"/>
        </w:rPr>
        <w:t>元，比202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减少2.78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降低12.26</w:t>
      </w:r>
      <w:r>
        <w:rPr>
          <w:rFonts w:hint="eastAsia" w:ascii="仿宋_GB2312" w:hAnsi="仿宋" w:eastAsia="仿宋_GB2312"/>
          <w:sz w:val="32"/>
          <w:szCs w:val="32"/>
        </w:rPr>
        <w:t>%，主要原因是</w:t>
      </w:r>
      <w:r>
        <w:rPr>
          <w:rFonts w:hint="eastAsia" w:ascii="仿宋_GB2312" w:hAnsi="仿宋" w:eastAsia="仿宋_GB2312"/>
          <w:sz w:val="32"/>
          <w:szCs w:val="32"/>
          <w:lang w:val="en-US" w:eastAsia="zh-CN"/>
        </w:rPr>
        <w:t>人员减少，综合定额减少</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lang w:val="en-US" w:eastAsia="zh-CN"/>
        </w:rPr>
        <w:t>相山区教育局</w:t>
      </w:r>
      <w:r>
        <w:rPr>
          <w:rFonts w:hint="eastAsia" w:ascii="仿宋_GB2312" w:hAnsi="楷体" w:eastAsia="仿宋_GB2312"/>
          <w:sz w:val="32"/>
          <w:szCs w:val="32"/>
        </w:rPr>
        <w:t>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cs="宋体"/>
          <w:kern w:val="0"/>
          <w:sz w:val="32"/>
          <w:szCs w:val="32"/>
          <w:lang w:val="en-US" w:eastAsia="zh-CN"/>
        </w:rPr>
        <w:t>相山区教育局</w:t>
      </w:r>
      <w:r>
        <w:rPr>
          <w:rFonts w:hint="eastAsia" w:ascii="仿宋_GB2312" w:hAnsi="楷体" w:eastAsia="仿宋_GB2312"/>
          <w:sz w:val="32"/>
          <w:szCs w:val="32"/>
        </w:rPr>
        <w:t>存量国有资产主要包括：房屋建筑物</w:t>
      </w:r>
      <w:r>
        <w:rPr>
          <w:rFonts w:hint="eastAsia" w:ascii="仿宋_GB2312" w:hAnsi="楷体" w:eastAsia="仿宋_GB2312"/>
          <w:sz w:val="32"/>
          <w:szCs w:val="32"/>
          <w:lang w:val="en-US" w:eastAsia="zh-CN"/>
        </w:rPr>
        <w:t>8727.06</w:t>
      </w:r>
      <w:r>
        <w:rPr>
          <w:rFonts w:hint="eastAsia" w:ascii="仿宋_GB2312" w:hAnsi="楷体" w:eastAsia="仿宋_GB2312"/>
          <w:sz w:val="32"/>
          <w:szCs w:val="32"/>
        </w:rPr>
        <w:t>万元</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资产存量21378.79万元、图书560.9万元等</w:t>
      </w:r>
      <w:r>
        <w:rPr>
          <w:rFonts w:hint="eastAsia" w:ascii="仿宋_GB2312" w:hAnsi="楷体" w:eastAsia="仿宋_GB2312"/>
          <w:sz w:val="32"/>
          <w:szCs w:val="32"/>
        </w:rPr>
        <w:t>。</w:t>
      </w:r>
      <w:bookmarkStart w:id="0" w:name="_GoBack"/>
      <w:bookmarkEnd w:id="0"/>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楷体"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cs="宋体"/>
          <w:kern w:val="0"/>
          <w:sz w:val="32"/>
          <w:szCs w:val="32"/>
          <w:lang w:val="en-US" w:eastAsia="zh-CN"/>
        </w:rPr>
        <w:t>相山区教育局（本级）</w:t>
      </w:r>
      <w:r>
        <w:rPr>
          <w:rFonts w:hint="eastAsia" w:ascii="仿宋_GB2312" w:hAnsi="楷体" w:eastAsia="仿宋_GB2312"/>
          <w:sz w:val="32"/>
          <w:szCs w:val="32"/>
        </w:rPr>
        <w:t>共有</w:t>
      </w:r>
      <w:r>
        <w:rPr>
          <w:rFonts w:hint="eastAsia" w:ascii="仿宋_GB2312" w:hAnsi="楷体" w:eastAsia="仿宋_GB2312"/>
          <w:sz w:val="32"/>
          <w:szCs w:val="32"/>
          <w:lang w:val="en-US" w:eastAsia="zh-CN"/>
        </w:rPr>
        <w:t>校长职级制工资、夕阳红工资、淮师大合作办学经费、5G+智慧课堂、民办普惠幼儿园奖补资金、近视眼防控资金等6</w:t>
      </w:r>
      <w:r>
        <w:rPr>
          <w:rFonts w:hint="eastAsia" w:ascii="仿宋_GB2312" w:hAnsi="楷体" w:eastAsia="仿宋_GB2312"/>
          <w:sz w:val="32"/>
          <w:szCs w:val="32"/>
        </w:rPr>
        <w:t>个项目实行了绩效目标管理，涉及</w:t>
      </w:r>
      <w:r>
        <w:rPr>
          <w:rFonts w:hint="eastAsia" w:ascii="仿宋_GB2312" w:hAnsi="仿宋" w:eastAsia="仿宋_GB2312"/>
          <w:sz w:val="32"/>
          <w:szCs w:val="32"/>
        </w:rPr>
        <w:t>一般公共预算当年财政拨款</w:t>
      </w:r>
      <w:r>
        <w:rPr>
          <w:rFonts w:hint="eastAsia" w:ascii="仿宋_GB2312" w:hAnsi="仿宋" w:eastAsia="仿宋_GB2312"/>
          <w:sz w:val="32"/>
          <w:szCs w:val="32"/>
          <w:lang w:val="en-US" w:eastAsia="zh-CN"/>
        </w:rPr>
        <w:t>1524.2</w:t>
      </w:r>
      <w:r>
        <w:rPr>
          <w:rFonts w:hint="eastAsia" w:ascii="仿宋_GB2312" w:hAnsi="仿宋" w:eastAsia="仿宋_GB2312"/>
          <w:sz w:val="32"/>
          <w:szCs w:val="32"/>
        </w:rPr>
        <w:t>万元、政府性基金预算当年财政拨款0万元、财政专户管理资金当年安排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cs="宋体"/>
          <w:kern w:val="0"/>
          <w:sz w:val="32"/>
          <w:szCs w:val="32"/>
          <w:lang w:val="en-US" w:eastAsia="zh-CN"/>
        </w:rPr>
        <w:t>相山区教育局</w:t>
      </w:r>
      <w:r>
        <w:rPr>
          <w:rFonts w:hint="eastAsia" w:ascii="仿宋_GB2312" w:hAnsi="楷体" w:eastAsia="仿宋_GB2312"/>
          <w:sz w:val="32"/>
          <w:szCs w:val="32"/>
        </w:rPr>
        <w:t>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年项目支出按规定设置支出绩效目标，实行部门自评或第三方评价。</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黑体" w:eastAsia="仿宋_GB2312"/>
          <w:sz w:val="32"/>
          <w:szCs w:val="32"/>
        </w:rPr>
        <w:t>指部门或单位从同级财政部门取得的财政预算资金。</w:t>
      </w:r>
    </w:p>
    <w:p>
      <w:pPr>
        <w:pStyle w:val="6"/>
        <w:spacing w:before="0" w:beforeAutospacing="0" w:after="0" w:afterAutospacing="0" w:line="600" w:lineRule="exact"/>
        <w:ind w:firstLine="627" w:firstLineChars="196"/>
        <w:jc w:val="both"/>
        <w:rPr>
          <w:rFonts w:ascii="黑体" w:hAnsi="黑体" w:eastAsia="黑体"/>
          <w:sz w:val="32"/>
          <w:szCs w:val="32"/>
        </w:rPr>
      </w:pPr>
      <w:r>
        <w:rPr>
          <w:rFonts w:hint="eastAsia" w:ascii="黑体" w:hAnsi="仿宋" w:eastAsia="黑体"/>
          <w:sz w:val="32"/>
          <w:szCs w:val="32"/>
        </w:rPr>
        <w:t>二、事业收入：</w:t>
      </w:r>
      <w:r>
        <w:rPr>
          <w:rFonts w:hint="eastAsia" w:ascii="仿宋_GB2312" w:hAnsi="黑体" w:eastAsia="仿宋_GB2312"/>
          <w:sz w:val="32"/>
          <w:szCs w:val="32"/>
        </w:rPr>
        <w:t>指事业单</w:t>
      </w:r>
      <w:r>
        <w:rPr>
          <w:rFonts w:hint="eastAsia" w:ascii="仿宋_GB2312" w:hAnsi="仿宋" w:eastAsia="仿宋_GB2312" w:cs="Times New Roman"/>
          <w:kern w:val="2"/>
          <w:sz w:val="32"/>
          <w:szCs w:val="32"/>
        </w:rPr>
        <w:t>位开展专业业务活动及辅助活动所取得的收入。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headerReference r:id="rId3" w:type="default"/>
      <w:footerReference r:id="rId4"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21</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lvl>
  </w:abstractNum>
  <w:abstractNum w:abstractNumId="1">
    <w:nsid w:val="70B20DC9"/>
    <w:multiLevelType w:val="singleLevel"/>
    <w:tmpl w:val="70B20DC9"/>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jMDZmYzcyMDk5ZDZhMWQ3MjI5NGE5OTNiNGU1MWQifQ=="/>
  </w:docVars>
  <w:rsids>
    <w:rsidRoot w:val="00172A27"/>
    <w:rsid w:val="00001C4D"/>
    <w:rsid w:val="0000665B"/>
    <w:rsid w:val="00020DE5"/>
    <w:rsid w:val="0002245A"/>
    <w:rsid w:val="000228E5"/>
    <w:rsid w:val="000235D0"/>
    <w:rsid w:val="00035F11"/>
    <w:rsid w:val="0004172E"/>
    <w:rsid w:val="00041A3C"/>
    <w:rsid w:val="00044AF5"/>
    <w:rsid w:val="00046C78"/>
    <w:rsid w:val="00066783"/>
    <w:rsid w:val="00066E8F"/>
    <w:rsid w:val="0007222A"/>
    <w:rsid w:val="000767EB"/>
    <w:rsid w:val="00080FA1"/>
    <w:rsid w:val="000876F2"/>
    <w:rsid w:val="000A2B6B"/>
    <w:rsid w:val="000A440A"/>
    <w:rsid w:val="000A7793"/>
    <w:rsid w:val="000B102E"/>
    <w:rsid w:val="000B7C34"/>
    <w:rsid w:val="000E4F06"/>
    <w:rsid w:val="000E5985"/>
    <w:rsid w:val="000F591D"/>
    <w:rsid w:val="000F678E"/>
    <w:rsid w:val="000F753C"/>
    <w:rsid w:val="001003FB"/>
    <w:rsid w:val="00101A9A"/>
    <w:rsid w:val="00102014"/>
    <w:rsid w:val="00103721"/>
    <w:rsid w:val="001055D0"/>
    <w:rsid w:val="001119B2"/>
    <w:rsid w:val="00112450"/>
    <w:rsid w:val="00116634"/>
    <w:rsid w:val="00120CF9"/>
    <w:rsid w:val="001278AA"/>
    <w:rsid w:val="00130175"/>
    <w:rsid w:val="00130975"/>
    <w:rsid w:val="001431FA"/>
    <w:rsid w:val="00144CED"/>
    <w:rsid w:val="00153162"/>
    <w:rsid w:val="00154EB8"/>
    <w:rsid w:val="0015647F"/>
    <w:rsid w:val="001576E5"/>
    <w:rsid w:val="00165ECB"/>
    <w:rsid w:val="001672C6"/>
    <w:rsid w:val="00167FC2"/>
    <w:rsid w:val="001748CD"/>
    <w:rsid w:val="0017717F"/>
    <w:rsid w:val="001822C2"/>
    <w:rsid w:val="00194180"/>
    <w:rsid w:val="00197EB0"/>
    <w:rsid w:val="001A022B"/>
    <w:rsid w:val="001A1297"/>
    <w:rsid w:val="001A252D"/>
    <w:rsid w:val="001B3434"/>
    <w:rsid w:val="001C0BD2"/>
    <w:rsid w:val="001C0F29"/>
    <w:rsid w:val="001D029A"/>
    <w:rsid w:val="001D561C"/>
    <w:rsid w:val="001D7312"/>
    <w:rsid w:val="001D7C57"/>
    <w:rsid w:val="001E46D7"/>
    <w:rsid w:val="001F0790"/>
    <w:rsid w:val="001F07F0"/>
    <w:rsid w:val="001F37B1"/>
    <w:rsid w:val="0020030E"/>
    <w:rsid w:val="00201BB6"/>
    <w:rsid w:val="00204AF2"/>
    <w:rsid w:val="00204EFF"/>
    <w:rsid w:val="00210E2A"/>
    <w:rsid w:val="00212A5F"/>
    <w:rsid w:val="00213575"/>
    <w:rsid w:val="00213A99"/>
    <w:rsid w:val="002161FA"/>
    <w:rsid w:val="00216582"/>
    <w:rsid w:val="00216F14"/>
    <w:rsid w:val="00221EC9"/>
    <w:rsid w:val="00223DD6"/>
    <w:rsid w:val="002258E7"/>
    <w:rsid w:val="00232957"/>
    <w:rsid w:val="0023587C"/>
    <w:rsid w:val="00235E7C"/>
    <w:rsid w:val="002378BB"/>
    <w:rsid w:val="00240354"/>
    <w:rsid w:val="00241D6B"/>
    <w:rsid w:val="0024264B"/>
    <w:rsid w:val="00244ADF"/>
    <w:rsid w:val="00245307"/>
    <w:rsid w:val="0024555D"/>
    <w:rsid w:val="002459CF"/>
    <w:rsid w:val="002640F7"/>
    <w:rsid w:val="00264952"/>
    <w:rsid w:val="00266F6F"/>
    <w:rsid w:val="00271BD2"/>
    <w:rsid w:val="002731B1"/>
    <w:rsid w:val="00274682"/>
    <w:rsid w:val="00281B96"/>
    <w:rsid w:val="002822B7"/>
    <w:rsid w:val="002843F3"/>
    <w:rsid w:val="002912FF"/>
    <w:rsid w:val="0029292C"/>
    <w:rsid w:val="00295A7D"/>
    <w:rsid w:val="002A0119"/>
    <w:rsid w:val="002A0890"/>
    <w:rsid w:val="002A1106"/>
    <w:rsid w:val="002A15BD"/>
    <w:rsid w:val="002A201D"/>
    <w:rsid w:val="002A6E39"/>
    <w:rsid w:val="002C451D"/>
    <w:rsid w:val="002D1FE7"/>
    <w:rsid w:val="002D3CBA"/>
    <w:rsid w:val="002D5BA6"/>
    <w:rsid w:val="002E6EE7"/>
    <w:rsid w:val="002F50BC"/>
    <w:rsid w:val="002F6B5C"/>
    <w:rsid w:val="00315AC7"/>
    <w:rsid w:val="003202A5"/>
    <w:rsid w:val="00322E4D"/>
    <w:rsid w:val="00326660"/>
    <w:rsid w:val="00326E4D"/>
    <w:rsid w:val="0033096E"/>
    <w:rsid w:val="0034241B"/>
    <w:rsid w:val="003479E4"/>
    <w:rsid w:val="003607C5"/>
    <w:rsid w:val="003613BE"/>
    <w:rsid w:val="00361D0B"/>
    <w:rsid w:val="00364339"/>
    <w:rsid w:val="003708B2"/>
    <w:rsid w:val="00372475"/>
    <w:rsid w:val="0037368D"/>
    <w:rsid w:val="00374A95"/>
    <w:rsid w:val="003764C5"/>
    <w:rsid w:val="003853BB"/>
    <w:rsid w:val="003872E9"/>
    <w:rsid w:val="00387A5C"/>
    <w:rsid w:val="00390C02"/>
    <w:rsid w:val="00392333"/>
    <w:rsid w:val="00396026"/>
    <w:rsid w:val="003A1262"/>
    <w:rsid w:val="003A3AB3"/>
    <w:rsid w:val="003A4FEE"/>
    <w:rsid w:val="003B70C8"/>
    <w:rsid w:val="003C11AF"/>
    <w:rsid w:val="003C18FB"/>
    <w:rsid w:val="003C3C10"/>
    <w:rsid w:val="003C5996"/>
    <w:rsid w:val="003C69BD"/>
    <w:rsid w:val="003D2A66"/>
    <w:rsid w:val="003D5C34"/>
    <w:rsid w:val="003D7E92"/>
    <w:rsid w:val="003E20CD"/>
    <w:rsid w:val="003E43F8"/>
    <w:rsid w:val="003E4E65"/>
    <w:rsid w:val="003E5F03"/>
    <w:rsid w:val="003F17B8"/>
    <w:rsid w:val="003F43DA"/>
    <w:rsid w:val="003F4E12"/>
    <w:rsid w:val="003F6420"/>
    <w:rsid w:val="003F736F"/>
    <w:rsid w:val="003F7F66"/>
    <w:rsid w:val="0040046F"/>
    <w:rsid w:val="00405697"/>
    <w:rsid w:val="004074D7"/>
    <w:rsid w:val="00416F0B"/>
    <w:rsid w:val="004205EB"/>
    <w:rsid w:val="00422A81"/>
    <w:rsid w:val="004271C2"/>
    <w:rsid w:val="0043251E"/>
    <w:rsid w:val="004348D5"/>
    <w:rsid w:val="00437BA9"/>
    <w:rsid w:val="00440A20"/>
    <w:rsid w:val="00456891"/>
    <w:rsid w:val="00464B12"/>
    <w:rsid w:val="00465890"/>
    <w:rsid w:val="00466472"/>
    <w:rsid w:val="00475066"/>
    <w:rsid w:val="00477601"/>
    <w:rsid w:val="00477896"/>
    <w:rsid w:val="0048167F"/>
    <w:rsid w:val="0048209E"/>
    <w:rsid w:val="00485EE7"/>
    <w:rsid w:val="00486114"/>
    <w:rsid w:val="004869A4"/>
    <w:rsid w:val="0048782D"/>
    <w:rsid w:val="004A17BF"/>
    <w:rsid w:val="004A34C0"/>
    <w:rsid w:val="004A4E47"/>
    <w:rsid w:val="004A63C3"/>
    <w:rsid w:val="004B18F7"/>
    <w:rsid w:val="004B45C1"/>
    <w:rsid w:val="004B7D26"/>
    <w:rsid w:val="004C2D13"/>
    <w:rsid w:val="004C2FB4"/>
    <w:rsid w:val="004C39F8"/>
    <w:rsid w:val="004D16C1"/>
    <w:rsid w:val="004D5AFE"/>
    <w:rsid w:val="004E4543"/>
    <w:rsid w:val="005035AE"/>
    <w:rsid w:val="00511848"/>
    <w:rsid w:val="00513252"/>
    <w:rsid w:val="00514A2C"/>
    <w:rsid w:val="00515E34"/>
    <w:rsid w:val="0052098F"/>
    <w:rsid w:val="00521DDF"/>
    <w:rsid w:val="00527460"/>
    <w:rsid w:val="00530BC3"/>
    <w:rsid w:val="00532451"/>
    <w:rsid w:val="00536194"/>
    <w:rsid w:val="005415D6"/>
    <w:rsid w:val="00542C85"/>
    <w:rsid w:val="00544FC1"/>
    <w:rsid w:val="005560DF"/>
    <w:rsid w:val="005566B5"/>
    <w:rsid w:val="005672DB"/>
    <w:rsid w:val="00570085"/>
    <w:rsid w:val="00573536"/>
    <w:rsid w:val="005738ED"/>
    <w:rsid w:val="005749F4"/>
    <w:rsid w:val="0059103C"/>
    <w:rsid w:val="005A0A22"/>
    <w:rsid w:val="005B0ECF"/>
    <w:rsid w:val="005B4458"/>
    <w:rsid w:val="005B68B7"/>
    <w:rsid w:val="005C01D1"/>
    <w:rsid w:val="005C2D46"/>
    <w:rsid w:val="005C53D4"/>
    <w:rsid w:val="005C66FF"/>
    <w:rsid w:val="005D141D"/>
    <w:rsid w:val="005D7F46"/>
    <w:rsid w:val="005E39D1"/>
    <w:rsid w:val="005F42CE"/>
    <w:rsid w:val="005F43C4"/>
    <w:rsid w:val="005F67C0"/>
    <w:rsid w:val="005F7E38"/>
    <w:rsid w:val="006056A7"/>
    <w:rsid w:val="00612140"/>
    <w:rsid w:val="00612442"/>
    <w:rsid w:val="00614EC4"/>
    <w:rsid w:val="00615C41"/>
    <w:rsid w:val="006206C6"/>
    <w:rsid w:val="00620E62"/>
    <w:rsid w:val="00622F70"/>
    <w:rsid w:val="0062426F"/>
    <w:rsid w:val="00624941"/>
    <w:rsid w:val="006308F5"/>
    <w:rsid w:val="00631013"/>
    <w:rsid w:val="00633459"/>
    <w:rsid w:val="00634A98"/>
    <w:rsid w:val="006376DB"/>
    <w:rsid w:val="00645436"/>
    <w:rsid w:val="006456B8"/>
    <w:rsid w:val="0064594E"/>
    <w:rsid w:val="00654F07"/>
    <w:rsid w:val="00657A31"/>
    <w:rsid w:val="00670D77"/>
    <w:rsid w:val="00670DCE"/>
    <w:rsid w:val="00671243"/>
    <w:rsid w:val="00675C04"/>
    <w:rsid w:val="00680702"/>
    <w:rsid w:val="00685396"/>
    <w:rsid w:val="006A0FCD"/>
    <w:rsid w:val="006A288D"/>
    <w:rsid w:val="006A49EE"/>
    <w:rsid w:val="006A54A2"/>
    <w:rsid w:val="006A59F4"/>
    <w:rsid w:val="006B04A0"/>
    <w:rsid w:val="006B309C"/>
    <w:rsid w:val="006B5BB8"/>
    <w:rsid w:val="006C0606"/>
    <w:rsid w:val="006C0D39"/>
    <w:rsid w:val="006C46C1"/>
    <w:rsid w:val="006C5CA9"/>
    <w:rsid w:val="006F077B"/>
    <w:rsid w:val="00707041"/>
    <w:rsid w:val="00710E1F"/>
    <w:rsid w:val="007110A4"/>
    <w:rsid w:val="00714275"/>
    <w:rsid w:val="00715743"/>
    <w:rsid w:val="0071575A"/>
    <w:rsid w:val="00716783"/>
    <w:rsid w:val="00732B18"/>
    <w:rsid w:val="0073588B"/>
    <w:rsid w:val="007361AD"/>
    <w:rsid w:val="00740224"/>
    <w:rsid w:val="00740599"/>
    <w:rsid w:val="0074635D"/>
    <w:rsid w:val="00753AFD"/>
    <w:rsid w:val="00755B89"/>
    <w:rsid w:val="0075679D"/>
    <w:rsid w:val="00770877"/>
    <w:rsid w:val="00773CD9"/>
    <w:rsid w:val="00776EE1"/>
    <w:rsid w:val="00787632"/>
    <w:rsid w:val="007905E1"/>
    <w:rsid w:val="00795B9A"/>
    <w:rsid w:val="007A0D9E"/>
    <w:rsid w:val="007B76CC"/>
    <w:rsid w:val="007C24BB"/>
    <w:rsid w:val="007C719C"/>
    <w:rsid w:val="007E78AE"/>
    <w:rsid w:val="007F4DE1"/>
    <w:rsid w:val="00802C05"/>
    <w:rsid w:val="008274B3"/>
    <w:rsid w:val="00837C89"/>
    <w:rsid w:val="00850D77"/>
    <w:rsid w:val="00855475"/>
    <w:rsid w:val="00861823"/>
    <w:rsid w:val="008619C0"/>
    <w:rsid w:val="00866548"/>
    <w:rsid w:val="008671E1"/>
    <w:rsid w:val="00870B98"/>
    <w:rsid w:val="008715A1"/>
    <w:rsid w:val="00873BAD"/>
    <w:rsid w:val="00880749"/>
    <w:rsid w:val="0088165C"/>
    <w:rsid w:val="00884EF3"/>
    <w:rsid w:val="00887E4C"/>
    <w:rsid w:val="008938B9"/>
    <w:rsid w:val="008A5956"/>
    <w:rsid w:val="008B096B"/>
    <w:rsid w:val="008B6CBB"/>
    <w:rsid w:val="008C4CF4"/>
    <w:rsid w:val="008C576D"/>
    <w:rsid w:val="008C7933"/>
    <w:rsid w:val="008E0086"/>
    <w:rsid w:val="008E2EAA"/>
    <w:rsid w:val="008E3B53"/>
    <w:rsid w:val="008F429C"/>
    <w:rsid w:val="009004CD"/>
    <w:rsid w:val="009014F5"/>
    <w:rsid w:val="0090196E"/>
    <w:rsid w:val="0090208D"/>
    <w:rsid w:val="0091270C"/>
    <w:rsid w:val="00912832"/>
    <w:rsid w:val="00913636"/>
    <w:rsid w:val="00923265"/>
    <w:rsid w:val="0092492B"/>
    <w:rsid w:val="0092634C"/>
    <w:rsid w:val="009340C8"/>
    <w:rsid w:val="0094235B"/>
    <w:rsid w:val="00952F19"/>
    <w:rsid w:val="00954BA6"/>
    <w:rsid w:val="009636BD"/>
    <w:rsid w:val="00964BEC"/>
    <w:rsid w:val="00966E69"/>
    <w:rsid w:val="00971CE5"/>
    <w:rsid w:val="009772DC"/>
    <w:rsid w:val="0098072D"/>
    <w:rsid w:val="00994F0E"/>
    <w:rsid w:val="00996EB5"/>
    <w:rsid w:val="009A2AC0"/>
    <w:rsid w:val="009A2D76"/>
    <w:rsid w:val="009A4818"/>
    <w:rsid w:val="009B052D"/>
    <w:rsid w:val="009B63C8"/>
    <w:rsid w:val="009C2A87"/>
    <w:rsid w:val="009C7E66"/>
    <w:rsid w:val="009D6373"/>
    <w:rsid w:val="009E1D5C"/>
    <w:rsid w:val="009E2DE8"/>
    <w:rsid w:val="009E4968"/>
    <w:rsid w:val="00A012BA"/>
    <w:rsid w:val="00A01DE6"/>
    <w:rsid w:val="00A04B86"/>
    <w:rsid w:val="00A067BC"/>
    <w:rsid w:val="00A0692F"/>
    <w:rsid w:val="00A07986"/>
    <w:rsid w:val="00A07B94"/>
    <w:rsid w:val="00A101B6"/>
    <w:rsid w:val="00A10362"/>
    <w:rsid w:val="00A21B48"/>
    <w:rsid w:val="00A30C8F"/>
    <w:rsid w:val="00A33E37"/>
    <w:rsid w:val="00A3675B"/>
    <w:rsid w:val="00A519AE"/>
    <w:rsid w:val="00A549DF"/>
    <w:rsid w:val="00A60F6F"/>
    <w:rsid w:val="00A635B6"/>
    <w:rsid w:val="00A64936"/>
    <w:rsid w:val="00A655D0"/>
    <w:rsid w:val="00A661BA"/>
    <w:rsid w:val="00A666E6"/>
    <w:rsid w:val="00A75BA2"/>
    <w:rsid w:val="00A80281"/>
    <w:rsid w:val="00A91B46"/>
    <w:rsid w:val="00AA6510"/>
    <w:rsid w:val="00AB18BA"/>
    <w:rsid w:val="00AB3162"/>
    <w:rsid w:val="00AC7D74"/>
    <w:rsid w:val="00AD022C"/>
    <w:rsid w:val="00AD303C"/>
    <w:rsid w:val="00AD4670"/>
    <w:rsid w:val="00AD48C7"/>
    <w:rsid w:val="00AE423C"/>
    <w:rsid w:val="00AE59A2"/>
    <w:rsid w:val="00AE6D7A"/>
    <w:rsid w:val="00AF11AD"/>
    <w:rsid w:val="00AF35B1"/>
    <w:rsid w:val="00AF79A3"/>
    <w:rsid w:val="00B122F7"/>
    <w:rsid w:val="00B133EB"/>
    <w:rsid w:val="00B1516E"/>
    <w:rsid w:val="00B160C4"/>
    <w:rsid w:val="00B1731D"/>
    <w:rsid w:val="00B20BA8"/>
    <w:rsid w:val="00B20F47"/>
    <w:rsid w:val="00B222C0"/>
    <w:rsid w:val="00B25FA4"/>
    <w:rsid w:val="00B32A12"/>
    <w:rsid w:val="00B32CDF"/>
    <w:rsid w:val="00B346B9"/>
    <w:rsid w:val="00B34ACF"/>
    <w:rsid w:val="00B35D0E"/>
    <w:rsid w:val="00B405D4"/>
    <w:rsid w:val="00B41180"/>
    <w:rsid w:val="00B421CD"/>
    <w:rsid w:val="00B43BD6"/>
    <w:rsid w:val="00B451F6"/>
    <w:rsid w:val="00B613F4"/>
    <w:rsid w:val="00B62D55"/>
    <w:rsid w:val="00B67C2F"/>
    <w:rsid w:val="00B71D99"/>
    <w:rsid w:val="00B73BA8"/>
    <w:rsid w:val="00B741E0"/>
    <w:rsid w:val="00B74799"/>
    <w:rsid w:val="00B833E6"/>
    <w:rsid w:val="00B92470"/>
    <w:rsid w:val="00B93AC4"/>
    <w:rsid w:val="00B951A4"/>
    <w:rsid w:val="00BA5EAE"/>
    <w:rsid w:val="00BA698B"/>
    <w:rsid w:val="00BB08AD"/>
    <w:rsid w:val="00BB790A"/>
    <w:rsid w:val="00BC5748"/>
    <w:rsid w:val="00BC76E7"/>
    <w:rsid w:val="00BD5856"/>
    <w:rsid w:val="00BE7EE3"/>
    <w:rsid w:val="00BF1A11"/>
    <w:rsid w:val="00BF31A2"/>
    <w:rsid w:val="00BF3D0C"/>
    <w:rsid w:val="00BF6887"/>
    <w:rsid w:val="00C00534"/>
    <w:rsid w:val="00C0101E"/>
    <w:rsid w:val="00C0278A"/>
    <w:rsid w:val="00C04464"/>
    <w:rsid w:val="00C101A5"/>
    <w:rsid w:val="00C1326B"/>
    <w:rsid w:val="00C26F63"/>
    <w:rsid w:val="00C339D0"/>
    <w:rsid w:val="00C33EBC"/>
    <w:rsid w:val="00C359C1"/>
    <w:rsid w:val="00C36363"/>
    <w:rsid w:val="00C36EB0"/>
    <w:rsid w:val="00C37E62"/>
    <w:rsid w:val="00C470B2"/>
    <w:rsid w:val="00C4788B"/>
    <w:rsid w:val="00C47F0E"/>
    <w:rsid w:val="00C52432"/>
    <w:rsid w:val="00C54FF6"/>
    <w:rsid w:val="00C5738B"/>
    <w:rsid w:val="00C61127"/>
    <w:rsid w:val="00C6175F"/>
    <w:rsid w:val="00C6189A"/>
    <w:rsid w:val="00C76AC9"/>
    <w:rsid w:val="00C80099"/>
    <w:rsid w:val="00C8284A"/>
    <w:rsid w:val="00C84155"/>
    <w:rsid w:val="00C84238"/>
    <w:rsid w:val="00C85201"/>
    <w:rsid w:val="00C956E8"/>
    <w:rsid w:val="00C96A16"/>
    <w:rsid w:val="00CA0519"/>
    <w:rsid w:val="00CA0DAB"/>
    <w:rsid w:val="00CA5E16"/>
    <w:rsid w:val="00CA632A"/>
    <w:rsid w:val="00CA7CDD"/>
    <w:rsid w:val="00CB0AD1"/>
    <w:rsid w:val="00CB28A4"/>
    <w:rsid w:val="00CB59F4"/>
    <w:rsid w:val="00CB770B"/>
    <w:rsid w:val="00CC2450"/>
    <w:rsid w:val="00CC3738"/>
    <w:rsid w:val="00CC43B8"/>
    <w:rsid w:val="00CC5AE2"/>
    <w:rsid w:val="00CE0C13"/>
    <w:rsid w:val="00CE4FAE"/>
    <w:rsid w:val="00CF70F3"/>
    <w:rsid w:val="00D069C6"/>
    <w:rsid w:val="00D075AC"/>
    <w:rsid w:val="00D078E9"/>
    <w:rsid w:val="00D1401D"/>
    <w:rsid w:val="00D170D2"/>
    <w:rsid w:val="00D1757B"/>
    <w:rsid w:val="00D251D8"/>
    <w:rsid w:val="00D27256"/>
    <w:rsid w:val="00D40487"/>
    <w:rsid w:val="00D40C65"/>
    <w:rsid w:val="00D43661"/>
    <w:rsid w:val="00D46408"/>
    <w:rsid w:val="00D528ED"/>
    <w:rsid w:val="00D5339B"/>
    <w:rsid w:val="00D53DD9"/>
    <w:rsid w:val="00D60F41"/>
    <w:rsid w:val="00D61843"/>
    <w:rsid w:val="00D62DAF"/>
    <w:rsid w:val="00D64019"/>
    <w:rsid w:val="00D6754B"/>
    <w:rsid w:val="00D7721D"/>
    <w:rsid w:val="00D84005"/>
    <w:rsid w:val="00D84594"/>
    <w:rsid w:val="00D90837"/>
    <w:rsid w:val="00D93D87"/>
    <w:rsid w:val="00DA10CB"/>
    <w:rsid w:val="00DB3BB4"/>
    <w:rsid w:val="00DB5900"/>
    <w:rsid w:val="00DB7C3C"/>
    <w:rsid w:val="00DC5B60"/>
    <w:rsid w:val="00DD6909"/>
    <w:rsid w:val="00DE2AB7"/>
    <w:rsid w:val="00DF76BC"/>
    <w:rsid w:val="00E0276C"/>
    <w:rsid w:val="00E05FB7"/>
    <w:rsid w:val="00E06BD4"/>
    <w:rsid w:val="00E1520F"/>
    <w:rsid w:val="00E17CAB"/>
    <w:rsid w:val="00E2266D"/>
    <w:rsid w:val="00E30532"/>
    <w:rsid w:val="00E31F2D"/>
    <w:rsid w:val="00E335B2"/>
    <w:rsid w:val="00E36BA2"/>
    <w:rsid w:val="00E5098F"/>
    <w:rsid w:val="00E548F8"/>
    <w:rsid w:val="00E56542"/>
    <w:rsid w:val="00E6028D"/>
    <w:rsid w:val="00E615FA"/>
    <w:rsid w:val="00E72CDD"/>
    <w:rsid w:val="00E76927"/>
    <w:rsid w:val="00E817E9"/>
    <w:rsid w:val="00E81888"/>
    <w:rsid w:val="00E918D9"/>
    <w:rsid w:val="00E957C9"/>
    <w:rsid w:val="00EA0180"/>
    <w:rsid w:val="00EA0C02"/>
    <w:rsid w:val="00EA2965"/>
    <w:rsid w:val="00EA6CBA"/>
    <w:rsid w:val="00EB0CE3"/>
    <w:rsid w:val="00EB4098"/>
    <w:rsid w:val="00EC3187"/>
    <w:rsid w:val="00ED307F"/>
    <w:rsid w:val="00ED414E"/>
    <w:rsid w:val="00EE32E9"/>
    <w:rsid w:val="00EE482B"/>
    <w:rsid w:val="00EE7E9C"/>
    <w:rsid w:val="00EF4421"/>
    <w:rsid w:val="00EF44B3"/>
    <w:rsid w:val="00EF459A"/>
    <w:rsid w:val="00EF56E9"/>
    <w:rsid w:val="00F00150"/>
    <w:rsid w:val="00F00E14"/>
    <w:rsid w:val="00F0139E"/>
    <w:rsid w:val="00F051CA"/>
    <w:rsid w:val="00F0626F"/>
    <w:rsid w:val="00F06647"/>
    <w:rsid w:val="00F107BF"/>
    <w:rsid w:val="00F143AE"/>
    <w:rsid w:val="00F24679"/>
    <w:rsid w:val="00F33052"/>
    <w:rsid w:val="00F33190"/>
    <w:rsid w:val="00F34855"/>
    <w:rsid w:val="00F35CFB"/>
    <w:rsid w:val="00F4131B"/>
    <w:rsid w:val="00F4338B"/>
    <w:rsid w:val="00F52364"/>
    <w:rsid w:val="00F57D7D"/>
    <w:rsid w:val="00F6132D"/>
    <w:rsid w:val="00F662EC"/>
    <w:rsid w:val="00F73070"/>
    <w:rsid w:val="00F85E23"/>
    <w:rsid w:val="00F8649C"/>
    <w:rsid w:val="00F86876"/>
    <w:rsid w:val="00F91ABE"/>
    <w:rsid w:val="00F91C9C"/>
    <w:rsid w:val="00FA0AEA"/>
    <w:rsid w:val="00FA4ECF"/>
    <w:rsid w:val="00FA4F06"/>
    <w:rsid w:val="00FB28D6"/>
    <w:rsid w:val="00FC442A"/>
    <w:rsid w:val="00FC6C4B"/>
    <w:rsid w:val="00FD1464"/>
    <w:rsid w:val="00FD7647"/>
    <w:rsid w:val="00FE4839"/>
    <w:rsid w:val="00FF0413"/>
    <w:rsid w:val="0381257A"/>
    <w:rsid w:val="046C5C2A"/>
    <w:rsid w:val="04AB1E99"/>
    <w:rsid w:val="0567021E"/>
    <w:rsid w:val="08A71940"/>
    <w:rsid w:val="0D18335F"/>
    <w:rsid w:val="0F4D5D3B"/>
    <w:rsid w:val="113373E5"/>
    <w:rsid w:val="131C78FC"/>
    <w:rsid w:val="149D2DE5"/>
    <w:rsid w:val="160E0421"/>
    <w:rsid w:val="16515577"/>
    <w:rsid w:val="1A1D7782"/>
    <w:rsid w:val="1A49047F"/>
    <w:rsid w:val="1F5A0440"/>
    <w:rsid w:val="20A01E79"/>
    <w:rsid w:val="21386239"/>
    <w:rsid w:val="23863D97"/>
    <w:rsid w:val="2483194D"/>
    <w:rsid w:val="24920BAE"/>
    <w:rsid w:val="24D037E1"/>
    <w:rsid w:val="24EA6446"/>
    <w:rsid w:val="274D6682"/>
    <w:rsid w:val="28B82A64"/>
    <w:rsid w:val="2AC9045C"/>
    <w:rsid w:val="2C0933D1"/>
    <w:rsid w:val="30C32AFE"/>
    <w:rsid w:val="322C461A"/>
    <w:rsid w:val="34BE7C60"/>
    <w:rsid w:val="36243B13"/>
    <w:rsid w:val="3709785C"/>
    <w:rsid w:val="385B24ED"/>
    <w:rsid w:val="38684A8F"/>
    <w:rsid w:val="3D310443"/>
    <w:rsid w:val="3E0F0598"/>
    <w:rsid w:val="3E5B2051"/>
    <w:rsid w:val="3F7C71C1"/>
    <w:rsid w:val="401222A6"/>
    <w:rsid w:val="42877B1D"/>
    <w:rsid w:val="43F2116D"/>
    <w:rsid w:val="44A451CE"/>
    <w:rsid w:val="45171F5F"/>
    <w:rsid w:val="45AF27D7"/>
    <w:rsid w:val="49B97DD2"/>
    <w:rsid w:val="4A705166"/>
    <w:rsid w:val="4BE15013"/>
    <w:rsid w:val="4C035AAB"/>
    <w:rsid w:val="4DE2243D"/>
    <w:rsid w:val="4DEB6DD8"/>
    <w:rsid w:val="4F717968"/>
    <w:rsid w:val="4F871A69"/>
    <w:rsid w:val="51173D0A"/>
    <w:rsid w:val="51D620DD"/>
    <w:rsid w:val="52C94A44"/>
    <w:rsid w:val="54462559"/>
    <w:rsid w:val="547A6A60"/>
    <w:rsid w:val="556F4099"/>
    <w:rsid w:val="55DB2E86"/>
    <w:rsid w:val="56CD3046"/>
    <w:rsid w:val="57FE253D"/>
    <w:rsid w:val="5A5E709D"/>
    <w:rsid w:val="5E680E0D"/>
    <w:rsid w:val="5F8E3BC3"/>
    <w:rsid w:val="61864E33"/>
    <w:rsid w:val="619A4C7D"/>
    <w:rsid w:val="660712E0"/>
    <w:rsid w:val="669205B1"/>
    <w:rsid w:val="669C66E8"/>
    <w:rsid w:val="69B43D7C"/>
    <w:rsid w:val="6A141148"/>
    <w:rsid w:val="6AAD3B21"/>
    <w:rsid w:val="6B203E26"/>
    <w:rsid w:val="6B9923BB"/>
    <w:rsid w:val="6E7365C0"/>
    <w:rsid w:val="7023680A"/>
    <w:rsid w:val="702F728F"/>
    <w:rsid w:val="72206BE1"/>
    <w:rsid w:val="74046B0B"/>
    <w:rsid w:val="74FF33F6"/>
    <w:rsid w:val="77874AC8"/>
    <w:rsid w:val="7FCC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14375</Words>
  <Characters>15817</Characters>
  <Lines>82</Lines>
  <Paragraphs>23</Paragraphs>
  <TotalTime>45</TotalTime>
  <ScaleCrop>false</ScaleCrop>
  <LinksUpToDate>false</LinksUpToDate>
  <CharactersWithSpaces>16308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2022-02-07T02:45:00Z</dcterms:created>
  <dc:creator>微软用户</dc:creator>
  <cp:lastModifiedBy>lenovo</cp:lastModifiedBy>
  <cp:lastPrinted>2018-12-27T23:50:00Z</cp:lastPrinted>
  <dcterms:modified xsi:type="dcterms:W3CDTF">2023-03-31T01:15:09Z</dcterms:modified>
  <dc:title>安徽省财政厅2015年部门预算</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E9FEFFCEA9DA411BB6315527B53717B6</vt:lpwstr>
  </property>
</Properties>
</file>