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B05C">
      <w:pPr>
        <w:keepNext w:val="0"/>
        <w:keepLines w:val="0"/>
        <w:widowControl w:val="0"/>
        <w:suppressLineNumbers w:val="0"/>
        <w:spacing w:before="0" w:beforeAutospacing="0" w:after="0" w:afterAutospacing="0" w:line="560" w:lineRule="exact"/>
        <w:ind w:left="0" w:right="0"/>
        <w:jc w:val="both"/>
        <w:rPr>
          <w:rFonts w:hint="default" w:ascii="Times New Roman" w:hAnsi="宋体" w:eastAsia="黑体" w:cs="Times New Roman"/>
          <w:sz w:val="32"/>
          <w:szCs w:val="32"/>
          <w:lang w:val="en-US"/>
        </w:rPr>
      </w:pPr>
      <w:r>
        <w:rPr>
          <w:rFonts w:hint="eastAsia" w:ascii="Times New Roman" w:hAnsi="宋体" w:eastAsia="黑体" w:cs="黑体"/>
          <w:kern w:val="2"/>
          <w:sz w:val="32"/>
          <w:szCs w:val="32"/>
          <w:lang w:val="en-US" w:eastAsia="zh-CN" w:bidi="ar"/>
        </w:rPr>
        <w:t>附件</w:t>
      </w:r>
      <w:r>
        <w:rPr>
          <w:rFonts w:hint="default" w:ascii="Times New Roman" w:hAnsi="宋体" w:eastAsia="黑体" w:cs="Times New Roman"/>
          <w:kern w:val="2"/>
          <w:sz w:val="32"/>
          <w:szCs w:val="32"/>
          <w:lang w:val="en-US" w:eastAsia="zh-CN" w:bidi="ar"/>
        </w:rPr>
        <w:t>1</w:t>
      </w:r>
    </w:p>
    <w:p w14:paraId="0A4854DB">
      <w:pPr>
        <w:adjustRightInd w:val="0"/>
        <w:snapToGrid w:val="0"/>
        <w:spacing w:line="360" w:lineRule="auto"/>
        <w:jc w:val="center"/>
        <w:rPr>
          <w:rFonts w:ascii="宋体" w:hAnsi="宋体"/>
          <w:b/>
          <w:sz w:val="44"/>
          <w:szCs w:val="44"/>
          <w:u w:val="single"/>
        </w:rPr>
      </w:pPr>
    </w:p>
    <w:p w14:paraId="040E4070">
      <w:pPr>
        <w:adjustRightInd w:val="0"/>
        <w:snapToGrid w:val="0"/>
        <w:spacing w:line="360" w:lineRule="auto"/>
        <w:jc w:val="center"/>
        <w:rPr>
          <w:rFonts w:ascii="宋体" w:hAnsi="宋体"/>
          <w:b/>
          <w:sz w:val="44"/>
          <w:szCs w:val="44"/>
          <w:u w:val="single"/>
        </w:rPr>
      </w:pPr>
    </w:p>
    <w:p w14:paraId="54147049">
      <w:pPr>
        <w:adjustRightInd w:val="0"/>
        <w:snapToGrid w:val="0"/>
        <w:spacing w:line="360" w:lineRule="auto"/>
        <w:jc w:val="center"/>
        <w:rPr>
          <w:rFonts w:hint="eastAsia" w:ascii="宋体" w:hAnsi="宋体" w:eastAsiaTheme="minorEastAsia"/>
          <w:b/>
          <w:sz w:val="44"/>
          <w:szCs w:val="44"/>
          <w:u w:val="single"/>
          <w:lang w:eastAsia="zh-CN"/>
        </w:rPr>
      </w:pPr>
    </w:p>
    <w:p w14:paraId="0F38B888">
      <w:pPr>
        <w:keepNext w:val="0"/>
        <w:keepLines w:val="0"/>
        <w:widowControl w:val="0"/>
        <w:suppressLineNumbers w:val="0"/>
        <w:spacing w:before="0" w:beforeAutospacing="0" w:after="0" w:afterAutospacing="0"/>
        <w:ind w:left="0" w:right="0"/>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eastAsia="zh-CN"/>
        </w:rPr>
        <w:t>安徽省相山区渠沟镇人民政府2022</w:t>
      </w:r>
      <w:r>
        <w:rPr>
          <w:rFonts w:hint="eastAsia" w:ascii="华文中宋" w:hAnsi="华文中宋" w:eastAsia="华文中宋" w:cs="华文中宋"/>
          <w:b/>
          <w:sz w:val="44"/>
          <w:szCs w:val="44"/>
        </w:rPr>
        <w:t>年部门预算</w:t>
      </w:r>
    </w:p>
    <w:p w14:paraId="33A04869">
      <w:pPr>
        <w:pStyle w:val="4"/>
        <w:adjustRightInd w:val="0"/>
        <w:snapToGrid w:val="0"/>
        <w:spacing w:before="0" w:beforeAutospacing="0" w:after="0" w:afterAutospacing="0" w:line="360" w:lineRule="auto"/>
        <w:jc w:val="center"/>
        <w:rPr>
          <w:rFonts w:ascii="黑体" w:hAnsi="黑体" w:eastAsia="黑体"/>
          <w:bCs/>
          <w:sz w:val="36"/>
          <w:szCs w:val="36"/>
        </w:rPr>
      </w:pPr>
    </w:p>
    <w:p w14:paraId="50EEA2AD">
      <w:pPr>
        <w:pStyle w:val="4"/>
        <w:adjustRightInd w:val="0"/>
        <w:snapToGrid w:val="0"/>
        <w:spacing w:before="0" w:beforeAutospacing="0" w:after="0" w:afterAutospacing="0" w:line="360" w:lineRule="auto"/>
        <w:jc w:val="center"/>
        <w:rPr>
          <w:rFonts w:ascii="黑体" w:hAnsi="黑体" w:eastAsia="黑体"/>
          <w:bCs/>
          <w:sz w:val="36"/>
          <w:szCs w:val="36"/>
        </w:rPr>
      </w:pPr>
    </w:p>
    <w:p w14:paraId="1F4946DF">
      <w:pPr>
        <w:pStyle w:val="4"/>
        <w:adjustRightInd w:val="0"/>
        <w:snapToGrid w:val="0"/>
        <w:spacing w:before="0" w:beforeAutospacing="0" w:after="0" w:afterAutospacing="0" w:line="360" w:lineRule="auto"/>
        <w:jc w:val="center"/>
        <w:rPr>
          <w:rFonts w:ascii="黑体" w:hAnsi="黑体" w:eastAsia="黑体"/>
          <w:bCs/>
          <w:sz w:val="36"/>
          <w:szCs w:val="36"/>
        </w:rPr>
      </w:pPr>
    </w:p>
    <w:p w14:paraId="3D3F1361">
      <w:pPr>
        <w:pStyle w:val="4"/>
        <w:adjustRightInd w:val="0"/>
        <w:snapToGrid w:val="0"/>
        <w:spacing w:before="0" w:beforeAutospacing="0" w:after="0" w:afterAutospacing="0" w:line="360" w:lineRule="auto"/>
        <w:jc w:val="center"/>
        <w:rPr>
          <w:rFonts w:ascii="黑体" w:hAnsi="黑体" w:eastAsia="黑体"/>
          <w:bCs/>
          <w:sz w:val="36"/>
          <w:szCs w:val="36"/>
        </w:rPr>
      </w:pPr>
    </w:p>
    <w:p w14:paraId="0EF9F327">
      <w:pPr>
        <w:pStyle w:val="4"/>
        <w:adjustRightInd w:val="0"/>
        <w:snapToGrid w:val="0"/>
        <w:spacing w:before="0" w:beforeAutospacing="0" w:after="0" w:afterAutospacing="0" w:line="360" w:lineRule="auto"/>
        <w:jc w:val="center"/>
        <w:rPr>
          <w:rFonts w:ascii="黑体" w:hAnsi="黑体" w:eastAsia="黑体"/>
          <w:bCs/>
          <w:sz w:val="36"/>
          <w:szCs w:val="36"/>
        </w:rPr>
      </w:pPr>
    </w:p>
    <w:p w14:paraId="481CA98E">
      <w:pPr>
        <w:pStyle w:val="4"/>
        <w:adjustRightInd w:val="0"/>
        <w:snapToGrid w:val="0"/>
        <w:spacing w:before="0" w:beforeAutospacing="0" w:after="0" w:afterAutospacing="0" w:line="360" w:lineRule="auto"/>
        <w:jc w:val="center"/>
        <w:rPr>
          <w:rFonts w:ascii="黑体" w:hAnsi="黑体" w:eastAsia="黑体"/>
          <w:bCs/>
          <w:sz w:val="36"/>
          <w:szCs w:val="36"/>
        </w:rPr>
      </w:pPr>
    </w:p>
    <w:p w14:paraId="4ED499CD">
      <w:pPr>
        <w:pStyle w:val="4"/>
        <w:adjustRightInd w:val="0"/>
        <w:snapToGrid w:val="0"/>
        <w:spacing w:before="0" w:beforeAutospacing="0" w:after="0" w:afterAutospacing="0" w:line="360" w:lineRule="auto"/>
        <w:jc w:val="center"/>
        <w:rPr>
          <w:rFonts w:ascii="黑体" w:hAnsi="黑体" w:eastAsia="黑体"/>
          <w:bCs/>
          <w:sz w:val="36"/>
          <w:szCs w:val="36"/>
        </w:rPr>
      </w:pPr>
    </w:p>
    <w:p w14:paraId="19680008">
      <w:pPr>
        <w:pStyle w:val="4"/>
        <w:adjustRightInd w:val="0"/>
        <w:snapToGrid w:val="0"/>
        <w:spacing w:before="0" w:beforeAutospacing="0" w:after="0" w:afterAutospacing="0" w:line="360" w:lineRule="auto"/>
        <w:jc w:val="center"/>
        <w:rPr>
          <w:rFonts w:ascii="黑体" w:hAnsi="黑体" w:eastAsia="黑体"/>
          <w:bCs/>
          <w:sz w:val="36"/>
          <w:szCs w:val="36"/>
        </w:rPr>
      </w:pPr>
    </w:p>
    <w:p w14:paraId="62AF5D09">
      <w:pPr>
        <w:pStyle w:val="4"/>
        <w:adjustRightInd w:val="0"/>
        <w:snapToGrid w:val="0"/>
        <w:spacing w:before="0" w:beforeAutospacing="0" w:after="0" w:afterAutospacing="0" w:line="360" w:lineRule="auto"/>
        <w:jc w:val="center"/>
        <w:rPr>
          <w:rFonts w:ascii="黑体" w:hAnsi="黑体" w:eastAsia="黑体"/>
          <w:bCs/>
          <w:sz w:val="36"/>
          <w:szCs w:val="36"/>
        </w:rPr>
      </w:pPr>
    </w:p>
    <w:p w14:paraId="36D72211">
      <w:pPr>
        <w:pStyle w:val="4"/>
        <w:adjustRightInd w:val="0"/>
        <w:snapToGrid w:val="0"/>
        <w:spacing w:before="0" w:beforeAutospacing="0" w:after="0" w:afterAutospacing="0" w:line="360" w:lineRule="auto"/>
        <w:jc w:val="center"/>
        <w:rPr>
          <w:rFonts w:ascii="黑体" w:hAnsi="黑体" w:eastAsia="黑体"/>
          <w:bCs/>
          <w:sz w:val="36"/>
          <w:szCs w:val="36"/>
        </w:rPr>
      </w:pPr>
    </w:p>
    <w:p w14:paraId="132F5476">
      <w:pPr>
        <w:pStyle w:val="4"/>
        <w:adjustRightInd w:val="0"/>
        <w:snapToGrid w:val="0"/>
        <w:spacing w:before="0" w:beforeAutospacing="0" w:after="0" w:afterAutospacing="0" w:line="360" w:lineRule="auto"/>
        <w:jc w:val="center"/>
        <w:rPr>
          <w:rFonts w:ascii="黑体" w:hAnsi="黑体" w:eastAsia="黑体"/>
          <w:bCs/>
          <w:sz w:val="36"/>
          <w:szCs w:val="36"/>
        </w:rPr>
      </w:pPr>
    </w:p>
    <w:p w14:paraId="763B6208">
      <w:pPr>
        <w:pStyle w:val="4"/>
        <w:adjustRightInd w:val="0"/>
        <w:snapToGrid w:val="0"/>
        <w:spacing w:before="0" w:beforeAutospacing="0" w:after="0" w:afterAutospacing="0" w:line="360" w:lineRule="auto"/>
        <w:jc w:val="center"/>
        <w:rPr>
          <w:rFonts w:hint="default" w:ascii="黑体" w:hAnsi="黑体" w:eastAsia="黑体"/>
          <w:bCs/>
          <w:sz w:val="44"/>
          <w:szCs w:val="44"/>
          <w:lang w:val="en-US" w:eastAsia="zh-CN"/>
        </w:rPr>
      </w:pPr>
      <w:r>
        <w:rPr>
          <w:rFonts w:hint="eastAsia" w:ascii="黑体" w:hAnsi="黑体" w:eastAsia="黑体"/>
          <w:bCs/>
          <w:sz w:val="44"/>
          <w:szCs w:val="44"/>
          <w:lang w:eastAsia="zh-CN"/>
        </w:rPr>
        <w:t>2022</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14:paraId="6A71CCB4">
      <w:pPr>
        <w:pStyle w:val="4"/>
        <w:adjustRightInd w:val="0"/>
        <w:snapToGrid w:val="0"/>
        <w:spacing w:before="0" w:beforeAutospacing="0" w:after="0" w:afterAutospacing="0" w:line="360" w:lineRule="auto"/>
        <w:jc w:val="both"/>
        <w:rPr>
          <w:rFonts w:ascii="黑体" w:hAnsi="黑体" w:eastAsia="黑体"/>
          <w:bCs/>
          <w:sz w:val="36"/>
          <w:szCs w:val="36"/>
        </w:rPr>
      </w:pPr>
    </w:p>
    <w:p w14:paraId="2CDFA827">
      <w:pPr>
        <w:pStyle w:val="4"/>
        <w:adjustRightInd w:val="0"/>
        <w:snapToGrid w:val="0"/>
        <w:spacing w:before="0" w:beforeAutospacing="0" w:after="0" w:afterAutospacing="0" w:line="500" w:lineRule="exact"/>
        <w:jc w:val="center"/>
        <w:rPr>
          <w:rFonts w:hint="eastAsia" w:ascii="黑体" w:hAnsi="黑体" w:eastAsia="黑体"/>
          <w:bCs/>
          <w:sz w:val="44"/>
          <w:szCs w:val="44"/>
        </w:rPr>
      </w:pPr>
    </w:p>
    <w:p w14:paraId="3CC59FB5">
      <w:pPr>
        <w:pStyle w:val="4"/>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14:paraId="72034683">
      <w:pPr>
        <w:pStyle w:val="4"/>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p>
    <w:p w14:paraId="04C3DE0B">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14:paraId="14CF733E">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14:paraId="582196D1">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2.部门预算单位构成</w:t>
      </w:r>
    </w:p>
    <w:p w14:paraId="4FD602E6">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年度主要工作任务</w:t>
      </w:r>
    </w:p>
    <w:p w14:paraId="5E00396C">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年部门预算表</w:t>
      </w:r>
    </w:p>
    <w:p w14:paraId="3E20CAEA">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年收支总表</w:t>
      </w:r>
    </w:p>
    <w:p w14:paraId="63F0A20D">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年收入总表</w:t>
      </w:r>
    </w:p>
    <w:p w14:paraId="7444D2A0">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年支出总表</w:t>
      </w:r>
    </w:p>
    <w:p w14:paraId="4ED9F632">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年财政拨款收支总表</w:t>
      </w:r>
    </w:p>
    <w:p w14:paraId="6CC51A6E">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年一般公共预算支出表</w:t>
      </w:r>
    </w:p>
    <w:p w14:paraId="4E5A6417">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年一般公共预算基本支出表</w:t>
      </w:r>
    </w:p>
    <w:p w14:paraId="10A6B782">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年政府性基金预算支出表</w:t>
      </w:r>
    </w:p>
    <w:p w14:paraId="08BCD50D">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年国有资本经营预算支出表</w:t>
      </w:r>
    </w:p>
    <w:p w14:paraId="301988B0">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年项目支出表</w:t>
      </w:r>
    </w:p>
    <w:p w14:paraId="4C8D2953">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年政府采购支出表</w:t>
      </w:r>
    </w:p>
    <w:p w14:paraId="44710320">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年政府购买服务支出表</w:t>
      </w:r>
    </w:p>
    <w:p w14:paraId="7FA60B75">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p>
    <w:p w14:paraId="07F1D64C">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第三部分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年部门预算情况说明</w:t>
      </w:r>
    </w:p>
    <w:p w14:paraId="5FDAACDC">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年收支总表的说明</w:t>
      </w:r>
    </w:p>
    <w:p w14:paraId="4F62F3A5">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年收入总表的说明</w:t>
      </w:r>
    </w:p>
    <w:p w14:paraId="6B36B1CF">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w:t>
      </w:r>
      <w:r>
        <w:rPr>
          <w:rFonts w:hint="eastAsia" w:ascii="仿宋_GB2312" w:hAnsi="仿宋" w:eastAsia="仿宋_GB2312" w:cs="仿宋"/>
          <w:bCs/>
          <w:kern w:val="0"/>
          <w:sz w:val="32"/>
          <w:szCs w:val="32"/>
          <w:lang w:eastAsia="zh-CN"/>
        </w:rPr>
        <w:t>2022</w:t>
      </w:r>
      <w:r>
        <w:rPr>
          <w:rFonts w:hint="eastAsia" w:ascii="仿宋_GB2312" w:hAnsi="仿宋" w:eastAsia="仿宋_GB2312" w:cs="仿宋"/>
          <w:bCs/>
          <w:kern w:val="0"/>
          <w:sz w:val="32"/>
          <w:szCs w:val="32"/>
        </w:rPr>
        <w:t>年支出总表的说明</w:t>
      </w:r>
    </w:p>
    <w:p w14:paraId="2EC7E8E8">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年财政拨款收支总表的说明</w:t>
      </w:r>
    </w:p>
    <w:p w14:paraId="3777B53F">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年一般公共预算支出表的说明</w:t>
      </w:r>
    </w:p>
    <w:p w14:paraId="5141A923">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年一般公共预算基本支出表的说明</w:t>
      </w:r>
    </w:p>
    <w:p w14:paraId="10787EF6">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年政府性基金预算支出表的说明</w:t>
      </w:r>
    </w:p>
    <w:p w14:paraId="14873E41">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年国有资本经营预算支出表的说明</w:t>
      </w:r>
    </w:p>
    <w:p w14:paraId="4C10A06A">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年项目支出表的说明</w:t>
      </w:r>
    </w:p>
    <w:p w14:paraId="2F71E744">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年政府采购支出表的说明</w:t>
      </w:r>
    </w:p>
    <w:p w14:paraId="3C05494E">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年政府购买服务支出表的说明</w:t>
      </w:r>
    </w:p>
    <w:p w14:paraId="472A3E8D">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14:paraId="5D97EA58">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14:paraId="19B60A80">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302E7B3E">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10528FEF">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42DAB8D1">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63BE71DC">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55FBA1DE">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05A9C588">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3BD1BC7D">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4957ADB0">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609F7CC7">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790892BE">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6A552D81">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7ABDBDF1">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076B0D97">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10E9474B">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52BA8F09">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14:paraId="641C10A7">
      <w:pPr>
        <w:pStyle w:val="4"/>
        <w:adjustRightInd w:val="0"/>
        <w:snapToGrid w:val="0"/>
        <w:spacing w:before="0" w:beforeAutospacing="0" w:after="0" w:afterAutospacing="0" w:line="500" w:lineRule="exact"/>
        <w:rPr>
          <w:rFonts w:ascii="仿宋_GB2312" w:hAnsi="仿宋" w:eastAsia="仿宋_GB2312" w:cs="仿宋"/>
          <w:b/>
          <w:sz w:val="32"/>
          <w:szCs w:val="32"/>
        </w:rPr>
      </w:pPr>
    </w:p>
    <w:p w14:paraId="0339132A">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14:paraId="3982CADB">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14:paraId="7F3722F2">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1、 执行国家行政机关的决定、命令和国家制定的法令、法规，执行本级人民代表大会的各项决议，并报告执行决议、决定和命令的情况。</w:t>
      </w:r>
    </w:p>
    <w:p w14:paraId="1397CF22">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2、 制定并落实本行政区域的经济计划和措施，全面提高人民群众的生活水平和生活质量。</w:t>
      </w:r>
    </w:p>
    <w:p w14:paraId="6EC7A51E">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3、 承担国有资产、集体资产管理、监督及增值保值责任。</w:t>
      </w:r>
    </w:p>
    <w:p w14:paraId="2C2FBC67">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4、 开展社会主义民主和法制的宣传教育，保障公民的权利，打击违法犯罪，维护社会稳定。</w:t>
      </w:r>
    </w:p>
    <w:p w14:paraId="232A60C6">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5、 制定社会各项事业发展计划，发展教育、卫生、科技、民政、广播电视、文化、体育事业；加强计划生育工作；推进社会保障、社会福利事业和养老保险等工作。</w:t>
      </w:r>
    </w:p>
    <w:p w14:paraId="570E68A6">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6、 加强镇级财政的监督和管理。</w:t>
      </w:r>
    </w:p>
    <w:p w14:paraId="6A922D0D">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7、 指导村（居）民委员会的组织制度建设和业务建设，促进村（居）民委员会民主自治。</w:t>
      </w:r>
    </w:p>
    <w:p w14:paraId="5B360C1F">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8、 制定和组织实施镇村建设规划，保护和改善生活环境和生态环境。</w:t>
      </w:r>
    </w:p>
    <w:p w14:paraId="2019C6AD">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9、 协助和支持设置在本行政区域内不隶属于镇的国家机关和企事业单位工作，监督其遵守和执行国家的法律、法规和政策。</w:t>
      </w:r>
    </w:p>
    <w:p w14:paraId="7840C929">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10、 承办本级党委、人大和上级交办的其它事项。</w:t>
      </w:r>
    </w:p>
    <w:p w14:paraId="422EC421">
      <w:pPr>
        <w:pStyle w:val="4"/>
        <w:numPr>
          <w:ilvl w:val="0"/>
          <w:numId w:val="1"/>
        </w:numPr>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黑体" w:hAnsi="黑体" w:eastAsia="黑体"/>
          <w:bCs/>
          <w:sz w:val="32"/>
          <w:szCs w:val="32"/>
        </w:rPr>
        <w:t>部门预算构成</w:t>
      </w:r>
    </w:p>
    <w:p w14:paraId="22D61761">
      <w:pPr>
        <w:pStyle w:val="4"/>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相山区渠沟镇人民政府</w:t>
      </w:r>
      <w:r>
        <w:rPr>
          <w:rFonts w:hint="eastAsia" w:ascii="仿宋_GB2312" w:hAnsi="仿宋" w:eastAsia="仿宋_GB2312"/>
          <w:sz w:val="32"/>
          <w:szCs w:val="32"/>
        </w:rPr>
        <w:t>2021年度部门预算包括本级预算，纳入部门预算编制范围的单位共1个，具体情况见下表。</w:t>
      </w:r>
    </w:p>
    <w:tbl>
      <w:tblPr>
        <w:tblStyle w:val="5"/>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14:paraId="36937406">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21F7A2">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D50031">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14:paraId="2DF55A4C">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sz w:val="24"/>
              </w:rPr>
            </w:pPr>
            <w:r>
              <w:rPr>
                <w:rFonts w:hint="eastAsia" w:ascii="仿宋_GB2312" w:hAnsi="宋体" w:eastAsia="仿宋_GB2312"/>
                <w:sz w:val="24"/>
              </w:rPr>
              <w:t>单位性质</w:t>
            </w:r>
          </w:p>
        </w:tc>
      </w:tr>
      <w:tr w14:paraId="7D1D508C">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0D1632">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96B643">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r>
              <w:rPr>
                <w:rFonts w:hint="eastAsia" w:ascii="仿宋_GB2312" w:hAnsi="仿宋" w:eastAsia="仿宋_GB2312" w:cs="仿宋"/>
                <w:bCs/>
                <w:sz w:val="24"/>
              </w:rPr>
              <w:t>相山区渠沟镇人民政府本级</w:t>
            </w:r>
          </w:p>
        </w:tc>
        <w:tc>
          <w:tcPr>
            <w:tcW w:w="4500" w:type="dxa"/>
            <w:tcBorders>
              <w:top w:val="nil"/>
              <w:left w:val="nil"/>
              <w:bottom w:val="single" w:color="auto" w:sz="8" w:space="0"/>
              <w:right w:val="single" w:color="auto" w:sz="8" w:space="0"/>
            </w:tcBorders>
            <w:shd w:val="clear" w:color="auto" w:fill="FFFFFF"/>
            <w:noWrap w:val="0"/>
            <w:vAlign w:val="top"/>
          </w:tcPr>
          <w:p w14:paraId="654FAB7D">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r>
              <w:rPr>
                <w:rFonts w:hint="eastAsia" w:ascii="仿宋_GB2312" w:hAnsi="仿宋" w:eastAsia="仿宋_GB2312" w:cs="仿宋"/>
                <w:bCs/>
                <w:sz w:val="24"/>
              </w:rPr>
              <w:t>行政单位</w:t>
            </w:r>
          </w:p>
        </w:tc>
      </w:tr>
      <w:tr w14:paraId="4A09CECD">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D969EE">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416909">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noWrap w:val="0"/>
            <w:vAlign w:val="top"/>
          </w:tcPr>
          <w:p w14:paraId="49F65710">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rPr>
            </w:pPr>
            <w:r>
              <w:rPr>
                <w:rFonts w:hint="eastAsia" w:ascii="仿宋_GB2312" w:hAnsi="宋体" w:eastAsia="仿宋_GB2312"/>
                <w:sz w:val="24"/>
              </w:rPr>
              <w:t>……</w:t>
            </w:r>
          </w:p>
        </w:tc>
      </w:tr>
      <w:tr w14:paraId="02107A32">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FE0A1A">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88ED9F">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noWrap w:val="0"/>
            <w:vAlign w:val="top"/>
          </w:tcPr>
          <w:p w14:paraId="275DA281">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p>
        </w:tc>
      </w:tr>
    </w:tbl>
    <w:p w14:paraId="0F88D641">
      <w:pPr>
        <w:pStyle w:val="4"/>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rPr>
      </w:pPr>
      <w:r>
        <w:rPr>
          <w:rFonts w:hint="eastAsia" w:ascii="仿宋_GB2312" w:hAnsi="仿宋" w:eastAsia="仿宋_GB2312" w:cs="仿宋"/>
          <w:bCs/>
          <w:sz w:val="32"/>
          <w:szCs w:val="32"/>
          <w:lang w:eastAsia="zh-CN"/>
        </w:rPr>
        <w:t>相山区渠沟镇人民政府</w:t>
      </w:r>
      <w:r>
        <w:rPr>
          <w:rFonts w:hint="eastAsia" w:ascii="仿宋_GB2312" w:hAnsi="仿宋" w:eastAsia="仿宋_GB2312"/>
          <w:sz w:val="32"/>
          <w:szCs w:val="32"/>
          <w:lang w:eastAsia="zh-CN"/>
        </w:rPr>
        <w:t>2022</w:t>
      </w:r>
      <w:r>
        <w:rPr>
          <w:rFonts w:hint="eastAsia" w:ascii="仿宋_GB2312" w:hAnsi="仿宋" w:eastAsia="仿宋_GB2312"/>
          <w:sz w:val="32"/>
          <w:szCs w:val="32"/>
        </w:rPr>
        <w:t>年度部门预算仅包括本级预算，无其他下属单位预算。</w:t>
      </w:r>
    </w:p>
    <w:p w14:paraId="65A91927">
      <w:pPr>
        <w:pStyle w:val="4"/>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lang w:val="en-US" w:eastAsia="zh-CN"/>
        </w:rPr>
      </w:pPr>
    </w:p>
    <w:p w14:paraId="7ED23A11">
      <w:pPr>
        <w:pStyle w:val="4"/>
        <w:adjustRightInd w:val="0"/>
        <w:snapToGrid w:val="0"/>
        <w:spacing w:before="0" w:beforeAutospacing="0" w:after="0" w:afterAutospacing="0" w:line="600" w:lineRule="exact"/>
        <w:ind w:firstLine="480" w:firstLineChars="150"/>
        <w:outlineLvl w:val="0"/>
        <w:rPr>
          <w:rFonts w:hint="eastAsia" w:ascii="黑体" w:hAnsi="黑体" w:eastAsia="黑体"/>
          <w:bCs/>
          <w:sz w:val="32"/>
          <w:szCs w:val="32"/>
        </w:rPr>
      </w:pPr>
      <w:r>
        <w:rPr>
          <w:rFonts w:hint="eastAsia" w:ascii="仿宋_GB2312" w:hAnsi="仿宋" w:eastAsia="仿宋_GB2312" w:cs="仿宋"/>
          <w:bCs/>
          <w:sz w:val="32"/>
          <w:szCs w:val="32"/>
          <w:lang w:val="en-US" w:eastAsia="zh-CN"/>
        </w:rPr>
        <w:t xml:space="preserve"> </w:t>
      </w:r>
      <w:r>
        <w:rPr>
          <w:rFonts w:hint="eastAsia" w:ascii="黑体" w:hAnsi="黑体" w:eastAsia="黑体"/>
          <w:bCs/>
          <w:sz w:val="32"/>
          <w:szCs w:val="32"/>
        </w:rPr>
        <w:t>三、</w:t>
      </w:r>
      <w:r>
        <w:rPr>
          <w:rFonts w:hint="eastAsia" w:ascii="黑体" w:hAnsi="黑体" w:eastAsia="黑体"/>
          <w:bCs/>
          <w:sz w:val="32"/>
          <w:szCs w:val="32"/>
          <w:lang w:eastAsia="zh-CN"/>
        </w:rPr>
        <w:t>2022</w:t>
      </w:r>
      <w:r>
        <w:rPr>
          <w:rFonts w:hint="eastAsia" w:ascii="黑体" w:hAnsi="黑体" w:eastAsia="黑体"/>
          <w:bCs/>
          <w:sz w:val="32"/>
          <w:szCs w:val="32"/>
        </w:rPr>
        <w:t>年度主要工作任务</w:t>
      </w:r>
    </w:p>
    <w:p w14:paraId="25A4D808">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2022年是全面落实区第九次党代会、镇第</w:t>
      </w: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次党代会部署的开局之年，也是新一届政府施政的起步之年。我们要锚定目标不放松，雷厉风行抓落实。全镇经济社会发展的奋斗目标是：实现规模工业增加值1.5亿元，增长9%；完成固定资产投资</w:t>
      </w:r>
      <w:r>
        <w:rPr>
          <w:rFonts w:hint="eastAsia" w:ascii="Times New Roman" w:hAnsi="Times New Roman" w:eastAsia="仿宋_GB2312"/>
          <w:color w:val="000000"/>
          <w:sz w:val="32"/>
          <w:szCs w:val="32"/>
        </w:rPr>
        <w:t>6</w:t>
      </w:r>
      <w:r>
        <w:rPr>
          <w:rFonts w:ascii="Times New Roman" w:hAnsi="Times New Roman" w:eastAsia="仿宋_GB2312"/>
          <w:color w:val="000000"/>
          <w:sz w:val="32"/>
          <w:szCs w:val="32"/>
        </w:rPr>
        <w:t>亿元，增长15%；镇级财政收入增长10%；农村居民人均可支配收入增长</w:t>
      </w:r>
      <w:r>
        <w:rPr>
          <w:rFonts w:hint="eastAsia" w:ascii="Times New Roman" w:hAnsi="Times New Roman" w:eastAsia="仿宋_GB2312"/>
          <w:color w:val="000000"/>
          <w:sz w:val="32"/>
          <w:szCs w:val="32"/>
        </w:rPr>
        <w:t>11</w:t>
      </w:r>
      <w:r>
        <w:rPr>
          <w:rFonts w:ascii="Times New Roman" w:hAnsi="Times New Roman" w:eastAsia="仿宋_GB2312"/>
          <w:color w:val="000000"/>
          <w:sz w:val="32"/>
          <w:szCs w:val="32"/>
        </w:rPr>
        <w:t>%。</w:t>
      </w:r>
    </w:p>
    <w:p w14:paraId="5F5A2639">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围绕以上目标，重点做好以下六个方面的工作：</w:t>
      </w:r>
    </w:p>
    <w:p w14:paraId="0B3B28A7">
      <w:pPr>
        <w:spacing w:line="600" w:lineRule="exact"/>
        <w:ind w:firstLine="643" w:firstLineChars="200"/>
        <w:rPr>
          <w:rFonts w:ascii="Times New Roman" w:hAnsi="Times New Roman" w:eastAsia="仿宋_GB2312"/>
          <w:color w:val="000000"/>
          <w:sz w:val="32"/>
          <w:szCs w:val="32"/>
        </w:rPr>
      </w:pPr>
      <w:r>
        <w:rPr>
          <w:rFonts w:ascii="Times New Roman" w:hAnsi="Times New Roman" w:eastAsia="楷体_GB2312"/>
          <w:b/>
          <w:bCs/>
          <w:color w:val="000000"/>
          <w:sz w:val="32"/>
          <w:szCs w:val="32"/>
        </w:rPr>
        <w:t>（一）千方百计推动产业升级。</w:t>
      </w:r>
      <w:r>
        <w:rPr>
          <w:rFonts w:ascii="Times New Roman" w:hAnsi="Times New Roman" w:eastAsia="仿宋_GB2312"/>
          <w:color w:val="000000"/>
          <w:sz w:val="32"/>
          <w:szCs w:val="32"/>
        </w:rPr>
        <w:t>抢抓长三角一体化发展、高铁西站、凤凰新</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建设等政策机遇，以产业为纲，以项目为王，培育现代产业新体系。积极培育壮大特色农业</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新增芳香作物种植面积1</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00亩以上</w:t>
      </w:r>
      <w:r>
        <w:rPr>
          <w:rFonts w:hint="eastAsia" w:ascii="Times New Roman" w:hAnsi="Times New Roman" w:eastAsia="仿宋_GB2312"/>
          <w:color w:val="000000"/>
          <w:sz w:val="32"/>
          <w:szCs w:val="32"/>
        </w:rPr>
        <w:t>，新增订单农业200亩以上，</w:t>
      </w:r>
      <w:r>
        <w:rPr>
          <w:rFonts w:ascii="Times New Roman" w:hAnsi="Times New Roman" w:eastAsia="仿宋_GB2312"/>
          <w:color w:val="000000"/>
          <w:sz w:val="32"/>
          <w:szCs w:val="32"/>
        </w:rPr>
        <w:t>实施农产品加工业“五个一批”工程，</w:t>
      </w:r>
      <w:r>
        <w:rPr>
          <w:rFonts w:hint="eastAsia" w:ascii="Times New Roman" w:hAnsi="Times New Roman" w:eastAsia="仿宋_GB2312"/>
          <w:color w:val="000000"/>
          <w:sz w:val="32"/>
          <w:szCs w:val="32"/>
        </w:rPr>
        <w:t>推广种植</w:t>
      </w:r>
      <w:r>
        <w:rPr>
          <w:rFonts w:ascii="Times New Roman" w:hAnsi="Times New Roman" w:eastAsia="仿宋_GB2312"/>
          <w:color w:val="000000"/>
          <w:sz w:val="32"/>
          <w:szCs w:val="32"/>
        </w:rPr>
        <w:t>蔬菜、水果等特色农产品，新增“三品一标”认证3个。</w:t>
      </w:r>
      <w:r>
        <w:rPr>
          <w:rFonts w:hint="eastAsia" w:ascii="Times New Roman" w:hAnsi="Times New Roman" w:eastAsia="仿宋_GB2312"/>
          <w:color w:val="000000"/>
          <w:sz w:val="32"/>
          <w:szCs w:val="32"/>
        </w:rPr>
        <w:t>落实最严格的耕地保护政策，确保主粮生产面积不减、产量不降。</w:t>
      </w:r>
      <w:r>
        <w:rPr>
          <w:rFonts w:ascii="Times New Roman" w:hAnsi="Times New Roman" w:eastAsia="仿宋_GB2312"/>
          <w:color w:val="000000"/>
          <w:sz w:val="32"/>
          <w:szCs w:val="32"/>
        </w:rPr>
        <w:t>积极推动工业园转型升级</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聚焦新型建材、智能装备两大产业板块，紧盯</w:t>
      </w:r>
      <w:r>
        <w:rPr>
          <w:rFonts w:ascii="Times New Roman" w:hAnsi="Times New Roman" w:eastAsia="仿宋_GB2312"/>
          <w:color w:val="000000"/>
          <w:spacing w:val="2"/>
          <w:sz w:val="32"/>
          <w:szCs w:val="32"/>
        </w:rPr>
        <w:t>沃克曼数控机床、</w:t>
      </w:r>
      <w:r>
        <w:rPr>
          <w:rFonts w:ascii="Times New Roman" w:hAnsi="Times New Roman" w:eastAsia="仿宋_GB2312"/>
          <w:color w:val="000000"/>
          <w:sz w:val="32"/>
          <w:szCs w:val="32"/>
        </w:rPr>
        <w:t>上海捷普金属材料等在谈</w:t>
      </w:r>
      <w:r>
        <w:rPr>
          <w:rFonts w:ascii="Times New Roman" w:hAnsi="Times New Roman" w:eastAsia="仿宋_GB2312"/>
          <w:color w:val="000000"/>
          <w:spacing w:val="2"/>
          <w:sz w:val="32"/>
          <w:szCs w:val="32"/>
        </w:rPr>
        <w:t>高端智能装备制造</w:t>
      </w:r>
      <w:r>
        <w:rPr>
          <w:rFonts w:ascii="Times New Roman" w:hAnsi="Times New Roman" w:eastAsia="仿宋_GB2312"/>
          <w:color w:val="000000"/>
          <w:sz w:val="32"/>
          <w:szCs w:val="32"/>
        </w:rPr>
        <w:t>项目，力争尽快落地见效。全面发展文化旅游业</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依托渠沟镇红色文化资源，结合芳香小镇、三乡公社</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锦鲤文化</w:t>
      </w:r>
      <w:r>
        <w:rPr>
          <w:rFonts w:hint="eastAsia" w:ascii="Times New Roman" w:hAnsi="Times New Roman" w:eastAsia="仿宋_GB2312"/>
          <w:color w:val="000000"/>
          <w:sz w:val="32"/>
          <w:szCs w:val="32"/>
        </w:rPr>
        <w:t>生态旅游、农业嘉年华</w:t>
      </w:r>
      <w:r>
        <w:rPr>
          <w:rFonts w:ascii="Times New Roman" w:hAnsi="Times New Roman" w:eastAsia="仿宋_GB2312"/>
          <w:color w:val="000000"/>
          <w:sz w:val="32"/>
          <w:szCs w:val="32"/>
        </w:rPr>
        <w:t>等项目，全力创建“旅游名镇”、AAA级旅游景点，推动全镇旅游产业快速发展。</w:t>
      </w:r>
    </w:p>
    <w:p w14:paraId="4B6F1B04">
      <w:pPr>
        <w:spacing w:line="600" w:lineRule="exact"/>
        <w:ind w:firstLine="643" w:firstLineChars="200"/>
        <w:rPr>
          <w:rFonts w:ascii="Times New Roman" w:hAnsi="Times New Roman" w:eastAsia="仿宋_GB2312"/>
          <w:color w:val="000000"/>
          <w:sz w:val="32"/>
          <w:szCs w:val="32"/>
        </w:rPr>
      </w:pPr>
      <w:r>
        <w:rPr>
          <w:rFonts w:ascii="Times New Roman" w:hAnsi="Times New Roman" w:eastAsia="楷体_GB2312"/>
          <w:b/>
          <w:bCs/>
          <w:color w:val="000000"/>
          <w:sz w:val="32"/>
          <w:szCs w:val="32"/>
        </w:rPr>
        <w:t>（二）全力以赴加快项目建设。</w:t>
      </w:r>
      <w:r>
        <w:rPr>
          <w:rFonts w:hint="eastAsia" w:ascii="Times New Roman" w:hAnsi="Times New Roman" w:eastAsia="仿宋_GB2312"/>
          <w:color w:val="000000"/>
          <w:sz w:val="32"/>
          <w:szCs w:val="32"/>
        </w:rPr>
        <w:t>牢固树立抓项目就是抓发展，抓大项目就是抓大发展的理念，积极谋划一批科技含量高、产业链长、配套企业多，带动能力强的大项目、好项目。2022年谋划项目11个，总投资4.65亿元；计划新开工项目10个，总投资3.15亿元，年计划投资2.15亿元；储备项目1个，投资1.5亿元。聚焦战略性新兴产业、现代农业、现代服务业，突出产业链招商，以商招商、精准招商，引进国内经济实力强的企业2-3家，打造现代农业科技示范园、冷链物流园等项目基地。强力推进项目建设各环节工作，落实领导包保项目机制，全力推进项目建设保障机制，加强项目调度及节点考核，推行全程跟踪服务，确保项目按时建成运营。</w:t>
      </w:r>
    </w:p>
    <w:p w14:paraId="5353D7BE">
      <w:pPr>
        <w:pStyle w:val="4"/>
        <w:spacing w:before="0" w:beforeAutospacing="0" w:after="0" w:afterAutospacing="0" w:line="600" w:lineRule="exact"/>
        <w:ind w:firstLine="640"/>
        <w:jc w:val="both"/>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（三）凝心聚力推进乡村振兴。</w:t>
      </w:r>
      <w:r>
        <w:rPr>
          <w:rFonts w:ascii="Times New Roman" w:hAnsi="Times New Roman" w:eastAsia="仿宋_GB2312" w:cs="Times New Roman"/>
          <w:color w:val="000000"/>
          <w:kern w:val="2"/>
          <w:sz w:val="32"/>
          <w:szCs w:val="32"/>
        </w:rPr>
        <w:t>夯实农业发展基础</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创</w:t>
      </w:r>
      <w:r>
        <w:rPr>
          <w:rFonts w:ascii="Times New Roman" w:hAnsi="Times New Roman" w:eastAsia="仿宋_GB2312" w:cs="Times New Roman"/>
          <w:color w:val="000000"/>
          <w:sz w:val="32"/>
          <w:szCs w:val="32"/>
        </w:rPr>
        <w:t>新土地流转和规模经营方式，</w:t>
      </w:r>
      <w:r>
        <w:rPr>
          <w:rFonts w:ascii="Times New Roman" w:hAnsi="Times New Roman" w:eastAsia="仿宋_GB2312" w:cs="Times New Roman"/>
          <w:color w:val="000000"/>
          <w:kern w:val="2"/>
          <w:sz w:val="32"/>
          <w:szCs w:val="32"/>
        </w:rPr>
        <w:t>加快芳香、果蔬等农业特色产业集群构建</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完成省级芳香小镇验收。实施乡村建设行动</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提标升级水电路网等基础设施，完善村庄规划编制，完成沟渠畅通工程，加快推进桥头征迁，提升村庄土地利用效率。培育壮大新型农业经营主体，支持淮北瑶香等电商企业发展，拓宽农产品销售渠道。加快特色产业培育</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提升“阳光先生”“渠花仙”等优质农产品品牌知名度，借助直播等新媒体形式，打造品牌效应。深化乡村创新创业人才培育，</w:t>
      </w:r>
      <w:r>
        <w:rPr>
          <w:rFonts w:ascii="Times New Roman" w:hAnsi="Times New Roman" w:eastAsia="仿宋_GB2312" w:cs="Times New Roman"/>
          <w:color w:val="000000"/>
          <w:sz w:val="32"/>
          <w:szCs w:val="32"/>
        </w:rPr>
        <w:t>逐步培养一批懂农业、爱农村、爱农民的“三农”工作队伍，</w:t>
      </w:r>
      <w:r>
        <w:rPr>
          <w:rFonts w:ascii="Times New Roman" w:hAnsi="Times New Roman" w:eastAsia="仿宋_GB2312" w:cs="Times New Roman"/>
          <w:color w:val="000000"/>
          <w:kern w:val="2"/>
          <w:sz w:val="32"/>
          <w:szCs w:val="32"/>
        </w:rPr>
        <w:t>为农业农村发展注入新鲜血液、新生力量。</w:t>
      </w:r>
      <w:r>
        <w:rPr>
          <w:rFonts w:ascii="Times New Roman" w:hAnsi="Times New Roman" w:eastAsia="仿宋_GB2312" w:cs="Times New Roman"/>
          <w:color w:val="000000"/>
          <w:sz w:val="32"/>
          <w:szCs w:val="32"/>
        </w:rPr>
        <w:t>发展壮大村级集体经济，争取实现村</w:t>
      </w:r>
      <w:r>
        <w:rPr>
          <w:rFonts w:hint="eastAsia" w:ascii="Times New Roman" w:hAnsi="Times New Roman" w:eastAsia="仿宋_GB2312" w:cs="Times New Roman"/>
          <w:color w:val="000000"/>
          <w:sz w:val="32"/>
          <w:szCs w:val="32"/>
        </w:rPr>
        <w:t>级</w:t>
      </w:r>
      <w:r>
        <w:rPr>
          <w:rFonts w:ascii="Times New Roman" w:hAnsi="Times New Roman" w:eastAsia="仿宋_GB2312" w:cs="Times New Roman"/>
          <w:color w:val="000000"/>
          <w:sz w:val="32"/>
          <w:szCs w:val="32"/>
        </w:rPr>
        <w:t>集体经济收入50万元以上的村9个，百万元以上的村4个</w:t>
      </w:r>
      <w:r>
        <w:rPr>
          <w:rFonts w:ascii="Times New Roman" w:hAnsi="Times New Roman" w:eastAsia="仿宋_GB2312" w:cs="Times New Roman"/>
          <w:color w:val="000000"/>
          <w:kern w:val="2"/>
          <w:sz w:val="32"/>
          <w:szCs w:val="32"/>
        </w:rPr>
        <w:t>。</w:t>
      </w:r>
    </w:p>
    <w:p w14:paraId="03E75415">
      <w:pPr>
        <w:pStyle w:val="4"/>
        <w:spacing w:before="0" w:beforeAutospacing="0" w:after="0" w:afterAutospacing="0"/>
        <w:ind w:firstLine="643"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（四）</w:t>
      </w:r>
      <w:r>
        <w:rPr>
          <w:rFonts w:hint="eastAsia" w:ascii="Times New Roman" w:hAnsi="Times New Roman" w:eastAsia="楷体_GB2312" w:cs="Times New Roman"/>
          <w:b/>
          <w:bCs/>
          <w:color w:val="000000"/>
          <w:sz w:val="32"/>
          <w:szCs w:val="32"/>
        </w:rPr>
        <w:t>持之以恒</w:t>
      </w:r>
      <w:r>
        <w:rPr>
          <w:rFonts w:ascii="Times New Roman" w:hAnsi="Times New Roman" w:eastAsia="楷体_GB2312" w:cs="Times New Roman"/>
          <w:b/>
          <w:bCs/>
          <w:color w:val="000000"/>
          <w:sz w:val="32"/>
          <w:szCs w:val="32"/>
        </w:rPr>
        <w:t>加强环境保护。</w:t>
      </w:r>
      <w:r>
        <w:rPr>
          <w:rFonts w:hint="eastAsia" w:ascii="Times New Roman" w:hAnsi="Times New Roman" w:eastAsia="仿宋_GB2312" w:cs="Times New Roman"/>
          <w:color w:val="000000"/>
          <w:sz w:val="32"/>
          <w:szCs w:val="32"/>
        </w:rPr>
        <w:t>坚持把生态文明建设作为一项重要政治任务来抓，打好污染防治攻坚战。</w:t>
      </w:r>
      <w:r>
        <w:rPr>
          <w:rFonts w:ascii="Times New Roman" w:hAnsi="Times New Roman" w:eastAsia="仿宋_GB2312" w:cs="Times New Roman"/>
          <w:color w:val="000000"/>
          <w:sz w:val="32"/>
          <w:szCs w:val="32"/>
        </w:rPr>
        <w:t>严格执行大气污染防控措施，</w:t>
      </w:r>
      <w:r>
        <w:rPr>
          <w:rFonts w:hint="eastAsia" w:ascii="Times New Roman" w:hAnsi="Times New Roman" w:eastAsia="仿宋_GB2312" w:cs="Times New Roman"/>
          <w:color w:val="000000"/>
          <w:sz w:val="32"/>
          <w:szCs w:val="32"/>
        </w:rPr>
        <w:t>做好秸秆禁烧及秸秆综合利用工作，减少大气污染排放；紧盯辖区顺成搅拌、油西建材等企业环境污染的治理，</w:t>
      </w:r>
      <w:r>
        <w:rPr>
          <w:rFonts w:ascii="Times New Roman" w:hAnsi="Times New Roman" w:eastAsia="仿宋_GB2312" w:cs="Times New Roman"/>
          <w:color w:val="000000"/>
          <w:sz w:val="32"/>
          <w:szCs w:val="32"/>
        </w:rPr>
        <w:t>加强扬尘污染防治</w:t>
      </w:r>
      <w:r>
        <w:rPr>
          <w:rFonts w:hint="eastAsia" w:ascii="Times New Roman" w:hAnsi="Times New Roman" w:eastAsia="仿宋_GB2312" w:cs="Times New Roman"/>
          <w:color w:val="000000"/>
          <w:sz w:val="32"/>
          <w:szCs w:val="32"/>
        </w:rPr>
        <w:t>，促进环境空气质量持续改善；持续抓好中央及省环保督察反馈问题整改工作，织密环境保护责任网，形成全域排查、全面治理、全过程监管、全方位提升的环保监督制度；持续推进河湖“清四乱”常态化、规范化，强化水源地保护、黑臭水体治理；强化土壤污染防治</w:t>
      </w:r>
      <w:r>
        <w:rPr>
          <w:rFonts w:ascii="Times New Roman" w:hAnsi="Times New Roman" w:eastAsia="仿宋_GB2312" w:cs="Times New Roman"/>
          <w:color w:val="000000"/>
          <w:sz w:val="32"/>
          <w:szCs w:val="32"/>
        </w:rPr>
        <w:t>风险防控，</w:t>
      </w:r>
      <w:r>
        <w:rPr>
          <w:rFonts w:hint="eastAsia" w:ascii="Times New Roman" w:hAnsi="Times New Roman" w:eastAsia="仿宋_GB2312" w:cs="Times New Roman"/>
          <w:color w:val="000000"/>
          <w:sz w:val="32"/>
          <w:szCs w:val="32"/>
        </w:rPr>
        <w:t>推进耕地安全利用，深入开展固体废弃物污染防治攻坚行动及农业面源污染防治，加强农业生活污水处理基础设施建设，持续改善农村生态环境</w:t>
      </w:r>
      <w:r>
        <w:rPr>
          <w:rFonts w:ascii="Times New Roman" w:hAnsi="Times New Roman" w:eastAsia="仿宋_GB2312" w:cs="Times New Roman"/>
          <w:color w:val="000000"/>
          <w:sz w:val="32"/>
          <w:szCs w:val="32"/>
        </w:rPr>
        <w:t>。</w:t>
      </w:r>
    </w:p>
    <w:p w14:paraId="57CACE06">
      <w:pPr>
        <w:pStyle w:val="4"/>
        <w:spacing w:before="0" w:beforeAutospacing="0" w:after="0" w:afterAutospacing="0" w:line="600" w:lineRule="exact"/>
        <w:ind w:firstLine="640"/>
        <w:jc w:val="both"/>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（五）扎实有序开展环境整治。</w:t>
      </w:r>
      <w:r>
        <w:rPr>
          <w:rFonts w:hint="eastAsia" w:ascii="Times New Roman" w:hAnsi="Times New Roman" w:eastAsia="仿宋_GB2312" w:cs="Times New Roman"/>
          <w:color w:val="000000"/>
          <w:kern w:val="2"/>
          <w:sz w:val="32"/>
          <w:szCs w:val="32"/>
        </w:rPr>
        <w:t>着力推进“三大革命”，</w:t>
      </w:r>
      <w:r>
        <w:rPr>
          <w:rFonts w:ascii="Times New Roman" w:hAnsi="Times New Roman" w:eastAsia="仿宋_GB2312" w:cs="Times New Roman"/>
          <w:color w:val="000000"/>
          <w:kern w:val="2"/>
          <w:sz w:val="32"/>
          <w:szCs w:val="32"/>
        </w:rPr>
        <w:t>全面开启新一轮农村人居环境整治行动</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kern w:val="2"/>
          <w:sz w:val="32"/>
          <w:szCs w:val="32"/>
        </w:rPr>
        <w:t>依托“一组一会”，调动农民群众积极性主动性，自觉参与农村人居环境整治，</w:t>
      </w:r>
      <w:r>
        <w:rPr>
          <w:rFonts w:hint="eastAsia" w:ascii="仿宋_GB2312" w:eastAsia="仿宋_GB2312"/>
          <w:color w:val="000000"/>
          <w:sz w:val="32"/>
          <w:szCs w:val="32"/>
        </w:rPr>
        <w:t>全面清理村庄、房前屋后和村巷道的柴草杂物，</w:t>
      </w:r>
      <w:r>
        <w:rPr>
          <w:rFonts w:hint="eastAsia" w:ascii="Times New Roman" w:hAnsi="Times New Roman" w:eastAsia="仿宋_GB2312" w:cs="Times New Roman"/>
          <w:color w:val="000000"/>
          <w:sz w:val="32"/>
          <w:szCs w:val="32"/>
        </w:rPr>
        <w:t>新建</w:t>
      </w:r>
      <w:r>
        <w:rPr>
          <w:rFonts w:ascii="Times New Roman" w:hAnsi="Times New Roman" w:eastAsia="仿宋_GB2312" w:cs="Times New Roman"/>
          <w:bCs/>
          <w:color w:val="000000"/>
          <w:sz w:val="32"/>
          <w:szCs w:val="32"/>
        </w:rPr>
        <w:t>乡村公园，</w:t>
      </w:r>
      <w:r>
        <w:rPr>
          <w:rFonts w:hint="eastAsia" w:ascii="仿宋_GB2312" w:eastAsia="仿宋_GB2312"/>
          <w:color w:val="000000"/>
          <w:sz w:val="32"/>
          <w:szCs w:val="32"/>
        </w:rPr>
        <w:t>优化居住环境</w:t>
      </w:r>
      <w:r>
        <w:rPr>
          <w:rFonts w:ascii="仿宋_GB2312" w:eastAsia="仿宋_GB2312"/>
          <w:color w:val="000000"/>
          <w:sz w:val="32"/>
          <w:szCs w:val="32"/>
        </w:rPr>
        <w:t>。</w:t>
      </w:r>
      <w:r>
        <w:rPr>
          <w:rFonts w:hint="eastAsia" w:ascii="仿宋_GB2312" w:eastAsia="仿宋_GB2312"/>
          <w:color w:val="000000"/>
          <w:sz w:val="32"/>
          <w:szCs w:val="32"/>
        </w:rPr>
        <w:t>持续推进</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农村户</w:t>
      </w:r>
      <w:r>
        <w:rPr>
          <w:rFonts w:ascii="Times New Roman" w:hAnsi="Times New Roman" w:eastAsia="仿宋_GB2312" w:cs="Times New Roman"/>
          <w:color w:val="000000"/>
          <w:sz w:val="32"/>
          <w:szCs w:val="32"/>
        </w:rPr>
        <w:t>改厕</w:t>
      </w:r>
      <w:r>
        <w:rPr>
          <w:rFonts w:hint="eastAsia" w:ascii="Times New Roman" w:hAnsi="Times New Roman" w:eastAsia="仿宋_GB2312" w:cs="Times New Roman"/>
          <w:color w:val="000000"/>
          <w:sz w:val="32"/>
          <w:szCs w:val="32"/>
        </w:rPr>
        <w:t>工作，实现</w:t>
      </w:r>
      <w:r>
        <w:rPr>
          <w:rFonts w:ascii="Times New Roman" w:hAnsi="Times New Roman" w:eastAsia="仿宋_GB2312" w:cs="Times New Roman"/>
          <w:color w:val="000000"/>
          <w:sz w:val="32"/>
          <w:szCs w:val="32"/>
        </w:rPr>
        <w:t>户改厕覆盖率达到</w:t>
      </w:r>
      <w:r>
        <w:rPr>
          <w:rFonts w:hint="eastAsia" w:ascii="Times New Roman" w:hAnsi="Times New Roman" w:eastAsia="仿宋_GB2312" w:cs="Times New Roman"/>
          <w:color w:val="000000"/>
          <w:sz w:val="32"/>
          <w:szCs w:val="32"/>
        </w:rPr>
        <w:t>96</w:t>
      </w:r>
      <w:r>
        <w:rPr>
          <w:rFonts w:ascii="Times New Roman" w:hAnsi="Times New Roman" w:eastAsia="仿宋_GB2312" w:cs="Times New Roman"/>
          <w:color w:val="000000"/>
          <w:sz w:val="32"/>
          <w:szCs w:val="32"/>
        </w:rPr>
        <w:t>%以上。</w:t>
      </w:r>
      <w:r>
        <w:rPr>
          <w:rFonts w:hint="eastAsia" w:ascii="Times New Roman" w:hAnsi="Times New Roman" w:eastAsia="仿宋_GB2312" w:cs="Times New Roman"/>
          <w:color w:val="000000"/>
          <w:sz w:val="32"/>
          <w:szCs w:val="32"/>
        </w:rPr>
        <w:t>继续实施</w:t>
      </w:r>
      <w:r>
        <w:rPr>
          <w:rFonts w:ascii="Times New Roman" w:hAnsi="Times New Roman" w:eastAsia="仿宋_GB2312" w:cs="Times New Roman"/>
          <w:color w:val="000000"/>
          <w:sz w:val="32"/>
          <w:szCs w:val="32"/>
        </w:rPr>
        <w:t>环卫保洁市场化，全域推进农村垃圾分类规范提升。</w:t>
      </w:r>
      <w:r>
        <w:rPr>
          <w:rFonts w:hint="eastAsia" w:ascii="Times New Roman" w:hAnsi="Times New Roman" w:eastAsia="仿宋_GB2312" w:cs="Times New Roman"/>
          <w:color w:val="000000"/>
          <w:sz w:val="32"/>
          <w:szCs w:val="32"/>
        </w:rPr>
        <w:t>加快推进</w:t>
      </w:r>
      <w:r>
        <w:rPr>
          <w:rFonts w:ascii="Times New Roman" w:hAnsi="Times New Roman" w:eastAsia="仿宋_GB2312" w:cs="Times New Roman"/>
          <w:color w:val="000000"/>
          <w:sz w:val="32"/>
          <w:szCs w:val="32"/>
        </w:rPr>
        <w:t>徐集村徐集自然庄、鲁楼前柳园美丽乡村建设，</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坑塘、公厕、健身广场等配套设施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推进</w:t>
      </w:r>
      <w:r>
        <w:rPr>
          <w:rFonts w:ascii="Times New Roman" w:hAnsi="Times New Roman" w:eastAsia="仿宋_GB2312" w:cs="Times New Roman"/>
          <w:color w:val="000000"/>
          <w:kern w:val="2"/>
          <w:sz w:val="32"/>
          <w:szCs w:val="32"/>
        </w:rPr>
        <w:t>乡村环境“高颜值”和人居环境“高水准”同步实现。</w:t>
      </w:r>
    </w:p>
    <w:p w14:paraId="42AD6F97">
      <w:pPr>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（六）一心一意增进民生福祉。</w:t>
      </w:r>
      <w:r>
        <w:rPr>
          <w:rFonts w:ascii="Times New Roman" w:hAnsi="Times New Roman" w:eastAsia="仿宋_GB2312"/>
          <w:color w:val="000000"/>
          <w:sz w:val="32"/>
          <w:szCs w:val="32"/>
        </w:rPr>
        <w:t>强化新冠肺炎疫情常态化防控，加快推进新冠疫苗接种，着力构建全民免疫屏障。全面推进健康乡村建设，落实基本公共卫生服务项目补助政策，成立村级公共卫生委员会，规范开展2022年度家庭医生签约服务。</w:t>
      </w:r>
      <w:r>
        <w:rPr>
          <w:rFonts w:hint="eastAsia" w:ascii="Times New Roman" w:hAnsi="Times New Roman" w:eastAsia="仿宋_GB2312"/>
          <w:color w:val="000000"/>
          <w:sz w:val="32"/>
          <w:szCs w:val="32"/>
        </w:rPr>
        <w:t>高标准完成城乡居民医疗和基本</w:t>
      </w:r>
      <w:r>
        <w:rPr>
          <w:rFonts w:ascii="Times New Roman" w:hAnsi="Times New Roman" w:eastAsia="仿宋_GB2312"/>
          <w:color w:val="000000"/>
          <w:sz w:val="32"/>
          <w:szCs w:val="32"/>
        </w:rPr>
        <w:t>养老</w:t>
      </w:r>
      <w:r>
        <w:rPr>
          <w:rFonts w:hint="eastAsia" w:ascii="Times New Roman" w:hAnsi="Times New Roman" w:eastAsia="仿宋_GB2312"/>
          <w:color w:val="000000"/>
          <w:sz w:val="32"/>
          <w:szCs w:val="32"/>
        </w:rPr>
        <w:t>保险参保缴费工作</w:t>
      </w:r>
      <w:r>
        <w:rPr>
          <w:rFonts w:ascii="Times New Roman" w:hAnsi="Times New Roman" w:eastAsia="仿宋_GB2312"/>
          <w:color w:val="000000"/>
          <w:sz w:val="32"/>
          <w:szCs w:val="32"/>
        </w:rPr>
        <w:t>。坚持弘扬主旋律、传播正能量</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常态化抓好文明创建各项</w:t>
      </w:r>
      <w:r>
        <w:rPr>
          <w:rFonts w:hint="eastAsia" w:ascii="Times New Roman" w:hAnsi="Times New Roman" w:eastAsia="仿宋_GB2312"/>
          <w:color w:val="000000"/>
          <w:sz w:val="32"/>
          <w:szCs w:val="32"/>
        </w:rPr>
        <w:t>工作。</w:t>
      </w:r>
      <w:r>
        <w:rPr>
          <w:rFonts w:ascii="Times New Roman" w:hAnsi="Times New Roman" w:eastAsia="仿宋_GB2312"/>
          <w:color w:val="000000"/>
          <w:sz w:val="32"/>
          <w:szCs w:val="32"/>
        </w:rPr>
        <w:t>持续巩固拓展脱贫攻坚成果，严格落实“四个不摘”要求，持续加强全镇5户14人监测对象、脱贫群众动态监测和帮扶，继续抓好巩固脱贫攻坚成果项目运营，以“产业兜底”带动“产业富民”。持续开展安全隐患大排查，安全生产形势持续稳定，积极做好国家级、省级综合减灾示范社区创建工作。实施平安建设，建立群防体系，建设金桥家园智安小区。坚持和发展新时代“枫桥经验”，畅通和规范群众诉求表达、利益协调、权益保障通道。</w:t>
      </w:r>
    </w:p>
    <w:p w14:paraId="3624D08C">
      <w:pPr>
        <w:pStyle w:val="4"/>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2"/>
          <w:sz w:val="32"/>
          <w:szCs w:val="32"/>
        </w:rPr>
        <w:t>2022年，</w:t>
      </w:r>
      <w:r>
        <w:rPr>
          <w:rFonts w:hint="eastAsia" w:ascii="Times New Roman" w:hAnsi="Times New Roman" w:eastAsia="仿宋_GB2312" w:cs="Times New Roman"/>
          <w:color w:val="000000"/>
          <w:kern w:val="2"/>
          <w:sz w:val="32"/>
          <w:szCs w:val="32"/>
        </w:rPr>
        <w:t>镇</w:t>
      </w:r>
      <w:r>
        <w:rPr>
          <w:rFonts w:ascii="Times New Roman" w:hAnsi="Times New Roman" w:eastAsia="仿宋_GB2312" w:cs="Times New Roman"/>
          <w:color w:val="000000"/>
          <w:kern w:val="2"/>
          <w:sz w:val="32"/>
          <w:szCs w:val="32"/>
        </w:rPr>
        <w:t>政府将继续围绕广大群众关心的问题，</w:t>
      </w:r>
      <w:r>
        <w:rPr>
          <w:rFonts w:ascii="Times New Roman" w:hAnsi="Times New Roman" w:eastAsia="仿宋_GB2312" w:cs="Times New Roman"/>
          <w:color w:val="000000"/>
          <w:sz w:val="32"/>
          <w:szCs w:val="32"/>
        </w:rPr>
        <w:t>尽心尽力办好</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件民生实事：</w:t>
      </w:r>
      <w:r>
        <w:rPr>
          <w:rFonts w:ascii="Times New Roman" w:hAnsi="Times New Roman" w:eastAsia="仿宋_GB2312" w:cs="Times New Roman"/>
          <w:b/>
          <w:bCs/>
          <w:color w:val="000000"/>
          <w:kern w:val="2"/>
          <w:sz w:val="32"/>
          <w:szCs w:val="32"/>
        </w:rPr>
        <w:t>一是</w:t>
      </w:r>
      <w:r>
        <w:rPr>
          <w:rFonts w:ascii="Times New Roman" w:hAnsi="Times New Roman" w:eastAsia="仿宋_GB2312" w:cs="Times New Roman"/>
          <w:color w:val="000000"/>
          <w:kern w:val="2"/>
          <w:sz w:val="32"/>
          <w:szCs w:val="32"/>
        </w:rPr>
        <w:t>全面促进教育均衡发展，强化教育基础设施建设，对钟楼中学进行改扩建。</w:t>
      </w:r>
      <w:r>
        <w:rPr>
          <w:rFonts w:ascii="Times New Roman" w:hAnsi="Times New Roman" w:eastAsia="仿宋_GB2312" w:cs="Times New Roman"/>
          <w:b/>
          <w:bCs/>
          <w:color w:val="000000"/>
          <w:kern w:val="2"/>
          <w:sz w:val="32"/>
          <w:szCs w:val="32"/>
        </w:rPr>
        <w:t>二是</w:t>
      </w:r>
      <w:r>
        <w:rPr>
          <w:rFonts w:ascii="Times New Roman" w:hAnsi="Times New Roman" w:eastAsia="仿宋_GB2312" w:cs="Times New Roman"/>
          <w:color w:val="000000"/>
          <w:kern w:val="2"/>
          <w:sz w:val="32"/>
          <w:szCs w:val="32"/>
        </w:rPr>
        <w:t>夯实乡村产业发展基础，实施</w:t>
      </w:r>
      <w:r>
        <w:rPr>
          <w:rFonts w:ascii="Times New Roman" w:hAnsi="Times New Roman" w:eastAsia="仿宋_GB2312" w:cs="Times New Roman"/>
          <w:color w:val="000000"/>
          <w:sz w:val="32"/>
          <w:szCs w:val="32"/>
        </w:rPr>
        <w:t>渠沟镇沟渠畅通工程（农田水利最后一公里）。</w:t>
      </w:r>
      <w:r>
        <w:rPr>
          <w:rFonts w:ascii="Times New Roman" w:hAnsi="Times New Roman" w:eastAsia="仿宋_GB2312" w:cs="Times New Roman"/>
          <w:b/>
          <w:bCs/>
          <w:color w:val="000000"/>
          <w:kern w:val="2"/>
          <w:sz w:val="32"/>
          <w:szCs w:val="32"/>
        </w:rPr>
        <w:t>三是</w:t>
      </w:r>
      <w:r>
        <w:rPr>
          <w:rFonts w:ascii="Times New Roman" w:hAnsi="Times New Roman" w:eastAsia="仿宋_GB2312" w:cs="Times New Roman"/>
          <w:color w:val="000000"/>
          <w:sz w:val="32"/>
          <w:szCs w:val="32"/>
        </w:rPr>
        <w:t>维护群众利益，切实做好大梁楼采煤塌陷村庄搬迁安置分房工作。</w:t>
      </w:r>
      <w:r>
        <w:rPr>
          <w:rFonts w:ascii="Times New Roman" w:hAnsi="Times New Roman" w:eastAsia="仿宋_GB2312" w:cs="Times New Roman"/>
          <w:b/>
          <w:bCs/>
          <w:color w:val="000000"/>
          <w:kern w:val="2"/>
          <w:sz w:val="32"/>
          <w:szCs w:val="32"/>
        </w:rPr>
        <w:t>四是</w:t>
      </w:r>
      <w:r>
        <w:rPr>
          <w:rFonts w:ascii="Times New Roman" w:hAnsi="Times New Roman" w:eastAsia="仿宋_GB2312" w:cs="Times New Roman"/>
          <w:color w:val="000000"/>
          <w:sz w:val="32"/>
          <w:szCs w:val="32"/>
        </w:rPr>
        <w:t>加大对水污染治理，实施王引河（渠沟镇段）支流流域水环境综合治理项目。</w:t>
      </w:r>
      <w:r>
        <w:rPr>
          <w:rFonts w:ascii="Times New Roman" w:hAnsi="Times New Roman" w:eastAsia="仿宋_GB2312" w:cs="Times New Roman"/>
          <w:b/>
          <w:bCs/>
          <w:color w:val="000000"/>
          <w:kern w:val="2"/>
          <w:sz w:val="32"/>
          <w:szCs w:val="32"/>
        </w:rPr>
        <w:t>五是</w:t>
      </w:r>
      <w:r>
        <w:rPr>
          <w:rFonts w:hint="eastAsia" w:ascii="Times New Roman" w:hAnsi="Times New Roman" w:eastAsia="仿宋_GB2312" w:cs="Times New Roman"/>
          <w:color w:val="000000"/>
          <w:sz w:val="32"/>
          <w:szCs w:val="32"/>
        </w:rPr>
        <w:t>试点开展公共空间治理，扎实</w:t>
      </w:r>
      <w:r>
        <w:rPr>
          <w:rFonts w:ascii="Times New Roman" w:hAnsi="Times New Roman" w:eastAsia="仿宋_GB2312" w:cs="Times New Roman"/>
          <w:color w:val="000000"/>
          <w:sz w:val="32"/>
          <w:szCs w:val="32"/>
        </w:rPr>
        <w:t>推进鲁楼村空心庄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张集村空心庄治理项目，</w:t>
      </w:r>
      <w:r>
        <w:rPr>
          <w:rFonts w:hint="eastAsia" w:ascii="Times New Roman" w:hAnsi="Times New Roman" w:eastAsia="仿宋_GB2312" w:cs="Times New Roman"/>
          <w:color w:val="000000"/>
          <w:sz w:val="32"/>
          <w:szCs w:val="32"/>
        </w:rPr>
        <w:t>优化村庄空间布局</w:t>
      </w:r>
      <w:r>
        <w:rPr>
          <w:rFonts w:ascii="Times New Roman" w:hAnsi="Times New Roman" w:eastAsia="仿宋_GB2312" w:cs="Times New Roman"/>
          <w:color w:val="000000"/>
          <w:sz w:val="32"/>
          <w:szCs w:val="32"/>
        </w:rPr>
        <w:t>。</w:t>
      </w:r>
      <w:r>
        <w:rPr>
          <w:rFonts w:ascii="Times New Roman" w:hAnsi="Times New Roman" w:eastAsia="仿宋_GB2312" w:cs="Times New Roman"/>
          <w:b/>
          <w:bCs/>
          <w:color w:val="000000"/>
          <w:sz w:val="32"/>
          <w:szCs w:val="32"/>
        </w:rPr>
        <w:t>六是</w:t>
      </w:r>
      <w:r>
        <w:rPr>
          <w:rFonts w:ascii="Times New Roman" w:hAnsi="Times New Roman" w:eastAsia="仿宋_GB2312" w:cs="Times New Roman"/>
          <w:color w:val="000000"/>
          <w:sz w:val="32"/>
          <w:szCs w:val="32"/>
        </w:rPr>
        <w:t>实施渠沟镇危桥改造项目，对辖区6座危桥进行改造。</w:t>
      </w:r>
      <w:r>
        <w:rPr>
          <w:rFonts w:ascii="Times New Roman" w:hAnsi="Times New Roman" w:eastAsia="仿宋_GB2312" w:cs="Times New Roman"/>
          <w:b/>
          <w:bCs/>
          <w:color w:val="000000"/>
          <w:sz w:val="32"/>
          <w:szCs w:val="32"/>
        </w:rPr>
        <w:t>七是</w:t>
      </w:r>
      <w:r>
        <w:rPr>
          <w:rFonts w:ascii="Times New Roman" w:hAnsi="Times New Roman" w:eastAsia="仿宋_GB2312" w:cs="Times New Roman"/>
          <w:color w:val="000000"/>
          <w:sz w:val="32"/>
          <w:szCs w:val="32"/>
        </w:rPr>
        <w:t>扎实推进农村人居环境提升行动，继续推进省级美丽乡村示范村建设</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b/>
          <w:bCs/>
          <w:color w:val="000000"/>
          <w:sz w:val="32"/>
          <w:szCs w:val="32"/>
        </w:rPr>
        <w:t>八是</w:t>
      </w:r>
      <w:r>
        <w:rPr>
          <w:rFonts w:ascii="Times New Roman" w:hAnsi="Times New Roman" w:eastAsia="仿宋_GB2312" w:cs="Times New Roman"/>
          <w:color w:val="000000"/>
          <w:sz w:val="32"/>
          <w:szCs w:val="32"/>
        </w:rPr>
        <w:t>实施渠沟镇村庄环境整治和渠沟镇辖区县乡道路绿化项目，进一步提升</w:t>
      </w:r>
      <w:r>
        <w:rPr>
          <w:rFonts w:hint="eastAsia" w:ascii="Times New Roman" w:hAnsi="Times New Roman" w:eastAsia="仿宋_GB2312" w:cs="Times New Roman"/>
          <w:color w:val="000000"/>
          <w:sz w:val="32"/>
          <w:szCs w:val="32"/>
        </w:rPr>
        <w:t>森林覆盖率</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b/>
          <w:bCs/>
          <w:color w:val="000000"/>
          <w:sz w:val="32"/>
          <w:szCs w:val="32"/>
        </w:rPr>
        <w:t>九</w:t>
      </w:r>
      <w:r>
        <w:rPr>
          <w:rFonts w:ascii="Times New Roman" w:hAnsi="Times New Roman" w:eastAsia="仿宋_GB2312" w:cs="Times New Roman"/>
          <w:b/>
          <w:bCs/>
          <w:color w:val="000000"/>
          <w:sz w:val="32"/>
          <w:szCs w:val="32"/>
        </w:rPr>
        <w:t>是</w:t>
      </w:r>
      <w:r>
        <w:rPr>
          <w:rFonts w:hint="eastAsia" w:ascii="Times New Roman" w:hAnsi="Times New Roman" w:eastAsia="仿宋_GB2312" w:cs="Times New Roman"/>
          <w:color w:val="000000"/>
          <w:sz w:val="32"/>
          <w:szCs w:val="32"/>
        </w:rPr>
        <w:t>加大乡村道路建设投入，新增硬化道路10公里以上</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b/>
          <w:bCs/>
          <w:color w:val="000000"/>
          <w:sz w:val="32"/>
          <w:szCs w:val="32"/>
        </w:rPr>
        <w:t>十</w:t>
      </w:r>
      <w:r>
        <w:rPr>
          <w:rFonts w:ascii="Times New Roman" w:hAnsi="Times New Roman" w:eastAsia="仿宋_GB2312" w:cs="Times New Roman"/>
          <w:b/>
          <w:bCs/>
          <w:color w:val="000000"/>
          <w:sz w:val="32"/>
          <w:szCs w:val="32"/>
        </w:rPr>
        <w:t>是</w:t>
      </w:r>
      <w:r>
        <w:rPr>
          <w:rFonts w:hint="eastAsia" w:ascii="Times New Roman" w:hAnsi="Times New Roman" w:eastAsia="仿宋_GB2312" w:cs="Times New Roman"/>
          <w:color w:val="000000"/>
          <w:sz w:val="32"/>
          <w:szCs w:val="32"/>
        </w:rPr>
        <w:t>继续对卫生厕所建设落实补贴政策，新增卫生厕所191个以上</w:t>
      </w:r>
      <w:r>
        <w:rPr>
          <w:rFonts w:ascii="Times New Roman" w:hAnsi="Times New Roman" w:eastAsia="仿宋_GB2312" w:cs="Times New Roman"/>
          <w:color w:val="000000"/>
          <w:sz w:val="32"/>
          <w:szCs w:val="32"/>
        </w:rPr>
        <w:t>。</w:t>
      </w:r>
    </w:p>
    <w:p w14:paraId="6905B051">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各位代表，</w:t>
      </w:r>
      <w:r>
        <w:rPr>
          <w:rFonts w:hint="eastAsia" w:ascii="Times New Roman" w:hAnsi="Times New Roman" w:eastAsia="仿宋_GB2312"/>
          <w:color w:val="000000"/>
          <w:sz w:val="32"/>
          <w:szCs w:val="32"/>
        </w:rPr>
        <w:t>习近平总书记强调“幸福都是奋斗出来的”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新一届</w:t>
      </w:r>
      <w:r>
        <w:rPr>
          <w:rFonts w:ascii="Times New Roman" w:hAnsi="Times New Roman" w:eastAsia="仿宋_GB2312"/>
          <w:color w:val="000000"/>
          <w:sz w:val="32"/>
          <w:szCs w:val="32"/>
        </w:rPr>
        <w:t>政府将全面加强自身建设，必须永葆昂扬向上、积极进取的奋斗精神，为理想信仰奋斗，为崇高使命奋斗，为美好生活奋斗，在</w:t>
      </w:r>
      <w:r>
        <w:rPr>
          <w:rFonts w:hint="eastAsia" w:ascii="Times New Roman" w:hAnsi="Times New Roman" w:eastAsia="仿宋_GB2312"/>
          <w:color w:val="000000"/>
          <w:sz w:val="32"/>
          <w:szCs w:val="32"/>
        </w:rPr>
        <w:t>不断</w:t>
      </w:r>
      <w:r>
        <w:rPr>
          <w:rFonts w:hint="eastAsia" w:ascii="Times New Roman" w:hAnsi="Times New Roman" w:eastAsia="仿宋_GB2312"/>
          <w:color w:val="000000"/>
          <w:sz w:val="32"/>
          <w:szCs w:val="32"/>
          <w:lang w:eastAsia="zh-CN"/>
        </w:rPr>
        <w:t>拼搏进取</w:t>
      </w:r>
      <w:r>
        <w:rPr>
          <w:rFonts w:ascii="Times New Roman" w:hAnsi="Times New Roman" w:eastAsia="仿宋_GB2312"/>
          <w:color w:val="000000"/>
          <w:sz w:val="32"/>
          <w:szCs w:val="32"/>
        </w:rPr>
        <w:t>中展现新形象、开创新业绩。</w:t>
      </w:r>
    </w:p>
    <w:p w14:paraId="2B2706F5">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一是不断增强政治自觉</w:t>
      </w:r>
      <w:r>
        <w:rPr>
          <w:rFonts w:ascii="Times New Roman" w:hAnsi="Times New Roman" w:eastAsia="楷体"/>
          <w:b/>
          <w:bCs/>
          <w:color w:val="000000"/>
          <w:sz w:val="32"/>
          <w:szCs w:val="32"/>
        </w:rPr>
        <w:t>。</w:t>
      </w:r>
      <w:r>
        <w:rPr>
          <w:rFonts w:ascii="Times New Roman" w:hAnsi="Times New Roman" w:eastAsia="仿宋_GB2312"/>
          <w:color w:val="000000"/>
          <w:sz w:val="32"/>
          <w:szCs w:val="32"/>
        </w:rPr>
        <w:t>坚持把党的政治建设放在首要位置，</w:t>
      </w:r>
      <w:r>
        <w:rPr>
          <w:rFonts w:hint="eastAsia" w:ascii="Times New Roman" w:hAnsi="Times New Roman" w:eastAsia="仿宋_GB2312"/>
          <w:color w:val="000000"/>
          <w:sz w:val="32"/>
          <w:szCs w:val="32"/>
        </w:rPr>
        <w:t>深学笃行习近平新时代中国特色社会主义思想，以衷心拥护“两个确立”、忠诚践行“两个维护”的政治自觉，</w:t>
      </w:r>
      <w:r>
        <w:rPr>
          <w:rFonts w:ascii="Times New Roman" w:hAnsi="Times New Roman" w:eastAsia="仿宋_GB2312"/>
          <w:color w:val="000000"/>
          <w:sz w:val="32"/>
          <w:szCs w:val="32"/>
        </w:rPr>
        <w:t>始终在政治立场、政治方向、政治原则、政治道路上同以习近平同志为核心的党中央保持高度一致</w:t>
      </w:r>
      <w:r>
        <w:rPr>
          <w:rFonts w:hint="eastAsia" w:ascii="Times New Roman" w:hAnsi="Times New Roman" w:eastAsia="仿宋_GB2312"/>
          <w:color w:val="000000"/>
          <w:sz w:val="32"/>
          <w:szCs w:val="32"/>
        </w:rPr>
        <w:t>。</w:t>
      </w:r>
    </w:p>
    <w:p w14:paraId="4868ED14">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二是不断</w:t>
      </w:r>
      <w:r>
        <w:rPr>
          <w:rFonts w:ascii="楷体" w:hAnsi="楷体" w:eastAsia="楷体" w:cs="楷体"/>
          <w:b/>
          <w:bCs/>
          <w:color w:val="000000"/>
          <w:sz w:val="32"/>
          <w:szCs w:val="32"/>
        </w:rPr>
        <w:t>增强行动自觉</w:t>
      </w:r>
      <w:r>
        <w:rPr>
          <w:rFonts w:ascii="Times New Roman" w:hAnsi="Times New Roman" w:eastAsia="楷体"/>
          <w:b/>
          <w:bCs/>
          <w:color w:val="000000"/>
          <w:sz w:val="32"/>
          <w:szCs w:val="32"/>
        </w:rPr>
        <w:t>。</w:t>
      </w:r>
      <w:r>
        <w:rPr>
          <w:rFonts w:ascii="Times New Roman" w:hAnsi="Times New Roman" w:eastAsia="仿宋_GB2312"/>
          <w:color w:val="000000"/>
          <w:sz w:val="32"/>
          <w:szCs w:val="32"/>
        </w:rPr>
        <w:t>“为官避事平生耻，重任千钧惟担当”，要增强“昼无为、夜难寐”的紧迫感，事不避难，义不逃责，践行初心使命，务求实效实绩。要以实干立身，凭实绩说话，身体力行作表率，创先争优树标杆，做就做到最好、干就干到极致、走就走在前列，在实干中提能力、强本领、树形象。</w:t>
      </w:r>
    </w:p>
    <w:p w14:paraId="398D6211">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三是不断</w:t>
      </w:r>
      <w:r>
        <w:rPr>
          <w:rFonts w:ascii="楷体" w:hAnsi="楷体" w:eastAsia="楷体" w:cs="楷体"/>
          <w:b/>
          <w:bCs/>
          <w:color w:val="000000"/>
          <w:sz w:val="32"/>
          <w:szCs w:val="32"/>
        </w:rPr>
        <w:t>增强法治自</w:t>
      </w:r>
      <w:r>
        <w:rPr>
          <w:rFonts w:ascii="Times New Roman" w:hAnsi="Times New Roman" w:eastAsia="楷体"/>
          <w:b/>
          <w:bCs/>
          <w:color w:val="000000"/>
          <w:sz w:val="32"/>
          <w:szCs w:val="32"/>
        </w:rPr>
        <w:t>觉。</w:t>
      </w:r>
      <w:r>
        <w:rPr>
          <w:rFonts w:ascii="Times New Roman" w:hAnsi="Times New Roman" w:eastAsia="仿宋_GB2312"/>
          <w:color w:val="000000"/>
          <w:sz w:val="32"/>
          <w:szCs w:val="32"/>
        </w:rPr>
        <w:t>认真学习贯彻习近平法治思想，建设法治政府，忠实履行宪法法律赋予的职责，依法行政，依法治理。进一步规范政府系统重大事项决策行为，确保决策科学、程序正当、过程公开、责任明确。自觉接受人大监督，用心用情办理人大代表建议。广泛听取社会各界意见，主动接受社会监督和舆论监督。</w:t>
      </w:r>
    </w:p>
    <w:p w14:paraId="7F3EFD19">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四是不断</w:t>
      </w:r>
      <w:r>
        <w:rPr>
          <w:rFonts w:ascii="楷体" w:hAnsi="楷体" w:eastAsia="楷体" w:cs="楷体"/>
          <w:b/>
          <w:bCs/>
          <w:color w:val="000000"/>
          <w:sz w:val="32"/>
          <w:szCs w:val="32"/>
        </w:rPr>
        <w:t>增强团结自觉</w:t>
      </w:r>
      <w:r>
        <w:rPr>
          <w:rFonts w:ascii="Times New Roman" w:hAnsi="Times New Roman" w:eastAsia="楷体"/>
          <w:b/>
          <w:bCs/>
          <w:color w:val="000000"/>
          <w:sz w:val="32"/>
          <w:szCs w:val="32"/>
        </w:rPr>
        <w:t>。</w:t>
      </w:r>
      <w:r>
        <w:rPr>
          <w:rFonts w:ascii="Times New Roman" w:hAnsi="Times New Roman" w:eastAsia="仿宋_GB2312"/>
          <w:color w:val="000000"/>
          <w:sz w:val="32"/>
          <w:szCs w:val="32"/>
        </w:rPr>
        <w:t>坚持民主集中制，坚决执行区委</w:t>
      </w:r>
      <w:r>
        <w:rPr>
          <w:rFonts w:hint="eastAsia" w:ascii="Times New Roman" w:hAnsi="Times New Roman" w:eastAsia="仿宋_GB2312"/>
          <w:color w:val="000000"/>
          <w:sz w:val="32"/>
          <w:szCs w:val="32"/>
        </w:rPr>
        <w:t>区政府及镇党委</w:t>
      </w:r>
      <w:r>
        <w:rPr>
          <w:rFonts w:ascii="Times New Roman" w:hAnsi="Times New Roman" w:eastAsia="仿宋_GB2312"/>
          <w:color w:val="000000"/>
          <w:sz w:val="32"/>
          <w:szCs w:val="32"/>
        </w:rPr>
        <w:t>决定，带头维护班子团结，加强沟通协调，密切协作配合。坚持群众路线不动摇，广泛听取人大代表、</w:t>
      </w:r>
      <w:r>
        <w:rPr>
          <w:rFonts w:hint="eastAsia" w:ascii="Times New Roman" w:hAnsi="Times New Roman" w:eastAsia="仿宋_GB2312"/>
          <w:color w:val="000000"/>
          <w:sz w:val="32"/>
          <w:szCs w:val="32"/>
        </w:rPr>
        <w:t>基层群众</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社会各界</w:t>
      </w:r>
      <w:r>
        <w:rPr>
          <w:rFonts w:ascii="Times New Roman" w:hAnsi="Times New Roman" w:eastAsia="仿宋_GB2312"/>
          <w:color w:val="000000"/>
          <w:sz w:val="32"/>
          <w:szCs w:val="32"/>
        </w:rPr>
        <w:t>的意见建议，凝聚集体智慧。以“功成不必在我、功成必定有我”的责任感，汇聚各方力量，心往一处想，劲往一处使，团结一致干事业，齐心协力促发展。</w:t>
      </w:r>
    </w:p>
    <w:p w14:paraId="3711A571">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五是不断</w:t>
      </w:r>
      <w:r>
        <w:rPr>
          <w:rFonts w:ascii="楷体" w:hAnsi="楷体" w:eastAsia="楷体" w:cs="楷体"/>
          <w:b/>
          <w:bCs/>
          <w:color w:val="000000"/>
          <w:sz w:val="32"/>
          <w:szCs w:val="32"/>
        </w:rPr>
        <w:t>增强廉政自</w:t>
      </w:r>
      <w:r>
        <w:rPr>
          <w:rFonts w:ascii="Times New Roman" w:hAnsi="Times New Roman" w:eastAsia="楷体"/>
          <w:b/>
          <w:bCs/>
          <w:color w:val="000000"/>
          <w:sz w:val="32"/>
          <w:szCs w:val="32"/>
        </w:rPr>
        <w:t>觉。</w:t>
      </w:r>
      <w:r>
        <w:rPr>
          <w:rFonts w:ascii="Times New Roman" w:hAnsi="Times New Roman" w:eastAsia="仿宋_GB2312"/>
          <w:color w:val="000000"/>
          <w:sz w:val="32"/>
          <w:szCs w:val="32"/>
        </w:rPr>
        <w:t>坚决贯彻全面从严治党各项要求，深入推进政府系统党风廉政建设和反腐败斗争。扎实开展机关作风建设专项行动，坚决整治“庸、懒、散、拖”，坚决纠正不作为、慢作为、乱作为，推动政府工作提速提效。持之以恒落实厉行勤俭节约，严防“四风”反弹，</w:t>
      </w:r>
      <w:r>
        <w:rPr>
          <w:rFonts w:hint="eastAsia" w:ascii="Times New Roman" w:hAnsi="Times New Roman" w:eastAsia="仿宋_GB2312"/>
          <w:color w:val="000000"/>
          <w:sz w:val="32"/>
          <w:szCs w:val="32"/>
        </w:rPr>
        <w:t>驰</w:t>
      </w:r>
      <w:r>
        <w:rPr>
          <w:rFonts w:ascii="Times New Roman" w:hAnsi="Times New Roman" w:eastAsia="仿宋_GB2312"/>
          <w:color w:val="000000"/>
          <w:sz w:val="32"/>
          <w:szCs w:val="32"/>
        </w:rPr>
        <w:t>而不息正风肃纪，塑造忠诚干净担当新形象。</w:t>
      </w:r>
    </w:p>
    <w:p w14:paraId="57886F8A">
      <w:pPr>
        <w:pStyle w:val="4"/>
        <w:adjustRightInd w:val="0"/>
        <w:snapToGrid w:val="0"/>
        <w:spacing w:before="0" w:beforeAutospacing="0" w:after="0" w:afterAutospacing="0" w:line="360" w:lineRule="auto"/>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各位代表！</w:t>
      </w:r>
      <w:r>
        <w:rPr>
          <w:rFonts w:hint="eastAsia" w:ascii="Times New Roman" w:hAnsi="Times New Roman" w:eastAsia="仿宋_GB2312"/>
          <w:color w:val="000000"/>
          <w:sz w:val="32"/>
          <w:szCs w:val="32"/>
        </w:rPr>
        <w:t>唯有只争朝夕，方能不负韶华</w:t>
      </w:r>
      <w:r>
        <w:rPr>
          <w:rFonts w:ascii="Times New Roman" w:hAnsi="Times New Roman" w:eastAsia="仿宋_GB2312"/>
          <w:color w:val="000000"/>
          <w:sz w:val="32"/>
          <w:szCs w:val="32"/>
        </w:rPr>
        <w:t>。让我们更加紧密地团结在以习近平同志为核心的党中央周围，在区委、区政府和镇党委的坚强领导下，</w:t>
      </w:r>
      <w:r>
        <w:rPr>
          <w:rFonts w:hint="eastAsia" w:ascii="Times New Roman" w:hAnsi="Times New Roman" w:eastAsia="仿宋_GB2312"/>
          <w:color w:val="000000"/>
          <w:sz w:val="32"/>
          <w:szCs w:val="32"/>
        </w:rPr>
        <w:t>在镇人大的监督下，把“目标”刻在心上、把“执行”视为铁律、把“担当”作为自觉，拿出逢山开路的冲劲、闯劲、拼劲，凝心聚力抓落实，努力绘就现代化美好渠沟新画卷，以优异成绩迎接党的二十大胜利召开</w:t>
      </w:r>
      <w:r>
        <w:rPr>
          <w:rFonts w:hint="eastAsia" w:ascii="Times New Roman" w:hAnsi="Times New Roman" w:eastAsia="仿宋_GB2312"/>
          <w:color w:val="000000"/>
          <w:sz w:val="32"/>
          <w:szCs w:val="32"/>
          <w:lang w:val="en-US" w:eastAsia="zh-CN"/>
        </w:rPr>
        <w:t>!</w:t>
      </w:r>
    </w:p>
    <w:p w14:paraId="1547ED9F">
      <w:pPr>
        <w:pStyle w:val="4"/>
        <w:adjustRightInd w:val="0"/>
        <w:snapToGrid w:val="0"/>
        <w:spacing w:before="0" w:beforeAutospacing="0" w:after="0" w:afterAutospacing="0" w:line="360" w:lineRule="auto"/>
        <w:rPr>
          <w:rFonts w:hint="eastAsia" w:ascii="Times New Roman" w:hAnsi="Times New Roman" w:eastAsia="仿宋_GB2312"/>
          <w:color w:val="000000"/>
          <w:sz w:val="32"/>
          <w:szCs w:val="32"/>
          <w:lang w:val="en-US" w:eastAsia="zh-CN"/>
        </w:rPr>
      </w:pPr>
    </w:p>
    <w:p w14:paraId="1B7776CD">
      <w:pPr>
        <w:pStyle w:val="4"/>
        <w:adjustRightInd w:val="0"/>
        <w:snapToGrid w:val="0"/>
        <w:spacing w:before="0" w:beforeAutospacing="0" w:after="0" w:afterAutospacing="0" w:line="360" w:lineRule="auto"/>
        <w:rPr>
          <w:rFonts w:hint="eastAsia" w:ascii="Times New Roman" w:hAnsi="Times New Roman" w:eastAsia="仿宋_GB2312"/>
          <w:color w:val="000000"/>
          <w:sz w:val="32"/>
          <w:szCs w:val="32"/>
          <w:lang w:val="en-US" w:eastAsia="zh-CN"/>
        </w:rPr>
      </w:pPr>
    </w:p>
    <w:p w14:paraId="2FA49192">
      <w:pPr>
        <w:pStyle w:val="4"/>
        <w:adjustRightInd w:val="0"/>
        <w:snapToGrid w:val="0"/>
        <w:spacing w:before="0" w:beforeAutospacing="0" w:after="0" w:afterAutospacing="0" w:line="360" w:lineRule="auto"/>
        <w:rPr>
          <w:rFonts w:hint="eastAsia" w:ascii="Times New Roman" w:hAnsi="Times New Roman" w:eastAsia="仿宋_GB2312"/>
          <w:color w:val="000000"/>
          <w:sz w:val="32"/>
          <w:szCs w:val="32"/>
          <w:lang w:val="en-US" w:eastAsia="zh-CN"/>
        </w:rPr>
      </w:pPr>
      <w:bookmarkStart w:id="0" w:name="_GoBack"/>
      <w:bookmarkEnd w:id="0"/>
    </w:p>
    <w:p w14:paraId="5CE85900">
      <w:pPr>
        <w:pStyle w:val="4"/>
        <w:adjustRightInd w:val="0"/>
        <w:snapToGrid w:val="0"/>
        <w:spacing w:before="0" w:beforeAutospacing="0" w:after="0" w:afterAutospacing="0" w:line="360" w:lineRule="auto"/>
        <w:rPr>
          <w:rFonts w:ascii="黑体" w:hAnsi="黑体" w:eastAsia="黑体"/>
          <w:bCs/>
          <w:sz w:val="36"/>
          <w:szCs w:val="36"/>
        </w:rPr>
      </w:pPr>
    </w:p>
    <w:p w14:paraId="74B85783">
      <w:pPr>
        <w:pStyle w:val="4"/>
        <w:numPr>
          <w:ilvl w:val="0"/>
          <w:numId w:val="2"/>
        </w:numPr>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黑体" w:hAnsi="黑体" w:eastAsia="黑体"/>
          <w:bCs/>
          <w:sz w:val="36"/>
          <w:szCs w:val="36"/>
          <w:lang w:eastAsia="zh-CN"/>
        </w:rPr>
        <w:t>2022</w:t>
      </w:r>
      <w:r>
        <w:rPr>
          <w:rFonts w:hint="eastAsia" w:ascii="黑体" w:hAnsi="黑体" w:eastAsia="黑体"/>
          <w:bCs/>
          <w:sz w:val="36"/>
          <w:szCs w:val="36"/>
        </w:rPr>
        <w:t>年部门预算表</w:t>
      </w:r>
    </w:p>
    <w:p w14:paraId="736FE4CE">
      <w:pPr>
        <w:pStyle w:val="4"/>
        <w:adjustRightInd w:val="0"/>
        <w:snapToGrid w:val="0"/>
        <w:spacing w:before="0" w:beforeAutospacing="0" w:after="0" w:afterAutospacing="0" w:line="360" w:lineRule="auto"/>
        <w:jc w:val="center"/>
        <w:rPr>
          <w:rFonts w:ascii="Times New Roman" w:hAnsi="Times New Roman" w:eastAsia="仿宋_GB2312"/>
          <w:sz w:val="32"/>
        </w:rPr>
      </w:pPr>
      <w:r>
        <w:rPr>
          <w:rFonts w:hint="eastAsia" w:ascii="仿宋_GB2312" w:hAnsi="仿宋" w:eastAsia="仿宋_GB2312" w:cs="Times New Roman"/>
          <w:kern w:val="2"/>
          <w:sz w:val="32"/>
          <w:szCs w:val="32"/>
        </w:rPr>
        <w:t>见“附件1-2 2021年部门预算表</w:t>
      </w:r>
      <w:r>
        <w:rPr>
          <w:rFonts w:hint="eastAsia" w:ascii="仿宋_GB2312" w:hAnsi="仿宋" w:eastAsia="仿宋_GB2312" w:cs="Times New Roman"/>
          <w:kern w:val="2"/>
          <w:sz w:val="32"/>
          <w:szCs w:val="32"/>
          <w:lang w:eastAsia="zh-CN"/>
        </w:rPr>
        <w:t>”</w:t>
      </w:r>
    </w:p>
    <w:p w14:paraId="1A67A59C"/>
    <w:p w14:paraId="428AC953">
      <w:pPr>
        <w:pStyle w:val="2"/>
      </w:pPr>
    </w:p>
    <w:p w14:paraId="6121FDB2">
      <w:pPr>
        <w:pStyle w:val="2"/>
      </w:pPr>
    </w:p>
    <w:p w14:paraId="792A7CA9"/>
    <w:p w14:paraId="39F39BEC">
      <w:pPr>
        <w:pStyle w:val="2"/>
      </w:pPr>
    </w:p>
    <w:p w14:paraId="001B2772">
      <w:pPr>
        <w:pStyle w:val="2"/>
      </w:pPr>
    </w:p>
    <w:p w14:paraId="44CEBC11">
      <w:pPr>
        <w:pStyle w:val="4"/>
        <w:adjustRightInd w:val="0"/>
        <w:snapToGrid w:val="0"/>
        <w:spacing w:before="0" w:beforeAutospacing="0" w:after="0" w:afterAutospacing="0" w:line="600" w:lineRule="exact"/>
        <w:jc w:val="center"/>
        <w:rPr>
          <w:rFonts w:ascii="黑体" w:hAnsi="黑体" w:eastAsia="黑体"/>
          <w:bCs/>
          <w:sz w:val="36"/>
          <w:szCs w:val="36"/>
          <w:highlight w:val="none"/>
        </w:rPr>
      </w:pPr>
      <w:r>
        <w:rPr>
          <w:rFonts w:hint="eastAsia" w:ascii="宋体" w:hAnsi="宋体" w:cs="宋体"/>
          <w:kern w:val="0"/>
          <w:sz w:val="20"/>
          <w:szCs w:val="20"/>
          <w:highlight w:val="none"/>
        </w:rPr>
        <w:t xml:space="preserve">  </w:t>
      </w:r>
      <w:r>
        <w:rPr>
          <w:rFonts w:hint="eastAsia" w:ascii="黑体" w:hAnsi="黑体" w:eastAsia="黑体"/>
          <w:bCs/>
          <w:sz w:val="36"/>
          <w:szCs w:val="36"/>
          <w:highlight w:val="none"/>
        </w:rPr>
        <w:t xml:space="preserve">第三部分 </w:t>
      </w:r>
      <w:r>
        <w:rPr>
          <w:rFonts w:hint="eastAsia" w:ascii="黑体" w:hAnsi="黑体" w:eastAsia="黑体"/>
          <w:bCs/>
          <w:sz w:val="36"/>
          <w:szCs w:val="36"/>
          <w:highlight w:val="none"/>
          <w:lang w:eastAsia="zh-CN"/>
        </w:rPr>
        <w:t>2022</w:t>
      </w:r>
      <w:r>
        <w:rPr>
          <w:rFonts w:hint="eastAsia" w:ascii="黑体" w:hAnsi="黑体" w:eastAsia="黑体"/>
          <w:bCs/>
          <w:sz w:val="36"/>
          <w:szCs w:val="36"/>
          <w:highlight w:val="none"/>
        </w:rPr>
        <w:t>年部门预算情况说明</w:t>
      </w:r>
    </w:p>
    <w:p w14:paraId="29323A4A">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w:t>
      </w:r>
      <w:r>
        <w:rPr>
          <w:rFonts w:hint="eastAsia" w:ascii="黑体" w:hAnsi="仿宋" w:eastAsia="黑体"/>
          <w:color w:val="000000" w:themeColor="text1"/>
          <w:sz w:val="32"/>
          <w:szCs w:val="32"/>
          <w:lang w:eastAsia="zh-CN"/>
          <w14:textFill>
            <w14:solidFill>
              <w14:schemeClr w14:val="tx1"/>
            </w14:solidFill>
          </w14:textFill>
        </w:rPr>
        <w:t>2022</w:t>
      </w:r>
      <w:r>
        <w:rPr>
          <w:rFonts w:hint="eastAsia" w:ascii="黑体" w:hAnsi="仿宋" w:eastAsia="黑体"/>
          <w:color w:val="000000" w:themeColor="text1"/>
          <w:sz w:val="32"/>
          <w:szCs w:val="32"/>
          <w14:textFill>
            <w14:solidFill>
              <w14:schemeClr w14:val="tx1"/>
            </w14:solidFill>
          </w14:textFill>
        </w:rPr>
        <w:t>年收支总表的说明</w:t>
      </w:r>
    </w:p>
    <w:p w14:paraId="3BF164A0">
      <w:pPr>
        <w:pStyle w:val="4"/>
        <w:adjustRightInd w:val="0"/>
        <w:snapToGrid w:val="0"/>
        <w:spacing w:before="0" w:beforeAutospacing="0" w:after="0" w:afterAutospacing="0" w:line="600" w:lineRule="exact"/>
        <w:ind w:firstLine="960" w:firstLineChars="3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按照综合预算的原则，</w:t>
      </w:r>
      <w:r>
        <w:rPr>
          <w:rFonts w:hint="eastAsia" w:ascii="仿宋_GB2312" w:hAnsi="仿宋" w:eastAsia="仿宋_GB2312"/>
          <w:sz w:val="32"/>
          <w:szCs w:val="32"/>
          <w:highlight w:val="none"/>
          <w:lang w:eastAsia="zh-CN"/>
        </w:rPr>
        <w:t>相山区渠沟镇人民政府</w:t>
      </w:r>
      <w:r>
        <w:rPr>
          <w:rFonts w:hint="eastAsia" w:ascii="仿宋_GB2312" w:hAnsi="仿宋" w:eastAsia="仿宋_GB2312"/>
          <w:sz w:val="32"/>
          <w:szCs w:val="32"/>
          <w:highlight w:val="none"/>
        </w:rPr>
        <w:t>所有收入和支出均纳入部门预算管理。</w:t>
      </w:r>
      <w:r>
        <w:rPr>
          <w:rFonts w:hint="eastAsia" w:ascii="仿宋_GB2312" w:hAnsi="仿宋" w:eastAsia="仿宋_GB2312"/>
          <w:sz w:val="32"/>
          <w:szCs w:val="32"/>
          <w:highlight w:val="none"/>
          <w:lang w:eastAsia="zh-CN"/>
        </w:rPr>
        <w:t>相山区渠沟镇人民政府2022</w:t>
      </w:r>
      <w:r>
        <w:rPr>
          <w:rFonts w:hint="eastAsia" w:ascii="仿宋_GB2312" w:hAnsi="仿宋" w:eastAsia="仿宋_GB2312"/>
          <w:sz w:val="32"/>
          <w:szCs w:val="32"/>
          <w:highlight w:val="none"/>
        </w:rPr>
        <w:t>年收支总预算</w:t>
      </w:r>
      <w:r>
        <w:rPr>
          <w:rFonts w:hint="eastAsia" w:ascii="仿宋_GB2312" w:hAnsi="仿宋" w:eastAsia="仿宋_GB2312"/>
          <w:sz w:val="32"/>
          <w:szCs w:val="32"/>
          <w:highlight w:val="none"/>
          <w:lang w:val="en-US" w:eastAsia="zh-CN"/>
        </w:rPr>
        <w:t>2841.81</w:t>
      </w:r>
      <w:r>
        <w:rPr>
          <w:rFonts w:hint="eastAsia" w:ascii="仿宋_GB2312" w:hAnsi="仿宋" w:eastAsia="仿宋_GB2312"/>
          <w:sz w:val="32"/>
          <w:szCs w:val="32"/>
          <w:highlight w:val="none"/>
        </w:rPr>
        <w:t>万元，收入包括一般公共预算拨款收入</w:t>
      </w:r>
      <w:r>
        <w:rPr>
          <w:rFonts w:hint="eastAsia" w:ascii="仿宋_GB2312" w:hAnsi="仿宋" w:eastAsia="仿宋_GB2312"/>
          <w:sz w:val="32"/>
          <w:szCs w:val="32"/>
          <w:highlight w:val="none"/>
          <w:lang w:val="en-US" w:eastAsia="zh-CN"/>
        </w:rPr>
        <w:t>2841.81万元</w:t>
      </w:r>
      <w:r>
        <w:rPr>
          <w:rFonts w:hint="eastAsia" w:ascii="仿宋_GB2312" w:hAnsi="仿宋" w:eastAsia="仿宋_GB2312"/>
          <w:sz w:val="32"/>
          <w:szCs w:val="32"/>
          <w:highlight w:val="none"/>
        </w:rPr>
        <w:t>，支出包括</w:t>
      </w:r>
      <w:r>
        <w:rPr>
          <w:rFonts w:hint="eastAsia" w:ascii="仿宋_GB2312" w:hAnsi="仿宋" w:eastAsia="仿宋_GB2312"/>
          <w:sz w:val="32"/>
          <w:szCs w:val="32"/>
          <w:highlight w:val="none"/>
          <w:lang w:eastAsia="zh-CN"/>
        </w:rPr>
        <w:t>：</w:t>
      </w:r>
      <w:r>
        <w:rPr>
          <w:rFonts w:hint="eastAsia" w:ascii="仿宋_GB2312" w:hAnsi="仿宋" w:eastAsia="仿宋_GB2312" w:cs="Times New Roman"/>
          <w:color w:val="auto"/>
          <w:kern w:val="2"/>
          <w:sz w:val="32"/>
          <w:szCs w:val="32"/>
          <w:highlight w:val="none"/>
        </w:rPr>
        <w:t>一般公共服务支出</w:t>
      </w:r>
      <w:r>
        <w:rPr>
          <w:rFonts w:hint="eastAsia" w:ascii="仿宋_GB2312" w:hAnsi="仿宋" w:eastAsia="仿宋_GB2312" w:cs="Times New Roman"/>
          <w:color w:val="auto"/>
          <w:kern w:val="2"/>
          <w:sz w:val="32"/>
          <w:szCs w:val="32"/>
          <w:highlight w:val="none"/>
          <w:lang w:val="en-US" w:eastAsia="zh-CN"/>
        </w:rPr>
        <w:t>389.72</w:t>
      </w:r>
      <w:r>
        <w:rPr>
          <w:rFonts w:hint="eastAsia" w:ascii="仿宋_GB2312" w:hAnsi="仿宋" w:eastAsia="仿宋_GB2312" w:cs="Times New Roman"/>
          <w:color w:val="auto"/>
          <w:kern w:val="2"/>
          <w:sz w:val="32"/>
          <w:szCs w:val="32"/>
          <w:highlight w:val="none"/>
        </w:rPr>
        <w:t>万元</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占</w:t>
      </w:r>
      <w:r>
        <w:rPr>
          <w:rFonts w:hint="eastAsia" w:ascii="仿宋_GB2312" w:hAnsi="仿宋" w:eastAsia="仿宋_GB2312" w:cs="Times New Roman"/>
          <w:color w:val="auto"/>
          <w:kern w:val="2"/>
          <w:sz w:val="32"/>
          <w:szCs w:val="32"/>
          <w:highlight w:val="none"/>
          <w:lang w:val="en-US" w:eastAsia="zh-CN"/>
        </w:rPr>
        <w:t>13.7</w:t>
      </w:r>
      <w:r>
        <w:rPr>
          <w:rFonts w:hint="eastAsia"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社会保障和就业支出</w:t>
      </w:r>
      <w:r>
        <w:rPr>
          <w:rFonts w:hint="eastAsia" w:ascii="仿宋_GB2312" w:hAnsi="仿宋" w:eastAsia="仿宋_GB2312" w:cs="Times New Roman"/>
          <w:color w:val="auto"/>
          <w:kern w:val="2"/>
          <w:sz w:val="32"/>
          <w:szCs w:val="32"/>
          <w:highlight w:val="none"/>
          <w:lang w:val="en-US" w:eastAsia="zh-CN"/>
        </w:rPr>
        <w:t>151.57</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5.3</w:t>
      </w:r>
      <w:r>
        <w:rPr>
          <w:rFonts w:hint="eastAsia"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卫生健康支出</w:t>
      </w:r>
      <w:r>
        <w:rPr>
          <w:rFonts w:hint="eastAsia" w:ascii="仿宋_GB2312" w:hAnsi="仿宋" w:eastAsia="仿宋_GB2312" w:cs="Times New Roman"/>
          <w:color w:val="auto"/>
          <w:kern w:val="2"/>
          <w:sz w:val="32"/>
          <w:szCs w:val="32"/>
          <w:highlight w:val="none"/>
          <w:lang w:val="en-US" w:eastAsia="zh-CN"/>
        </w:rPr>
        <w:t>145.48</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5.1</w:t>
      </w:r>
      <w:r>
        <w:rPr>
          <w:rFonts w:hint="eastAsia" w:ascii="仿宋_GB2312" w:hAnsi="仿宋" w:eastAsia="仿宋_GB2312" w:cs="Times New Roman"/>
          <w:color w:val="auto"/>
          <w:kern w:val="2"/>
          <w:sz w:val="32"/>
          <w:szCs w:val="32"/>
          <w:highlight w:val="none"/>
        </w:rPr>
        <w:t>%；城乡社区事务支出573万元，占</w:t>
      </w:r>
      <w:r>
        <w:rPr>
          <w:rFonts w:hint="eastAsia" w:ascii="仿宋_GB2312" w:hAnsi="仿宋" w:eastAsia="仿宋_GB2312" w:cs="Times New Roman"/>
          <w:color w:val="auto"/>
          <w:kern w:val="2"/>
          <w:sz w:val="32"/>
          <w:szCs w:val="32"/>
          <w:highlight w:val="none"/>
          <w:lang w:val="en-US" w:eastAsia="zh-CN"/>
        </w:rPr>
        <w:t>20.2</w:t>
      </w:r>
      <w:r>
        <w:rPr>
          <w:rFonts w:hint="eastAsia" w:ascii="仿宋_GB2312" w:hAnsi="仿宋" w:eastAsia="仿宋_GB2312" w:cs="Times New Roman"/>
          <w:color w:val="auto"/>
          <w:kern w:val="2"/>
          <w:sz w:val="32"/>
          <w:szCs w:val="32"/>
          <w:highlight w:val="none"/>
        </w:rPr>
        <w:t>%；农林水事务支出</w:t>
      </w:r>
      <w:r>
        <w:rPr>
          <w:rFonts w:hint="eastAsia" w:ascii="仿宋_GB2312" w:hAnsi="仿宋" w:eastAsia="仿宋_GB2312" w:cs="Times New Roman"/>
          <w:color w:val="auto"/>
          <w:kern w:val="2"/>
          <w:sz w:val="32"/>
          <w:szCs w:val="32"/>
          <w:highlight w:val="none"/>
          <w:lang w:val="en-US" w:eastAsia="zh-CN"/>
        </w:rPr>
        <w:t>1554.46</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54.7</w:t>
      </w:r>
      <w:r>
        <w:rPr>
          <w:rFonts w:hint="eastAsia"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住房保障支出</w:t>
      </w:r>
      <w:r>
        <w:rPr>
          <w:rFonts w:hint="eastAsia" w:ascii="仿宋_GB2312" w:hAnsi="仿宋" w:eastAsia="仿宋_GB2312" w:cs="Times New Roman"/>
          <w:color w:val="auto"/>
          <w:kern w:val="2"/>
          <w:sz w:val="32"/>
          <w:szCs w:val="32"/>
          <w:highlight w:val="none"/>
          <w:lang w:val="en-US" w:eastAsia="zh-CN"/>
        </w:rPr>
        <w:t>27.58</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1</w:t>
      </w:r>
      <w:r>
        <w:rPr>
          <w:rFonts w:hint="eastAsia" w:ascii="仿宋_GB2312" w:hAnsi="仿宋" w:eastAsia="仿宋_GB2312" w:cs="Times New Roman"/>
          <w:color w:val="auto"/>
          <w:kern w:val="2"/>
          <w:sz w:val="32"/>
          <w:szCs w:val="32"/>
          <w:highlight w:val="none"/>
        </w:rPr>
        <w:t>%；</w:t>
      </w:r>
    </w:p>
    <w:p w14:paraId="04CBA3A4">
      <w:pPr>
        <w:pStyle w:val="4"/>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highlight w:val="none"/>
          <w14:textFill>
            <w14:solidFill>
              <w14:schemeClr w14:val="tx1"/>
            </w14:solidFill>
          </w14:textFill>
        </w:rPr>
      </w:pPr>
      <w:r>
        <w:rPr>
          <w:rFonts w:hint="eastAsia" w:ascii="黑体" w:hAnsi="仿宋" w:eastAsia="黑体"/>
          <w:color w:val="000000" w:themeColor="text1"/>
          <w:sz w:val="32"/>
          <w:szCs w:val="32"/>
          <w:highlight w:val="none"/>
          <w14:textFill>
            <w14:solidFill>
              <w14:schemeClr w14:val="tx1"/>
            </w14:solidFill>
          </w14:textFill>
        </w:rPr>
        <w:t>二、关于</w:t>
      </w:r>
      <w:r>
        <w:rPr>
          <w:rFonts w:hint="eastAsia" w:ascii="黑体" w:hAnsi="仿宋" w:eastAsia="黑体"/>
          <w:color w:val="000000" w:themeColor="text1"/>
          <w:sz w:val="32"/>
          <w:szCs w:val="32"/>
          <w:highlight w:val="none"/>
          <w:lang w:eastAsia="zh-CN"/>
          <w14:textFill>
            <w14:solidFill>
              <w14:schemeClr w14:val="tx1"/>
            </w14:solidFill>
          </w14:textFill>
        </w:rPr>
        <w:t>2022</w:t>
      </w:r>
      <w:r>
        <w:rPr>
          <w:rFonts w:hint="eastAsia" w:ascii="黑体" w:hAnsi="仿宋" w:eastAsia="黑体"/>
          <w:color w:val="000000" w:themeColor="text1"/>
          <w:sz w:val="32"/>
          <w:szCs w:val="32"/>
          <w:highlight w:val="none"/>
          <w14:textFill>
            <w14:solidFill>
              <w14:schemeClr w14:val="tx1"/>
            </w14:solidFill>
          </w14:textFill>
        </w:rPr>
        <w:t>年收入总表的说明</w:t>
      </w:r>
    </w:p>
    <w:p w14:paraId="6FB96FB7">
      <w:pPr>
        <w:numPr>
          <w:ilvl w:val="0"/>
          <w:numId w:val="0"/>
        </w:numPr>
        <w:adjustRightInd w:val="0"/>
        <w:snapToGrid w:val="0"/>
        <w:spacing w:line="600" w:lineRule="exact"/>
        <w:ind w:firstLine="960" w:firstLineChars="300"/>
        <w:rPr>
          <w:rFonts w:hint="eastAsia" w:ascii="仿宋_GB2312" w:hAnsi="仿宋" w:eastAsia="仿宋_GB2312"/>
          <w:sz w:val="32"/>
          <w:szCs w:val="32"/>
          <w:highlight w:val="none"/>
          <w:lang w:eastAsia="zh-CN"/>
        </w:rPr>
      </w:pPr>
      <w:r>
        <w:rPr>
          <w:rFonts w:hint="eastAsia" w:ascii="仿宋_GB2312" w:hAnsi="仿宋" w:eastAsia="仿宋_GB2312" w:cs="宋体"/>
          <w:kern w:val="0"/>
          <w:sz w:val="32"/>
          <w:szCs w:val="32"/>
          <w:highlight w:val="none"/>
          <w:lang w:eastAsia="zh-CN"/>
        </w:rPr>
        <w:t>相山区渠沟镇人民政府</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年收入预算</w:t>
      </w:r>
      <w:r>
        <w:rPr>
          <w:rFonts w:hint="eastAsia" w:ascii="仿宋_GB2312" w:hAnsi="仿宋" w:eastAsia="仿宋_GB2312"/>
          <w:sz w:val="32"/>
          <w:szCs w:val="32"/>
          <w:highlight w:val="none"/>
          <w:lang w:val="en-US" w:eastAsia="zh-CN"/>
        </w:rPr>
        <w:t>2841.81</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本</w:t>
      </w:r>
      <w:r>
        <w:rPr>
          <w:rFonts w:hint="eastAsia" w:ascii="仿宋_GB2312" w:hAnsi="仿宋" w:eastAsia="仿宋_GB2312"/>
          <w:sz w:val="32"/>
          <w:szCs w:val="32"/>
          <w:highlight w:val="none"/>
        </w:rPr>
        <w:t>年收入</w:t>
      </w:r>
      <w:r>
        <w:rPr>
          <w:rFonts w:hint="eastAsia" w:ascii="仿宋_GB2312" w:hAnsi="仿宋" w:eastAsia="仿宋_GB2312"/>
          <w:sz w:val="32"/>
          <w:szCs w:val="32"/>
          <w:highlight w:val="none"/>
          <w:lang w:eastAsia="zh-CN"/>
        </w:rPr>
        <w:t>全部为</w:t>
      </w:r>
      <w:r>
        <w:rPr>
          <w:rFonts w:hint="eastAsia" w:ascii="仿宋_GB2312" w:hAnsi="仿宋" w:eastAsia="仿宋_GB2312"/>
          <w:sz w:val="32"/>
          <w:szCs w:val="32"/>
          <w:highlight w:val="none"/>
        </w:rPr>
        <w:t>一般公共预算拨款收入</w:t>
      </w:r>
      <w:r>
        <w:rPr>
          <w:rFonts w:hint="eastAsia" w:ascii="仿宋_GB2312" w:hAnsi="仿宋" w:eastAsia="仿宋_GB2312"/>
          <w:sz w:val="32"/>
          <w:szCs w:val="32"/>
          <w:highlight w:val="none"/>
          <w:lang w:val="en-US" w:eastAsia="zh-CN"/>
        </w:rPr>
        <w:t>2841.81</w:t>
      </w:r>
      <w:r>
        <w:rPr>
          <w:rFonts w:hint="eastAsia" w:ascii="仿宋_GB2312" w:hAnsi="仿宋" w:eastAsia="仿宋_GB2312"/>
          <w:sz w:val="32"/>
          <w:szCs w:val="32"/>
          <w:highlight w:val="none"/>
        </w:rPr>
        <w:t>万元，比202</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179.73</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5.9</w:t>
      </w:r>
      <w:r>
        <w:rPr>
          <w:rFonts w:hint="eastAsia" w:ascii="仿宋_GB2312" w:hAnsi="仿宋" w:eastAsia="仿宋_GB2312"/>
          <w:sz w:val="32"/>
          <w:szCs w:val="32"/>
          <w:highlight w:val="none"/>
        </w:rPr>
        <w:t>%，下降原因主要是</w:t>
      </w:r>
      <w:r>
        <w:rPr>
          <w:rFonts w:hint="eastAsia" w:ascii="仿宋" w:eastAsia="仿宋"/>
          <w:color w:val="333333"/>
          <w:sz w:val="32"/>
          <w:szCs w:val="32"/>
          <w:highlight w:val="none"/>
          <w:shd w:val="clear" w:color="auto" w:fill="FFFFFF"/>
        </w:rPr>
        <w:t>预算金额安排计划</w:t>
      </w:r>
      <w:r>
        <w:rPr>
          <w:rFonts w:hint="eastAsia" w:ascii="仿宋" w:eastAsia="仿宋"/>
          <w:color w:val="333333"/>
          <w:sz w:val="32"/>
          <w:szCs w:val="32"/>
          <w:highlight w:val="none"/>
          <w:shd w:val="clear" w:color="auto" w:fill="FFFFFF"/>
          <w:lang w:val="en-US" w:eastAsia="zh-CN"/>
        </w:rPr>
        <w:t>减少。</w:t>
      </w:r>
    </w:p>
    <w:p w14:paraId="79871AAB">
      <w:pPr>
        <w:adjustRightInd w:val="0"/>
        <w:snapToGrid w:val="0"/>
        <w:spacing w:line="600" w:lineRule="exact"/>
        <w:ind w:firstLine="640" w:firstLineChars="200"/>
        <w:rPr>
          <w:rFonts w:ascii="黑体" w:hAnsi="仿宋" w:eastAsia="黑体" w:cs="宋体"/>
          <w:color w:val="000000" w:themeColor="text1"/>
          <w:kern w:val="0"/>
          <w:sz w:val="32"/>
          <w:szCs w:val="32"/>
          <w:highlight w:val="none"/>
          <w14:textFill>
            <w14:solidFill>
              <w14:schemeClr w14:val="tx1"/>
            </w14:solidFill>
          </w14:textFill>
        </w:rPr>
      </w:pPr>
      <w:r>
        <w:rPr>
          <w:rFonts w:hint="eastAsia" w:ascii="黑体" w:hAnsi="仿宋" w:eastAsia="黑体" w:cs="宋体"/>
          <w:color w:val="000000" w:themeColor="text1"/>
          <w:kern w:val="0"/>
          <w:sz w:val="32"/>
          <w:szCs w:val="32"/>
          <w:highlight w:val="none"/>
          <w14:textFill>
            <w14:solidFill>
              <w14:schemeClr w14:val="tx1"/>
            </w14:solidFill>
          </w14:textFill>
        </w:rPr>
        <w:t>三、关于</w:t>
      </w:r>
      <w:r>
        <w:rPr>
          <w:rFonts w:hint="eastAsia" w:ascii="黑体" w:hAnsi="仿宋" w:eastAsia="黑体" w:cs="宋体"/>
          <w:color w:val="000000" w:themeColor="text1"/>
          <w:kern w:val="0"/>
          <w:sz w:val="32"/>
          <w:szCs w:val="32"/>
          <w:highlight w:val="none"/>
          <w:lang w:eastAsia="zh-CN"/>
          <w14:textFill>
            <w14:solidFill>
              <w14:schemeClr w14:val="tx1"/>
            </w14:solidFill>
          </w14:textFill>
        </w:rPr>
        <w:t>2022</w:t>
      </w:r>
      <w:r>
        <w:rPr>
          <w:rFonts w:hint="eastAsia" w:ascii="黑体" w:hAnsi="仿宋" w:eastAsia="黑体" w:cs="宋体"/>
          <w:color w:val="000000" w:themeColor="text1"/>
          <w:kern w:val="0"/>
          <w:sz w:val="32"/>
          <w:szCs w:val="32"/>
          <w:highlight w:val="none"/>
          <w14:textFill>
            <w14:solidFill>
              <w14:schemeClr w14:val="tx1"/>
            </w14:solidFill>
          </w14:textFill>
        </w:rPr>
        <w:t>年支出总表的说明</w:t>
      </w:r>
    </w:p>
    <w:p w14:paraId="44230E0F">
      <w:pPr>
        <w:adjustRightInd w:val="0"/>
        <w:snapToGrid w:val="0"/>
        <w:spacing w:line="60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lang w:eastAsia="zh-CN"/>
        </w:rPr>
        <w:t>相山区渠沟镇人民政府2022</w:t>
      </w:r>
      <w:r>
        <w:rPr>
          <w:rFonts w:hint="eastAsia" w:ascii="仿宋_GB2312" w:hAnsi="仿宋" w:eastAsia="仿宋_GB2312" w:cs="Times New Roman"/>
          <w:sz w:val="32"/>
          <w:szCs w:val="32"/>
          <w:highlight w:val="none"/>
        </w:rPr>
        <w:t>年支出预算</w:t>
      </w:r>
      <w:r>
        <w:rPr>
          <w:rFonts w:hint="eastAsia" w:ascii="仿宋_GB2312" w:hAnsi="仿宋" w:eastAsia="仿宋_GB2312" w:cs="Times New Roman"/>
          <w:sz w:val="32"/>
          <w:szCs w:val="32"/>
          <w:highlight w:val="none"/>
          <w:lang w:val="en-US" w:eastAsia="zh-CN"/>
        </w:rPr>
        <w:t>2841.81</w:t>
      </w:r>
      <w:r>
        <w:rPr>
          <w:rFonts w:hint="eastAsia" w:ascii="仿宋_GB2312" w:hAnsi="仿宋" w:eastAsia="仿宋_GB2312" w:cs="Times New Roman"/>
          <w:sz w:val="32"/>
          <w:szCs w:val="32"/>
          <w:highlight w:val="none"/>
        </w:rPr>
        <w:t>万元，比</w:t>
      </w:r>
      <w:r>
        <w:rPr>
          <w:rFonts w:hint="eastAsia" w:ascii="仿宋_GB2312" w:hAnsi="仿宋" w:eastAsia="仿宋_GB2312" w:cs="Times New Roman"/>
          <w:sz w:val="32"/>
          <w:szCs w:val="32"/>
          <w:highlight w:val="none"/>
          <w:lang w:eastAsia="zh-CN"/>
        </w:rPr>
        <w:t>2021</w:t>
      </w:r>
      <w:r>
        <w:rPr>
          <w:rFonts w:hint="eastAsia" w:ascii="仿宋_GB2312" w:hAnsi="仿宋" w:eastAsia="仿宋_GB2312" w:cs="Times New Roman"/>
          <w:sz w:val="32"/>
          <w:szCs w:val="32"/>
          <w:highlight w:val="none"/>
        </w:rPr>
        <w:t>年预算减少</w:t>
      </w:r>
      <w:r>
        <w:rPr>
          <w:rFonts w:hint="eastAsia" w:ascii="仿宋_GB2312" w:hAnsi="仿宋" w:eastAsia="仿宋_GB2312" w:cs="Times New Roman"/>
          <w:sz w:val="32"/>
          <w:szCs w:val="32"/>
          <w:highlight w:val="none"/>
          <w:lang w:val="en-US" w:eastAsia="zh-CN"/>
        </w:rPr>
        <w:t>179.73</w:t>
      </w:r>
      <w:r>
        <w:rPr>
          <w:rFonts w:hint="eastAsia" w:ascii="仿宋_GB2312" w:hAnsi="仿宋" w:eastAsia="仿宋_GB2312" w:cs="Times New Roman"/>
          <w:sz w:val="32"/>
          <w:szCs w:val="32"/>
          <w:highlight w:val="none"/>
        </w:rPr>
        <w:t>万元，下降</w:t>
      </w:r>
      <w:r>
        <w:rPr>
          <w:rFonts w:hint="eastAsia" w:ascii="仿宋_GB2312" w:hAnsi="仿宋" w:eastAsia="仿宋_GB2312" w:cs="Times New Roman"/>
          <w:sz w:val="32"/>
          <w:szCs w:val="32"/>
          <w:highlight w:val="none"/>
          <w:lang w:val="en-US" w:eastAsia="zh-CN"/>
        </w:rPr>
        <w:t>5.9</w:t>
      </w:r>
      <w:r>
        <w:rPr>
          <w:rFonts w:hint="eastAsia" w:ascii="仿宋_GB2312" w:hAnsi="仿宋" w:eastAsia="仿宋_GB2312" w:cs="Times New Roman"/>
          <w:sz w:val="32"/>
          <w:szCs w:val="32"/>
          <w:highlight w:val="none"/>
        </w:rPr>
        <w:t>%，下降原因主要是</w:t>
      </w:r>
      <w:r>
        <w:rPr>
          <w:rFonts w:hint="eastAsia" w:ascii="仿宋" w:hAnsi="宋体" w:eastAsia="仿宋" w:cs="宋体"/>
          <w:color w:val="333333"/>
          <w:kern w:val="0"/>
          <w:sz w:val="32"/>
          <w:szCs w:val="32"/>
          <w:highlight w:val="none"/>
          <w:shd w:val="clear" w:color="auto" w:fill="FFFFFF"/>
        </w:rPr>
        <w:t>预算金额安排计划</w:t>
      </w:r>
      <w:r>
        <w:rPr>
          <w:rFonts w:hint="eastAsia" w:ascii="仿宋" w:hAnsi="宋体" w:eastAsia="仿宋" w:cs="宋体"/>
          <w:color w:val="333333"/>
          <w:kern w:val="0"/>
          <w:sz w:val="32"/>
          <w:szCs w:val="32"/>
          <w:highlight w:val="none"/>
          <w:shd w:val="clear" w:color="auto" w:fill="FFFFFF"/>
          <w:lang w:val="en-US" w:eastAsia="zh-CN"/>
        </w:rPr>
        <w:t>减少</w:t>
      </w:r>
      <w:r>
        <w:rPr>
          <w:rFonts w:hint="eastAsia" w:ascii="仿宋_GB2312" w:hAnsi="仿宋" w:eastAsia="仿宋_GB2312" w:cs="Times New Roman"/>
          <w:sz w:val="32"/>
          <w:szCs w:val="32"/>
          <w:highlight w:val="none"/>
        </w:rPr>
        <w:t>。其中，基本支出</w:t>
      </w:r>
      <w:r>
        <w:rPr>
          <w:rFonts w:hint="eastAsia" w:ascii="仿宋_GB2312" w:hAnsi="仿宋" w:eastAsia="仿宋_GB2312" w:cs="Times New Roman"/>
          <w:sz w:val="32"/>
          <w:szCs w:val="32"/>
          <w:highlight w:val="none"/>
          <w:lang w:val="en-US" w:eastAsia="zh-CN"/>
        </w:rPr>
        <w:t>1326.08</w:t>
      </w:r>
      <w:r>
        <w:rPr>
          <w:rFonts w:hint="eastAsia" w:ascii="仿宋_GB2312" w:hAnsi="仿宋" w:eastAsia="仿宋_GB2312" w:cs="Times New Roman"/>
          <w:sz w:val="32"/>
          <w:szCs w:val="32"/>
          <w:highlight w:val="none"/>
        </w:rPr>
        <w:t>万元，占</w:t>
      </w:r>
      <w:r>
        <w:rPr>
          <w:rFonts w:hint="eastAsia" w:ascii="仿宋_GB2312" w:hAnsi="仿宋" w:eastAsia="仿宋_GB2312" w:cs="Times New Roman"/>
          <w:sz w:val="32"/>
          <w:szCs w:val="32"/>
          <w:highlight w:val="none"/>
          <w:lang w:val="en-US" w:eastAsia="zh-CN"/>
        </w:rPr>
        <w:t>46.7</w:t>
      </w:r>
      <w:r>
        <w:rPr>
          <w:rFonts w:hint="eastAsia" w:ascii="仿宋_GB2312" w:hAnsi="仿宋" w:eastAsia="仿宋_GB2312" w:cs="Times New Roman"/>
          <w:sz w:val="32"/>
          <w:szCs w:val="32"/>
          <w:highlight w:val="none"/>
        </w:rPr>
        <w:t>%，主要用于保障机构日常运转、完成日常工作任务；项目支出</w:t>
      </w:r>
      <w:r>
        <w:rPr>
          <w:rFonts w:hint="eastAsia" w:ascii="仿宋_GB2312" w:hAnsi="仿宋" w:eastAsia="仿宋_GB2312" w:cs="Times New Roman"/>
          <w:sz w:val="32"/>
          <w:szCs w:val="32"/>
          <w:highlight w:val="none"/>
          <w:lang w:val="en-US" w:eastAsia="zh-CN"/>
        </w:rPr>
        <w:t>1515.73</w:t>
      </w:r>
      <w:r>
        <w:rPr>
          <w:rFonts w:hint="eastAsia" w:ascii="仿宋_GB2312" w:hAnsi="仿宋" w:eastAsia="仿宋_GB2312" w:cs="Times New Roman"/>
          <w:sz w:val="32"/>
          <w:szCs w:val="32"/>
          <w:highlight w:val="none"/>
        </w:rPr>
        <w:t>万元，占</w:t>
      </w:r>
      <w:r>
        <w:rPr>
          <w:rFonts w:hint="eastAsia" w:ascii="仿宋_GB2312" w:hAnsi="仿宋" w:eastAsia="仿宋_GB2312" w:cs="Times New Roman"/>
          <w:sz w:val="32"/>
          <w:szCs w:val="32"/>
          <w:highlight w:val="none"/>
          <w:lang w:val="en-US" w:eastAsia="zh-CN"/>
        </w:rPr>
        <w:t>53.3</w:t>
      </w:r>
      <w:r>
        <w:rPr>
          <w:rFonts w:hint="eastAsia" w:ascii="仿宋_GB2312" w:hAnsi="仿宋" w:eastAsia="仿宋_GB2312" w:cs="Times New Roman"/>
          <w:sz w:val="32"/>
          <w:szCs w:val="32"/>
          <w:highlight w:val="none"/>
        </w:rPr>
        <w:t>%，主要用于</w:t>
      </w:r>
      <w:r>
        <w:rPr>
          <w:rFonts w:hint="eastAsia" w:ascii="仿宋_GB2312" w:hAnsi="仿宋" w:eastAsia="仿宋_GB2312" w:cs="Times New Roman"/>
          <w:sz w:val="32"/>
          <w:szCs w:val="32"/>
          <w:highlight w:val="none"/>
          <w:lang w:eastAsia="zh-CN"/>
        </w:rPr>
        <w:t>镇政府招商引资项目、卫生健康计划生育事务、农林水等项目支出。</w:t>
      </w:r>
    </w:p>
    <w:p w14:paraId="5E008EC1">
      <w:pPr>
        <w:adjustRightInd w:val="0"/>
        <w:snapToGrid w:val="0"/>
        <w:spacing w:line="600" w:lineRule="exact"/>
        <w:ind w:firstLine="640" w:firstLineChars="200"/>
        <w:rPr>
          <w:rFonts w:ascii="黑体" w:hAnsi="仿宋" w:eastAsia="黑体" w:cs="宋体"/>
          <w:color w:val="000000" w:themeColor="text1"/>
          <w:kern w:val="0"/>
          <w:sz w:val="32"/>
          <w:szCs w:val="32"/>
          <w:highlight w:val="none"/>
          <w14:textFill>
            <w14:solidFill>
              <w14:schemeClr w14:val="tx1"/>
            </w14:solidFill>
          </w14:textFill>
        </w:rPr>
      </w:pPr>
      <w:r>
        <w:rPr>
          <w:rFonts w:hint="eastAsia" w:ascii="黑体" w:hAnsi="仿宋" w:eastAsia="黑体" w:cs="宋体"/>
          <w:color w:val="000000" w:themeColor="text1"/>
          <w:kern w:val="0"/>
          <w:sz w:val="32"/>
          <w:szCs w:val="32"/>
          <w:highlight w:val="none"/>
          <w14:textFill>
            <w14:solidFill>
              <w14:schemeClr w14:val="tx1"/>
            </w14:solidFill>
          </w14:textFill>
        </w:rPr>
        <w:t>四、关于</w:t>
      </w:r>
      <w:r>
        <w:rPr>
          <w:rFonts w:hint="eastAsia" w:ascii="黑体" w:hAnsi="仿宋" w:eastAsia="黑体" w:cs="宋体"/>
          <w:color w:val="000000" w:themeColor="text1"/>
          <w:kern w:val="0"/>
          <w:sz w:val="32"/>
          <w:szCs w:val="32"/>
          <w:highlight w:val="none"/>
          <w:lang w:eastAsia="zh-CN"/>
          <w14:textFill>
            <w14:solidFill>
              <w14:schemeClr w14:val="tx1"/>
            </w14:solidFill>
          </w14:textFill>
        </w:rPr>
        <w:t>2022</w:t>
      </w:r>
      <w:r>
        <w:rPr>
          <w:rFonts w:hint="eastAsia" w:ascii="黑体" w:hAnsi="仿宋" w:eastAsia="黑体" w:cs="宋体"/>
          <w:color w:val="000000" w:themeColor="text1"/>
          <w:kern w:val="0"/>
          <w:sz w:val="32"/>
          <w:szCs w:val="32"/>
          <w:highlight w:val="none"/>
          <w14:textFill>
            <w14:solidFill>
              <w14:schemeClr w14:val="tx1"/>
            </w14:solidFill>
          </w14:textFill>
        </w:rPr>
        <w:t>年财政拨款收支总表的说明</w:t>
      </w:r>
    </w:p>
    <w:p w14:paraId="62A33099">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highlight w:val="none"/>
        </w:rPr>
      </w:pPr>
      <w:r>
        <w:rPr>
          <w:rFonts w:hint="eastAsia" w:ascii="仿宋_GB2312" w:hAnsi="仿宋" w:eastAsia="仿宋_GB2312" w:cs="Times New Roman"/>
          <w:kern w:val="2"/>
          <w:sz w:val="32"/>
          <w:szCs w:val="32"/>
          <w:highlight w:val="none"/>
          <w:lang w:eastAsia="zh-CN"/>
        </w:rPr>
        <w:t>相山区渠沟镇人民政府2022</w:t>
      </w:r>
      <w:r>
        <w:rPr>
          <w:rFonts w:hint="eastAsia" w:ascii="仿宋_GB2312" w:hAnsi="仿宋" w:eastAsia="仿宋_GB2312" w:cs="Times New Roman"/>
          <w:kern w:val="2"/>
          <w:sz w:val="32"/>
          <w:szCs w:val="32"/>
          <w:highlight w:val="none"/>
        </w:rPr>
        <w:t>年财政拨款收支预</w:t>
      </w:r>
      <w:r>
        <w:rPr>
          <w:rFonts w:hint="eastAsia" w:ascii="仿宋_GB2312" w:hAnsi="仿宋" w:eastAsia="仿宋_GB2312" w:cs="Times New Roman"/>
          <w:kern w:val="2"/>
          <w:sz w:val="32"/>
          <w:szCs w:val="32"/>
          <w:highlight w:val="none"/>
          <w:lang w:eastAsia="zh-CN"/>
        </w:rPr>
        <w:t>算</w:t>
      </w:r>
      <w:r>
        <w:rPr>
          <w:rFonts w:hint="eastAsia" w:ascii="仿宋_GB2312" w:hAnsi="仿宋" w:eastAsia="仿宋_GB2312" w:cs="Times New Roman"/>
          <w:kern w:val="2"/>
          <w:sz w:val="32"/>
          <w:szCs w:val="32"/>
          <w:highlight w:val="none"/>
          <w:lang w:val="en-US" w:eastAsia="zh-CN"/>
        </w:rPr>
        <w:t>2841.81</w:t>
      </w:r>
      <w:r>
        <w:rPr>
          <w:rFonts w:hint="eastAsia" w:ascii="仿宋_GB2312" w:hAnsi="仿宋" w:eastAsia="仿宋_GB2312" w:cs="Times New Roman"/>
          <w:kern w:val="2"/>
          <w:sz w:val="32"/>
          <w:szCs w:val="32"/>
          <w:highlight w:val="none"/>
        </w:rPr>
        <w:t>万元。收入按资金来源</w:t>
      </w:r>
      <w:r>
        <w:rPr>
          <w:rFonts w:hint="eastAsia" w:ascii="仿宋_GB2312" w:hAnsi="仿宋" w:eastAsia="仿宋_GB2312" w:cs="Times New Roman"/>
          <w:kern w:val="2"/>
          <w:sz w:val="32"/>
          <w:szCs w:val="32"/>
          <w:highlight w:val="none"/>
          <w:lang w:eastAsia="zh-CN"/>
        </w:rPr>
        <w:t>全部</w:t>
      </w:r>
      <w:r>
        <w:rPr>
          <w:rFonts w:hint="eastAsia" w:ascii="仿宋_GB2312" w:hAnsi="仿宋" w:eastAsia="仿宋_GB2312" w:cs="Times New Roman"/>
          <w:kern w:val="2"/>
          <w:sz w:val="32"/>
          <w:szCs w:val="32"/>
          <w:highlight w:val="none"/>
        </w:rPr>
        <w:t>为一般公共预算拨款</w:t>
      </w:r>
      <w:r>
        <w:rPr>
          <w:rFonts w:hint="eastAsia" w:ascii="仿宋_GB2312" w:hAnsi="仿宋" w:eastAsia="仿宋_GB2312" w:cs="Times New Roman"/>
          <w:kern w:val="2"/>
          <w:sz w:val="32"/>
          <w:szCs w:val="32"/>
          <w:highlight w:val="none"/>
          <w:lang w:val="en-US" w:eastAsia="zh-CN"/>
        </w:rPr>
        <w:t>2841.81</w:t>
      </w:r>
      <w:r>
        <w:rPr>
          <w:rFonts w:hint="eastAsia" w:ascii="仿宋_GB2312" w:hAnsi="仿宋" w:eastAsia="仿宋_GB2312" w:cs="Times New Roman"/>
          <w:kern w:val="2"/>
          <w:sz w:val="32"/>
          <w:szCs w:val="32"/>
          <w:highlight w:val="none"/>
        </w:rPr>
        <w:t>万元；按资金年度分</w:t>
      </w:r>
      <w:r>
        <w:rPr>
          <w:rFonts w:hint="eastAsia" w:ascii="仿宋_GB2312" w:hAnsi="仿宋" w:eastAsia="仿宋_GB2312" w:cs="Times New Roman"/>
          <w:kern w:val="2"/>
          <w:sz w:val="32"/>
          <w:szCs w:val="32"/>
          <w:highlight w:val="none"/>
          <w:lang w:eastAsia="zh-CN"/>
        </w:rPr>
        <w:t>全部</w:t>
      </w:r>
      <w:r>
        <w:rPr>
          <w:rFonts w:hint="eastAsia" w:ascii="仿宋_GB2312" w:hAnsi="仿宋" w:eastAsia="仿宋_GB2312" w:cs="Times New Roman"/>
          <w:kern w:val="2"/>
          <w:sz w:val="32"/>
          <w:szCs w:val="32"/>
          <w:highlight w:val="none"/>
        </w:rPr>
        <w:t>为</w:t>
      </w:r>
      <w:r>
        <w:rPr>
          <w:rFonts w:hint="eastAsia" w:ascii="仿宋_GB2312" w:hAnsi="仿宋" w:eastAsia="仿宋_GB2312" w:cs="Times New Roman"/>
          <w:kern w:val="2"/>
          <w:sz w:val="32"/>
          <w:szCs w:val="32"/>
          <w:highlight w:val="none"/>
          <w:lang w:eastAsia="zh-CN"/>
        </w:rPr>
        <w:t>当年</w:t>
      </w:r>
      <w:r>
        <w:rPr>
          <w:rFonts w:hint="eastAsia" w:ascii="仿宋_GB2312" w:hAnsi="仿宋" w:eastAsia="仿宋_GB2312" w:cs="Times New Roman"/>
          <w:kern w:val="2"/>
          <w:sz w:val="32"/>
          <w:szCs w:val="32"/>
          <w:highlight w:val="none"/>
        </w:rPr>
        <w:t>财政拨款收入</w:t>
      </w:r>
      <w:r>
        <w:rPr>
          <w:rFonts w:hint="eastAsia" w:ascii="仿宋_GB2312" w:hAnsi="仿宋" w:eastAsia="仿宋_GB2312" w:cs="Times New Roman"/>
          <w:kern w:val="2"/>
          <w:sz w:val="32"/>
          <w:szCs w:val="32"/>
          <w:highlight w:val="none"/>
          <w:lang w:val="en-US" w:eastAsia="zh-CN"/>
        </w:rPr>
        <w:t>2841.81</w:t>
      </w:r>
      <w:r>
        <w:rPr>
          <w:rFonts w:hint="eastAsia" w:ascii="仿宋_GB2312" w:hAnsi="仿宋" w:eastAsia="仿宋_GB2312" w:cs="Times New Roman"/>
          <w:kern w:val="2"/>
          <w:sz w:val="32"/>
          <w:szCs w:val="32"/>
          <w:highlight w:val="none"/>
        </w:rPr>
        <w:t>万元。支出按功能分类分为：一般公共服务支出</w:t>
      </w:r>
      <w:r>
        <w:rPr>
          <w:rFonts w:hint="eastAsia" w:ascii="仿宋_GB2312" w:hAnsi="仿宋" w:eastAsia="仿宋_GB2312" w:cs="Times New Roman"/>
          <w:kern w:val="2"/>
          <w:sz w:val="32"/>
          <w:szCs w:val="32"/>
          <w:highlight w:val="none"/>
          <w:lang w:val="en-US" w:eastAsia="zh-CN"/>
        </w:rPr>
        <w:t>389.72</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13.7</w:t>
      </w:r>
      <w:r>
        <w:rPr>
          <w:rFonts w:hint="eastAsia" w:ascii="仿宋_GB2312" w:hAnsi="仿宋" w:eastAsia="仿宋_GB2312" w:cs="Times New Roman"/>
          <w:kern w:val="2"/>
          <w:sz w:val="32"/>
          <w:szCs w:val="32"/>
          <w:highlight w:val="none"/>
        </w:rPr>
        <w:t>%；社会保障和就业支出</w:t>
      </w:r>
      <w:r>
        <w:rPr>
          <w:rFonts w:hint="eastAsia" w:ascii="仿宋_GB2312" w:hAnsi="仿宋" w:eastAsia="仿宋_GB2312" w:cs="Times New Roman"/>
          <w:kern w:val="2"/>
          <w:sz w:val="32"/>
          <w:szCs w:val="32"/>
          <w:highlight w:val="none"/>
          <w:lang w:val="en-US" w:eastAsia="zh-CN"/>
        </w:rPr>
        <w:t>151.57</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5.3</w:t>
      </w:r>
      <w:r>
        <w:rPr>
          <w:rFonts w:hint="eastAsia" w:ascii="仿宋_GB2312" w:hAnsi="仿宋" w:eastAsia="仿宋_GB2312" w:cs="Times New Roman"/>
          <w:kern w:val="2"/>
          <w:sz w:val="32"/>
          <w:szCs w:val="32"/>
          <w:highlight w:val="none"/>
        </w:rPr>
        <w:t>%；卫生健康支出</w:t>
      </w:r>
      <w:r>
        <w:rPr>
          <w:rFonts w:hint="eastAsia" w:ascii="仿宋_GB2312" w:hAnsi="仿宋" w:eastAsia="仿宋_GB2312" w:cs="Times New Roman"/>
          <w:kern w:val="2"/>
          <w:sz w:val="32"/>
          <w:szCs w:val="32"/>
          <w:highlight w:val="none"/>
          <w:lang w:val="en-US" w:eastAsia="zh-CN"/>
        </w:rPr>
        <w:t>145.48</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5.1</w:t>
      </w:r>
      <w:r>
        <w:rPr>
          <w:rFonts w:hint="eastAsia" w:ascii="仿宋_GB2312" w:hAnsi="仿宋" w:eastAsia="仿宋_GB2312" w:cs="Times New Roman"/>
          <w:kern w:val="2"/>
          <w:sz w:val="32"/>
          <w:szCs w:val="32"/>
          <w:highlight w:val="none"/>
        </w:rPr>
        <w:t>%；</w:t>
      </w:r>
      <w:r>
        <w:rPr>
          <w:rFonts w:hint="eastAsia" w:ascii="仿宋_GB2312" w:hAnsi="仿宋" w:eastAsia="仿宋_GB2312" w:cs="Times New Roman"/>
          <w:kern w:val="2"/>
          <w:sz w:val="32"/>
          <w:szCs w:val="32"/>
          <w:highlight w:val="none"/>
          <w:lang w:eastAsia="zh-CN"/>
        </w:rPr>
        <w:t>城乡社区支出</w:t>
      </w:r>
      <w:r>
        <w:rPr>
          <w:rFonts w:hint="eastAsia" w:ascii="仿宋_GB2312" w:hAnsi="仿宋" w:eastAsia="仿宋_GB2312" w:cs="Times New Roman"/>
          <w:kern w:val="2"/>
          <w:sz w:val="32"/>
          <w:szCs w:val="32"/>
          <w:highlight w:val="none"/>
          <w:lang w:val="en-US" w:eastAsia="zh-CN"/>
        </w:rPr>
        <w:t>573万元</w:t>
      </w:r>
      <w:r>
        <w:rPr>
          <w:rFonts w:hint="eastAsia" w:ascii="仿宋_GB2312" w:hAnsi="仿宋" w:eastAsia="仿宋_GB2312" w:cs="Times New Roman"/>
          <w:kern w:val="2"/>
          <w:sz w:val="32"/>
          <w:szCs w:val="32"/>
          <w:highlight w:val="none"/>
        </w:rPr>
        <w:t>，占</w:t>
      </w:r>
      <w:r>
        <w:rPr>
          <w:rFonts w:hint="eastAsia" w:ascii="仿宋_GB2312" w:hAnsi="仿宋" w:eastAsia="仿宋_GB2312" w:cs="Times New Roman"/>
          <w:kern w:val="2"/>
          <w:sz w:val="32"/>
          <w:szCs w:val="32"/>
          <w:highlight w:val="none"/>
          <w:lang w:val="en-US" w:eastAsia="zh-CN"/>
        </w:rPr>
        <w:t>20.2</w:t>
      </w:r>
      <w:r>
        <w:rPr>
          <w:rFonts w:hint="eastAsia" w:ascii="仿宋_GB2312" w:hAnsi="仿宋" w:eastAsia="仿宋_GB2312" w:cs="Times New Roman"/>
          <w:kern w:val="2"/>
          <w:sz w:val="32"/>
          <w:szCs w:val="32"/>
          <w:highlight w:val="none"/>
        </w:rPr>
        <w:t>%；</w:t>
      </w:r>
      <w:r>
        <w:rPr>
          <w:rFonts w:hint="eastAsia" w:ascii="仿宋_GB2312" w:hAnsi="仿宋" w:eastAsia="仿宋_GB2312" w:cs="Times New Roman"/>
          <w:kern w:val="2"/>
          <w:sz w:val="32"/>
          <w:szCs w:val="32"/>
          <w:highlight w:val="none"/>
          <w:lang w:eastAsia="zh-CN"/>
        </w:rPr>
        <w:t>农林水支出</w:t>
      </w:r>
      <w:r>
        <w:rPr>
          <w:rFonts w:hint="eastAsia" w:ascii="仿宋_GB2312" w:hAnsi="仿宋" w:eastAsia="仿宋_GB2312" w:cs="Times New Roman"/>
          <w:kern w:val="2"/>
          <w:sz w:val="32"/>
          <w:szCs w:val="32"/>
          <w:highlight w:val="none"/>
          <w:lang w:val="en-US" w:eastAsia="zh-CN"/>
        </w:rPr>
        <w:t>1554.46万元，</w:t>
      </w:r>
      <w:r>
        <w:rPr>
          <w:rFonts w:hint="eastAsia" w:ascii="仿宋_GB2312" w:hAnsi="仿宋" w:eastAsia="仿宋_GB2312" w:cs="Times New Roman"/>
          <w:kern w:val="2"/>
          <w:sz w:val="32"/>
          <w:szCs w:val="32"/>
          <w:highlight w:val="none"/>
        </w:rPr>
        <w:t>占</w:t>
      </w:r>
      <w:r>
        <w:rPr>
          <w:rFonts w:hint="eastAsia" w:ascii="仿宋_GB2312" w:hAnsi="仿宋" w:eastAsia="仿宋_GB2312" w:cs="Times New Roman"/>
          <w:kern w:val="2"/>
          <w:sz w:val="32"/>
          <w:szCs w:val="32"/>
          <w:highlight w:val="none"/>
          <w:lang w:val="en-US" w:eastAsia="zh-CN"/>
        </w:rPr>
        <w:t>54.7</w:t>
      </w:r>
      <w:r>
        <w:rPr>
          <w:rFonts w:hint="eastAsia" w:ascii="仿宋_GB2312" w:hAnsi="仿宋" w:eastAsia="仿宋_GB2312" w:cs="Times New Roman"/>
          <w:kern w:val="2"/>
          <w:sz w:val="32"/>
          <w:szCs w:val="32"/>
          <w:highlight w:val="none"/>
        </w:rPr>
        <w:t>%；住房保障支出</w:t>
      </w:r>
      <w:r>
        <w:rPr>
          <w:rFonts w:hint="eastAsia" w:ascii="仿宋_GB2312" w:hAnsi="仿宋" w:eastAsia="仿宋_GB2312" w:cs="Times New Roman"/>
          <w:kern w:val="2"/>
          <w:sz w:val="32"/>
          <w:szCs w:val="32"/>
          <w:highlight w:val="none"/>
          <w:lang w:val="en-US" w:eastAsia="zh-CN"/>
        </w:rPr>
        <w:t>27.58</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1</w:t>
      </w:r>
      <w:r>
        <w:rPr>
          <w:rFonts w:hint="eastAsia" w:ascii="仿宋_GB2312" w:hAnsi="仿宋" w:eastAsia="仿宋_GB2312" w:cs="Times New Roman"/>
          <w:kern w:val="2"/>
          <w:sz w:val="32"/>
          <w:szCs w:val="32"/>
          <w:highlight w:val="none"/>
        </w:rPr>
        <w:t>%。</w:t>
      </w:r>
    </w:p>
    <w:p w14:paraId="1BB73385">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highlight w:val="none"/>
          <w14:textFill>
            <w14:solidFill>
              <w14:schemeClr w14:val="tx1"/>
            </w14:solidFill>
          </w14:textFill>
        </w:rPr>
      </w:pPr>
      <w:r>
        <w:rPr>
          <w:rFonts w:hint="eastAsia" w:ascii="黑体" w:hAnsi="仿宋" w:eastAsia="黑体"/>
          <w:color w:val="000000" w:themeColor="text1"/>
          <w:sz w:val="32"/>
          <w:szCs w:val="32"/>
          <w:highlight w:val="none"/>
          <w14:textFill>
            <w14:solidFill>
              <w14:schemeClr w14:val="tx1"/>
            </w14:solidFill>
          </w14:textFill>
        </w:rPr>
        <w:t>五、关于</w:t>
      </w:r>
      <w:r>
        <w:rPr>
          <w:rFonts w:hint="eastAsia" w:ascii="黑体" w:hAnsi="仿宋" w:eastAsia="黑体"/>
          <w:color w:val="000000" w:themeColor="text1"/>
          <w:sz w:val="32"/>
          <w:szCs w:val="32"/>
          <w:highlight w:val="none"/>
          <w:lang w:eastAsia="zh-CN"/>
          <w14:textFill>
            <w14:solidFill>
              <w14:schemeClr w14:val="tx1"/>
            </w14:solidFill>
          </w14:textFill>
        </w:rPr>
        <w:t>2022</w:t>
      </w:r>
      <w:r>
        <w:rPr>
          <w:rFonts w:hint="eastAsia" w:ascii="黑体" w:hAnsi="仿宋" w:eastAsia="黑体"/>
          <w:color w:val="000000" w:themeColor="text1"/>
          <w:sz w:val="32"/>
          <w:szCs w:val="32"/>
          <w:highlight w:val="none"/>
          <w14:textFill>
            <w14:solidFill>
              <w14:schemeClr w14:val="tx1"/>
            </w14:solidFill>
          </w14:textFill>
        </w:rPr>
        <w:t>年一般公共预算支出表的说明</w:t>
      </w:r>
    </w:p>
    <w:p w14:paraId="77C42595">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highlight w:val="none"/>
        </w:rPr>
      </w:pPr>
      <w:r>
        <w:rPr>
          <w:rFonts w:hint="eastAsia" w:ascii="楷体_GB2312" w:hAnsi="仿宋" w:eastAsia="楷体_GB2312" w:cs="Times New Roman"/>
          <w:b/>
          <w:kern w:val="2"/>
          <w:sz w:val="32"/>
          <w:szCs w:val="32"/>
          <w:highlight w:val="none"/>
        </w:rPr>
        <w:t>（一）一般公共预算支出规模变化情况。</w:t>
      </w:r>
    </w:p>
    <w:p w14:paraId="725D4AAA">
      <w:pPr>
        <w:adjustRightInd w:val="0"/>
        <w:snapToGrid w:val="0"/>
        <w:spacing w:line="60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s="Times New Roman"/>
          <w:kern w:val="2"/>
          <w:sz w:val="32"/>
          <w:szCs w:val="32"/>
          <w:highlight w:val="none"/>
          <w:lang w:eastAsia="zh-CN"/>
        </w:rPr>
        <w:t>相山区渠沟镇人民政府2022</w:t>
      </w:r>
      <w:r>
        <w:rPr>
          <w:rFonts w:hint="eastAsia" w:ascii="仿宋_GB2312" w:hAnsi="仿宋" w:eastAsia="仿宋_GB2312" w:cs="Times New Roman"/>
          <w:kern w:val="2"/>
          <w:sz w:val="32"/>
          <w:szCs w:val="32"/>
          <w:highlight w:val="none"/>
        </w:rPr>
        <w:t>年一般公共预算支出</w:t>
      </w:r>
      <w:r>
        <w:rPr>
          <w:rFonts w:hint="eastAsia" w:ascii="仿宋_GB2312" w:hAnsi="仿宋" w:eastAsia="仿宋_GB2312" w:cs="Times New Roman"/>
          <w:kern w:val="2"/>
          <w:sz w:val="32"/>
          <w:szCs w:val="32"/>
          <w:highlight w:val="none"/>
          <w:lang w:val="en-US" w:eastAsia="zh-CN"/>
        </w:rPr>
        <w:t>2841.81</w:t>
      </w:r>
      <w:r>
        <w:rPr>
          <w:rFonts w:hint="eastAsia" w:ascii="仿宋_GB2312" w:hAnsi="仿宋" w:eastAsia="仿宋_GB2312" w:cs="Times New Roman"/>
          <w:kern w:val="2"/>
          <w:sz w:val="32"/>
          <w:szCs w:val="32"/>
          <w:highlight w:val="none"/>
        </w:rPr>
        <w:t>万元，比</w:t>
      </w:r>
      <w:r>
        <w:rPr>
          <w:rFonts w:hint="eastAsia" w:ascii="仿宋_GB2312" w:hAnsi="仿宋" w:eastAsia="仿宋_GB2312" w:cs="Times New Roman"/>
          <w:kern w:val="2"/>
          <w:sz w:val="32"/>
          <w:szCs w:val="32"/>
          <w:highlight w:val="none"/>
          <w:lang w:eastAsia="zh-CN"/>
        </w:rPr>
        <w:t>2021</w:t>
      </w:r>
      <w:r>
        <w:rPr>
          <w:rFonts w:hint="eastAsia" w:ascii="仿宋_GB2312" w:hAnsi="仿宋" w:eastAsia="仿宋_GB2312" w:cs="Times New Roman"/>
          <w:kern w:val="2"/>
          <w:sz w:val="32"/>
          <w:szCs w:val="32"/>
          <w:highlight w:val="none"/>
        </w:rPr>
        <w:t>年预算减少</w:t>
      </w:r>
      <w:r>
        <w:rPr>
          <w:rFonts w:hint="eastAsia" w:ascii="仿宋_GB2312" w:hAnsi="仿宋" w:eastAsia="仿宋_GB2312" w:cs="Times New Roman"/>
          <w:kern w:val="2"/>
          <w:sz w:val="32"/>
          <w:szCs w:val="32"/>
          <w:highlight w:val="none"/>
          <w:lang w:val="en-US" w:eastAsia="zh-CN"/>
        </w:rPr>
        <w:t>179.73</w:t>
      </w:r>
      <w:r>
        <w:rPr>
          <w:rFonts w:hint="eastAsia" w:ascii="仿宋_GB2312" w:hAnsi="仿宋" w:eastAsia="仿宋_GB2312" w:cs="Times New Roman"/>
          <w:kern w:val="2"/>
          <w:sz w:val="32"/>
          <w:szCs w:val="32"/>
          <w:highlight w:val="none"/>
        </w:rPr>
        <w:t>万元，下降</w:t>
      </w:r>
      <w:r>
        <w:rPr>
          <w:rFonts w:hint="eastAsia" w:ascii="仿宋_GB2312" w:hAnsi="仿宋" w:eastAsia="仿宋_GB2312" w:cs="Times New Roman"/>
          <w:kern w:val="2"/>
          <w:sz w:val="32"/>
          <w:szCs w:val="32"/>
          <w:highlight w:val="none"/>
          <w:lang w:val="en-US" w:eastAsia="zh-CN"/>
        </w:rPr>
        <w:t>5.9</w:t>
      </w:r>
      <w:r>
        <w:rPr>
          <w:rFonts w:hint="eastAsia" w:ascii="仿宋_GB2312" w:hAnsi="仿宋" w:eastAsia="仿宋_GB2312" w:cs="Times New Roman"/>
          <w:kern w:val="2"/>
          <w:sz w:val="32"/>
          <w:szCs w:val="32"/>
          <w:highlight w:val="none"/>
        </w:rPr>
        <w:t>%，主要原因：</w:t>
      </w:r>
      <w:r>
        <w:rPr>
          <w:rFonts w:hint="eastAsia" w:ascii="仿宋" w:hAnsi="宋体" w:eastAsia="仿宋" w:cs="宋体"/>
          <w:color w:val="auto"/>
          <w:kern w:val="0"/>
          <w:sz w:val="32"/>
          <w:szCs w:val="32"/>
          <w:highlight w:val="none"/>
          <w:shd w:val="clear" w:color="auto" w:fill="FFFFFF"/>
        </w:rPr>
        <w:t>预算金额安排计划</w:t>
      </w:r>
      <w:r>
        <w:rPr>
          <w:rFonts w:hint="eastAsia" w:ascii="仿宋" w:hAnsi="宋体" w:eastAsia="仿宋" w:cs="宋体"/>
          <w:color w:val="auto"/>
          <w:kern w:val="0"/>
          <w:sz w:val="32"/>
          <w:szCs w:val="32"/>
          <w:highlight w:val="none"/>
          <w:shd w:val="clear" w:color="auto" w:fill="FFFFFF"/>
          <w:lang w:eastAsia="zh-CN"/>
        </w:rPr>
        <w:t>减少</w:t>
      </w:r>
      <w:r>
        <w:rPr>
          <w:rFonts w:hint="eastAsia" w:ascii="仿宋_GB2312" w:hAnsi="仿宋" w:eastAsia="仿宋_GB2312"/>
          <w:color w:val="auto"/>
          <w:sz w:val="32"/>
          <w:szCs w:val="32"/>
          <w:highlight w:val="none"/>
        </w:rPr>
        <w:t>。</w:t>
      </w:r>
    </w:p>
    <w:p w14:paraId="4A83F87E">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highlight w:val="none"/>
        </w:rPr>
      </w:pPr>
      <w:r>
        <w:rPr>
          <w:rFonts w:hint="eastAsia" w:ascii="楷体_GB2312" w:hAnsi="仿宋" w:eastAsia="楷体_GB2312" w:cs="Times New Roman"/>
          <w:b/>
          <w:kern w:val="2"/>
          <w:sz w:val="32"/>
          <w:szCs w:val="32"/>
          <w:highlight w:val="none"/>
        </w:rPr>
        <w:t>（二</w:t>
      </w:r>
      <w:r>
        <w:rPr>
          <w:rFonts w:ascii="楷体_GB2312" w:hAnsi="仿宋" w:eastAsia="楷体_GB2312" w:cs="Times New Roman"/>
          <w:b/>
          <w:kern w:val="2"/>
          <w:sz w:val="32"/>
          <w:szCs w:val="32"/>
          <w:highlight w:val="none"/>
        </w:rPr>
        <w:t>）</w:t>
      </w:r>
      <w:r>
        <w:rPr>
          <w:rFonts w:hint="eastAsia" w:ascii="楷体_GB2312" w:hAnsi="仿宋" w:eastAsia="楷体_GB2312" w:cs="Times New Roman"/>
          <w:b/>
          <w:kern w:val="2"/>
          <w:sz w:val="32"/>
          <w:szCs w:val="32"/>
          <w:highlight w:val="none"/>
        </w:rPr>
        <w:t>一般公共预算支出结构情况。</w:t>
      </w:r>
    </w:p>
    <w:p w14:paraId="130AD9C1">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highlight w:val="none"/>
        </w:rPr>
      </w:pPr>
      <w:r>
        <w:rPr>
          <w:rFonts w:hint="eastAsia" w:ascii="仿宋_GB2312" w:hAnsi="仿宋" w:eastAsia="仿宋_GB2312" w:cs="Times New Roman"/>
          <w:kern w:val="2"/>
          <w:sz w:val="32"/>
          <w:szCs w:val="32"/>
          <w:highlight w:val="none"/>
        </w:rPr>
        <w:t>一般公共服务支出</w:t>
      </w:r>
      <w:r>
        <w:rPr>
          <w:rFonts w:hint="eastAsia" w:ascii="仿宋_GB2312" w:hAnsi="仿宋" w:eastAsia="仿宋_GB2312" w:cs="Times New Roman"/>
          <w:kern w:val="2"/>
          <w:sz w:val="32"/>
          <w:szCs w:val="32"/>
          <w:highlight w:val="none"/>
          <w:lang w:val="en-US" w:eastAsia="zh-CN"/>
        </w:rPr>
        <w:t>389.72</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13.7</w:t>
      </w:r>
      <w:r>
        <w:rPr>
          <w:rFonts w:hint="eastAsia" w:ascii="仿宋_GB2312" w:hAnsi="仿宋" w:eastAsia="仿宋_GB2312" w:cs="Times New Roman"/>
          <w:kern w:val="2"/>
          <w:sz w:val="32"/>
          <w:szCs w:val="32"/>
          <w:highlight w:val="none"/>
        </w:rPr>
        <w:t>%；社会保障和就业支出</w:t>
      </w:r>
      <w:r>
        <w:rPr>
          <w:rFonts w:hint="eastAsia" w:ascii="仿宋_GB2312" w:hAnsi="仿宋" w:eastAsia="仿宋_GB2312" w:cs="Times New Roman"/>
          <w:kern w:val="2"/>
          <w:sz w:val="32"/>
          <w:szCs w:val="32"/>
          <w:highlight w:val="none"/>
          <w:lang w:val="en-US" w:eastAsia="zh-CN"/>
        </w:rPr>
        <w:t>151.57</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5.3</w:t>
      </w:r>
      <w:r>
        <w:rPr>
          <w:rFonts w:hint="eastAsia" w:ascii="仿宋_GB2312" w:hAnsi="仿宋" w:eastAsia="仿宋_GB2312" w:cs="Times New Roman"/>
          <w:kern w:val="2"/>
          <w:sz w:val="32"/>
          <w:szCs w:val="32"/>
          <w:highlight w:val="none"/>
        </w:rPr>
        <w:t>%；卫生健康支出</w:t>
      </w:r>
      <w:r>
        <w:rPr>
          <w:rFonts w:hint="eastAsia" w:ascii="仿宋_GB2312" w:hAnsi="仿宋" w:eastAsia="仿宋_GB2312" w:cs="Times New Roman"/>
          <w:kern w:val="2"/>
          <w:sz w:val="32"/>
          <w:szCs w:val="32"/>
          <w:highlight w:val="none"/>
          <w:lang w:val="en-US" w:eastAsia="zh-CN"/>
        </w:rPr>
        <w:t>145.48</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5.1</w:t>
      </w:r>
      <w:r>
        <w:rPr>
          <w:rFonts w:hint="eastAsia" w:ascii="仿宋_GB2312" w:hAnsi="仿宋" w:eastAsia="仿宋_GB2312" w:cs="Times New Roman"/>
          <w:kern w:val="2"/>
          <w:sz w:val="32"/>
          <w:szCs w:val="32"/>
          <w:highlight w:val="none"/>
        </w:rPr>
        <w:t>%；</w:t>
      </w:r>
      <w:r>
        <w:rPr>
          <w:rFonts w:hint="eastAsia" w:ascii="仿宋_GB2312" w:hAnsi="仿宋" w:eastAsia="仿宋_GB2312" w:cs="Times New Roman"/>
          <w:kern w:val="2"/>
          <w:sz w:val="32"/>
          <w:szCs w:val="32"/>
          <w:highlight w:val="none"/>
          <w:lang w:eastAsia="zh-CN"/>
        </w:rPr>
        <w:t>城乡社区支出</w:t>
      </w:r>
      <w:r>
        <w:rPr>
          <w:rFonts w:hint="eastAsia" w:ascii="仿宋_GB2312" w:hAnsi="仿宋" w:eastAsia="仿宋_GB2312" w:cs="Times New Roman"/>
          <w:kern w:val="2"/>
          <w:sz w:val="32"/>
          <w:szCs w:val="32"/>
          <w:highlight w:val="none"/>
          <w:lang w:val="en-US" w:eastAsia="zh-CN"/>
        </w:rPr>
        <w:t>573万元</w:t>
      </w:r>
      <w:r>
        <w:rPr>
          <w:rFonts w:hint="eastAsia" w:ascii="仿宋_GB2312" w:hAnsi="仿宋" w:eastAsia="仿宋_GB2312" w:cs="Times New Roman"/>
          <w:kern w:val="2"/>
          <w:sz w:val="32"/>
          <w:szCs w:val="32"/>
          <w:highlight w:val="none"/>
        </w:rPr>
        <w:t>，占</w:t>
      </w:r>
      <w:r>
        <w:rPr>
          <w:rFonts w:hint="eastAsia" w:ascii="仿宋_GB2312" w:hAnsi="仿宋" w:eastAsia="仿宋_GB2312" w:cs="Times New Roman"/>
          <w:kern w:val="2"/>
          <w:sz w:val="32"/>
          <w:szCs w:val="32"/>
          <w:highlight w:val="none"/>
          <w:lang w:val="en-US" w:eastAsia="zh-CN"/>
        </w:rPr>
        <w:t>20.2</w:t>
      </w:r>
      <w:r>
        <w:rPr>
          <w:rFonts w:hint="eastAsia" w:ascii="仿宋_GB2312" w:hAnsi="仿宋" w:eastAsia="仿宋_GB2312" w:cs="Times New Roman"/>
          <w:kern w:val="2"/>
          <w:sz w:val="32"/>
          <w:szCs w:val="32"/>
          <w:highlight w:val="none"/>
        </w:rPr>
        <w:t>%；</w:t>
      </w:r>
      <w:r>
        <w:rPr>
          <w:rFonts w:hint="eastAsia" w:ascii="仿宋_GB2312" w:hAnsi="仿宋" w:eastAsia="仿宋_GB2312" w:cs="Times New Roman"/>
          <w:kern w:val="2"/>
          <w:sz w:val="32"/>
          <w:szCs w:val="32"/>
          <w:highlight w:val="none"/>
          <w:lang w:eastAsia="zh-CN"/>
        </w:rPr>
        <w:t>农林水支出</w:t>
      </w:r>
      <w:r>
        <w:rPr>
          <w:rFonts w:hint="eastAsia" w:ascii="仿宋_GB2312" w:hAnsi="仿宋" w:eastAsia="仿宋_GB2312" w:cs="Times New Roman"/>
          <w:kern w:val="2"/>
          <w:sz w:val="32"/>
          <w:szCs w:val="32"/>
          <w:highlight w:val="none"/>
          <w:lang w:val="en-US" w:eastAsia="zh-CN"/>
        </w:rPr>
        <w:t>1554.46万元，</w:t>
      </w:r>
      <w:r>
        <w:rPr>
          <w:rFonts w:hint="eastAsia" w:ascii="仿宋_GB2312" w:hAnsi="仿宋" w:eastAsia="仿宋_GB2312" w:cs="Times New Roman"/>
          <w:kern w:val="2"/>
          <w:sz w:val="32"/>
          <w:szCs w:val="32"/>
          <w:highlight w:val="none"/>
        </w:rPr>
        <w:t>占</w:t>
      </w:r>
      <w:r>
        <w:rPr>
          <w:rFonts w:hint="eastAsia" w:ascii="仿宋_GB2312" w:hAnsi="仿宋" w:eastAsia="仿宋_GB2312" w:cs="Times New Roman"/>
          <w:kern w:val="2"/>
          <w:sz w:val="32"/>
          <w:szCs w:val="32"/>
          <w:highlight w:val="none"/>
          <w:lang w:val="en-US" w:eastAsia="zh-CN"/>
        </w:rPr>
        <w:t>54.7</w:t>
      </w:r>
      <w:r>
        <w:rPr>
          <w:rFonts w:hint="eastAsia" w:ascii="仿宋_GB2312" w:hAnsi="仿宋" w:eastAsia="仿宋_GB2312" w:cs="Times New Roman"/>
          <w:kern w:val="2"/>
          <w:sz w:val="32"/>
          <w:szCs w:val="32"/>
          <w:highlight w:val="none"/>
        </w:rPr>
        <w:t>%；住房保障支出</w:t>
      </w:r>
      <w:r>
        <w:rPr>
          <w:rFonts w:hint="eastAsia" w:ascii="仿宋_GB2312" w:hAnsi="仿宋" w:eastAsia="仿宋_GB2312" w:cs="Times New Roman"/>
          <w:kern w:val="2"/>
          <w:sz w:val="32"/>
          <w:szCs w:val="32"/>
          <w:highlight w:val="none"/>
          <w:lang w:val="en-US" w:eastAsia="zh-CN"/>
        </w:rPr>
        <w:t>27.58</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1</w:t>
      </w:r>
      <w:r>
        <w:rPr>
          <w:rFonts w:hint="eastAsia" w:ascii="仿宋_GB2312" w:hAnsi="仿宋" w:eastAsia="仿宋_GB2312" w:cs="Times New Roman"/>
          <w:kern w:val="2"/>
          <w:sz w:val="32"/>
          <w:szCs w:val="32"/>
          <w:highlight w:val="none"/>
        </w:rPr>
        <w:t>%。</w:t>
      </w:r>
    </w:p>
    <w:p w14:paraId="0B57A171">
      <w:pPr>
        <w:adjustRightInd w:val="0"/>
        <w:snapToGrid w:val="0"/>
        <w:spacing w:line="600" w:lineRule="exact"/>
        <w:ind w:firstLine="643" w:firstLineChars="200"/>
        <w:rPr>
          <w:rFonts w:ascii="楷体_GB2312" w:hAnsi="仿宋" w:eastAsia="楷体_GB2312"/>
          <w:b/>
          <w:sz w:val="32"/>
          <w:szCs w:val="32"/>
          <w:highlight w:val="none"/>
        </w:rPr>
      </w:pPr>
      <w:r>
        <w:rPr>
          <w:rFonts w:hint="eastAsia" w:ascii="楷体_GB2312" w:hAnsi="仿宋" w:eastAsia="楷体_GB2312"/>
          <w:b/>
          <w:sz w:val="32"/>
          <w:szCs w:val="32"/>
          <w:highlight w:val="none"/>
        </w:rPr>
        <w:t>（三）一般公共预算支出具体使用情况。</w:t>
      </w:r>
    </w:p>
    <w:p w14:paraId="6AB5BBA3">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rPr>
        <w:t>1.一般公共服务支出（类）</w:t>
      </w:r>
      <w:r>
        <w:rPr>
          <w:rFonts w:hint="eastAsia" w:ascii="仿宋_GB2312" w:hAnsi="仿宋" w:eastAsia="仿宋_GB2312"/>
          <w:b/>
          <w:sz w:val="32"/>
          <w:szCs w:val="32"/>
          <w:highlight w:val="none"/>
          <w:lang w:val="en-US" w:eastAsia="zh-CN"/>
        </w:rPr>
        <w:t>政府办公厅（室）及相关机构事务</w:t>
      </w:r>
      <w:r>
        <w:rPr>
          <w:rFonts w:hint="eastAsia" w:ascii="仿宋_GB2312" w:hAnsi="仿宋" w:eastAsia="仿宋_GB2312"/>
          <w:b/>
          <w:sz w:val="32"/>
          <w:szCs w:val="32"/>
          <w:highlight w:val="none"/>
        </w:rPr>
        <w:t>（款）行政运行（项）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311.52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441.45</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58.6</w:t>
      </w:r>
      <w:r>
        <w:rPr>
          <w:rFonts w:hint="eastAsia" w:ascii="仿宋_GB2312" w:hAnsi="仿宋" w:eastAsia="仿宋_GB2312"/>
          <w:sz w:val="32"/>
          <w:szCs w:val="32"/>
          <w:highlight w:val="none"/>
        </w:rPr>
        <w:t>%，下降原因主要是</w:t>
      </w:r>
      <w:r>
        <w:rPr>
          <w:rFonts w:hint="eastAsia" w:ascii="仿宋" w:hAnsi="宋体" w:eastAsia="仿宋" w:cs="宋体"/>
          <w:color w:val="auto"/>
          <w:kern w:val="0"/>
          <w:sz w:val="32"/>
          <w:szCs w:val="32"/>
          <w:highlight w:val="none"/>
          <w:shd w:val="clear" w:color="auto" w:fill="FFFFFF"/>
          <w:lang w:val="en-US" w:eastAsia="zh-CN"/>
        </w:rPr>
        <w:t>事业运行</w:t>
      </w:r>
      <w:r>
        <w:rPr>
          <w:rFonts w:hint="eastAsia" w:ascii="仿宋" w:hAnsi="宋体" w:eastAsia="仿宋" w:cs="宋体"/>
          <w:color w:val="auto"/>
          <w:kern w:val="0"/>
          <w:sz w:val="32"/>
          <w:szCs w:val="32"/>
          <w:highlight w:val="none"/>
          <w:shd w:val="clear" w:color="auto" w:fill="FFFFFF"/>
        </w:rPr>
        <w:t>预算金额安排计划</w:t>
      </w:r>
      <w:r>
        <w:rPr>
          <w:rFonts w:hint="eastAsia" w:ascii="仿宋" w:hAnsi="宋体" w:eastAsia="仿宋" w:cs="宋体"/>
          <w:color w:val="auto"/>
          <w:kern w:val="0"/>
          <w:sz w:val="32"/>
          <w:szCs w:val="32"/>
          <w:highlight w:val="none"/>
          <w:shd w:val="clear" w:color="auto" w:fill="FFFFFF"/>
          <w:lang w:val="en-US" w:eastAsia="zh-CN"/>
        </w:rPr>
        <w:t>增长</w:t>
      </w:r>
      <w:r>
        <w:rPr>
          <w:rFonts w:hint="eastAsia" w:ascii="仿宋_GB2312" w:hAnsi="仿宋" w:eastAsia="仿宋_GB2312"/>
          <w:color w:val="auto"/>
          <w:sz w:val="32"/>
          <w:szCs w:val="32"/>
          <w:highlight w:val="none"/>
        </w:rPr>
        <w:t>。</w:t>
      </w:r>
    </w:p>
    <w:p w14:paraId="739D8EB8">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rPr>
        <w:t>2.一般公共服务支出（类）</w:t>
      </w:r>
      <w:r>
        <w:rPr>
          <w:rFonts w:hint="eastAsia" w:ascii="仿宋_GB2312" w:hAnsi="仿宋" w:eastAsia="仿宋_GB2312"/>
          <w:b/>
          <w:sz w:val="32"/>
          <w:szCs w:val="32"/>
          <w:highlight w:val="none"/>
          <w:lang w:val="en-US" w:eastAsia="zh-CN"/>
        </w:rPr>
        <w:t>政府办公厅（室）及相关机构事务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事业运行</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43.2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43.2</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行政运行预算金额安排减少</w:t>
      </w:r>
      <w:r>
        <w:rPr>
          <w:rFonts w:hint="eastAsia" w:ascii="仿宋_GB2312" w:hAnsi="仿宋" w:eastAsia="仿宋_GB2312"/>
          <w:sz w:val="32"/>
          <w:szCs w:val="32"/>
          <w:highlight w:val="none"/>
        </w:rPr>
        <w:t>。</w:t>
      </w:r>
    </w:p>
    <w:p w14:paraId="1DADF40F">
      <w:pPr>
        <w:keepNext w:val="0"/>
        <w:keepLines w:val="0"/>
        <w:widowControl/>
        <w:suppressLineNumbers w:val="0"/>
        <w:shd w:val="clear" w:fill="FFFFFF"/>
        <w:spacing w:before="150" w:beforeAutospacing="0" w:after="0" w:afterAutospacing="0" w:line="600" w:lineRule="atLeast"/>
        <w:ind w:left="0" w:right="0" w:firstLine="627"/>
        <w:jc w:val="left"/>
        <w:rPr>
          <w:rFonts w:hint="eastAsia"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3.</w:t>
      </w:r>
      <w:r>
        <w:rPr>
          <w:rFonts w:hint="eastAsia" w:ascii="仿宋_GB2312" w:hAnsi="仿宋" w:eastAsia="仿宋_GB2312"/>
          <w:b/>
          <w:sz w:val="32"/>
          <w:szCs w:val="32"/>
          <w:highlight w:val="none"/>
        </w:rPr>
        <w:t>一般公共服务支出（类）</w:t>
      </w:r>
      <w:r>
        <w:rPr>
          <w:rFonts w:hint="eastAsia" w:ascii="仿宋_GB2312" w:hAnsi="仿宋" w:eastAsia="仿宋_GB2312"/>
          <w:b/>
          <w:sz w:val="32"/>
          <w:szCs w:val="32"/>
          <w:highlight w:val="none"/>
          <w:lang w:val="en-US" w:eastAsia="zh-CN"/>
        </w:rPr>
        <w:t>纪检监察事务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其他纪检监察事务支出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14:paraId="69D4C663">
      <w:pPr>
        <w:pStyle w:val="2"/>
        <w:ind w:firstLine="643" w:firstLineChars="200"/>
        <w:rPr>
          <w:rFonts w:hint="default"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4.</w:t>
      </w:r>
      <w:r>
        <w:rPr>
          <w:rFonts w:hint="eastAsia" w:ascii="仿宋_GB2312" w:hAnsi="仿宋" w:eastAsia="仿宋_GB2312"/>
          <w:b/>
          <w:sz w:val="32"/>
          <w:szCs w:val="32"/>
          <w:highlight w:val="none"/>
        </w:rPr>
        <w:t>一般公共服务支出（类）</w:t>
      </w:r>
      <w:r>
        <w:rPr>
          <w:rFonts w:hint="eastAsia" w:ascii="仿宋_GB2312" w:hAnsi="仿宋" w:eastAsia="仿宋_GB2312"/>
          <w:b/>
          <w:sz w:val="32"/>
          <w:szCs w:val="32"/>
          <w:highlight w:val="none"/>
          <w:lang w:val="en-US" w:eastAsia="zh-CN"/>
        </w:rPr>
        <w:t>商贸事务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招商引资</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30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14:paraId="6ECEF714">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5</w:t>
      </w:r>
      <w:r>
        <w:rPr>
          <w:rFonts w:hint="eastAsia" w:ascii="仿宋_GB2312" w:hAnsi="仿宋" w:eastAsia="仿宋_GB2312"/>
          <w:b/>
          <w:sz w:val="32"/>
          <w:szCs w:val="32"/>
          <w:highlight w:val="none"/>
        </w:rPr>
        <w:t>.社会保障和就业支出（类）行政事业单位</w:t>
      </w:r>
      <w:r>
        <w:rPr>
          <w:rFonts w:hint="eastAsia" w:ascii="仿宋_GB2312" w:hAnsi="仿宋" w:eastAsia="仿宋_GB2312"/>
          <w:b/>
          <w:sz w:val="32"/>
          <w:szCs w:val="32"/>
          <w:highlight w:val="none"/>
          <w:lang w:val="en-US" w:eastAsia="zh-CN"/>
        </w:rPr>
        <w:t>养老支出</w:t>
      </w:r>
      <w:r>
        <w:rPr>
          <w:rFonts w:hint="eastAsia" w:ascii="仿宋_GB2312" w:hAnsi="仿宋" w:eastAsia="仿宋_GB2312"/>
          <w:b/>
          <w:sz w:val="32"/>
          <w:szCs w:val="32"/>
          <w:highlight w:val="none"/>
        </w:rPr>
        <w:t>（款）行政单位离退休（项）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21.8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20.39</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1446.1</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其他社会保障和就业支出预算金额安排减少</w:t>
      </w:r>
      <w:r>
        <w:rPr>
          <w:rFonts w:hint="eastAsia" w:ascii="仿宋_GB2312" w:hAnsi="仿宋" w:eastAsia="仿宋_GB2312"/>
          <w:sz w:val="32"/>
          <w:szCs w:val="32"/>
          <w:highlight w:val="none"/>
        </w:rPr>
        <w:t>。</w:t>
      </w:r>
    </w:p>
    <w:p w14:paraId="5AF8EC47">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6</w:t>
      </w:r>
      <w:r>
        <w:rPr>
          <w:rFonts w:hint="eastAsia" w:ascii="仿宋_GB2312" w:hAnsi="仿宋" w:eastAsia="仿宋_GB2312"/>
          <w:b/>
          <w:sz w:val="32"/>
          <w:szCs w:val="32"/>
          <w:highlight w:val="none"/>
        </w:rPr>
        <w:t>.社会保障和就业支出（类）行政事业单位</w:t>
      </w:r>
      <w:r>
        <w:rPr>
          <w:rFonts w:hint="eastAsia" w:ascii="仿宋_GB2312" w:hAnsi="仿宋" w:eastAsia="仿宋_GB2312"/>
          <w:b/>
          <w:sz w:val="32"/>
          <w:szCs w:val="32"/>
          <w:highlight w:val="none"/>
          <w:lang w:val="en-US" w:eastAsia="zh-CN"/>
        </w:rPr>
        <w:t>养老支出</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机关</w:t>
      </w:r>
      <w:r>
        <w:rPr>
          <w:rFonts w:hint="eastAsia" w:ascii="仿宋_GB2312" w:hAnsi="仿宋" w:eastAsia="仿宋_GB2312"/>
          <w:b/>
          <w:sz w:val="32"/>
          <w:szCs w:val="32"/>
          <w:highlight w:val="none"/>
        </w:rPr>
        <w:t>事业单位</w:t>
      </w:r>
      <w:r>
        <w:rPr>
          <w:rFonts w:hint="eastAsia" w:ascii="仿宋_GB2312" w:hAnsi="仿宋" w:eastAsia="仿宋_GB2312"/>
          <w:b/>
          <w:sz w:val="32"/>
          <w:szCs w:val="32"/>
          <w:highlight w:val="none"/>
          <w:lang w:val="en-US" w:eastAsia="zh-CN"/>
        </w:rPr>
        <w:t>基本养老保险缴费支出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84.26</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8.33</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人员调出</w:t>
      </w:r>
      <w:r>
        <w:rPr>
          <w:rFonts w:hint="eastAsia" w:ascii="仿宋_GB2312" w:hAnsi="仿宋" w:eastAsia="仿宋_GB2312"/>
          <w:sz w:val="32"/>
          <w:szCs w:val="32"/>
          <w:highlight w:val="none"/>
        </w:rPr>
        <w:t>。</w:t>
      </w:r>
    </w:p>
    <w:p w14:paraId="1FF3E6BE">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7</w:t>
      </w:r>
      <w:r>
        <w:rPr>
          <w:rFonts w:hint="eastAsia" w:ascii="仿宋_GB2312" w:hAnsi="仿宋" w:eastAsia="仿宋_GB2312"/>
          <w:b/>
          <w:sz w:val="32"/>
          <w:szCs w:val="32"/>
          <w:highlight w:val="none"/>
        </w:rPr>
        <w:t>.社会保障和就业支出（类）行政事业单位</w:t>
      </w:r>
      <w:r>
        <w:rPr>
          <w:rFonts w:hint="eastAsia" w:ascii="仿宋_GB2312" w:hAnsi="仿宋" w:eastAsia="仿宋_GB2312"/>
          <w:b/>
          <w:sz w:val="32"/>
          <w:szCs w:val="32"/>
          <w:highlight w:val="none"/>
          <w:lang w:val="en-US" w:eastAsia="zh-CN"/>
        </w:rPr>
        <w:t>养老支出</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机关事业单位职业年金缴费支出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42.13</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4.17</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人员调出</w:t>
      </w:r>
      <w:r>
        <w:rPr>
          <w:rFonts w:hint="eastAsia" w:ascii="仿宋_GB2312" w:hAnsi="仿宋" w:eastAsia="仿宋_GB2312"/>
          <w:sz w:val="32"/>
          <w:szCs w:val="32"/>
          <w:highlight w:val="none"/>
        </w:rPr>
        <w:t>。</w:t>
      </w:r>
    </w:p>
    <w:p w14:paraId="235EAA22">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8</w:t>
      </w:r>
      <w:r>
        <w:rPr>
          <w:rFonts w:hint="eastAsia" w:ascii="仿宋_GB2312" w:hAnsi="仿宋" w:eastAsia="仿宋_GB2312"/>
          <w:b/>
          <w:sz w:val="32"/>
          <w:szCs w:val="32"/>
          <w:highlight w:val="none"/>
        </w:rPr>
        <w:t>.社会保障和就业支出（类）</w:t>
      </w:r>
      <w:r>
        <w:rPr>
          <w:rFonts w:hint="eastAsia" w:ascii="仿宋_GB2312" w:hAnsi="仿宋" w:eastAsia="仿宋_GB2312"/>
          <w:b/>
          <w:sz w:val="32"/>
          <w:szCs w:val="32"/>
          <w:highlight w:val="none"/>
          <w:lang w:val="en-US" w:eastAsia="zh-CN"/>
        </w:rPr>
        <w:t>其他社会保障和就业支出</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其他社会保障和就业支出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3.37</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8.29</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71.1</w:t>
      </w:r>
      <w:r>
        <w:rPr>
          <w:rFonts w:hint="eastAsia" w:ascii="仿宋_GB2312" w:hAnsi="仿宋" w:eastAsia="仿宋_GB2312"/>
          <w:sz w:val="32"/>
          <w:szCs w:val="32"/>
          <w:highlight w:val="none"/>
        </w:rPr>
        <w:t>%，下降原因主要是行政单位离退休</w:t>
      </w:r>
      <w:r>
        <w:rPr>
          <w:rFonts w:hint="eastAsia" w:ascii="仿宋_GB2312" w:hAnsi="仿宋" w:eastAsia="仿宋_GB2312"/>
          <w:sz w:val="32"/>
          <w:szCs w:val="32"/>
          <w:highlight w:val="none"/>
          <w:lang w:val="en-US" w:eastAsia="zh-CN"/>
        </w:rPr>
        <w:t>预算金额安排增长</w:t>
      </w:r>
      <w:r>
        <w:rPr>
          <w:rFonts w:hint="eastAsia" w:ascii="仿宋_GB2312" w:hAnsi="仿宋" w:eastAsia="仿宋_GB2312"/>
          <w:sz w:val="32"/>
          <w:szCs w:val="32"/>
          <w:highlight w:val="none"/>
        </w:rPr>
        <w:t>。</w:t>
      </w:r>
    </w:p>
    <w:p w14:paraId="4A6ABC5E">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9</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计划生育事务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计划生育事务</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72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41.6</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136.8</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卫计项目经费纳入计划生育事务，预算金额安排增加</w:t>
      </w:r>
      <w:r>
        <w:rPr>
          <w:rFonts w:hint="eastAsia" w:ascii="仿宋_GB2312" w:hAnsi="仿宋" w:eastAsia="仿宋_GB2312"/>
          <w:sz w:val="32"/>
          <w:szCs w:val="32"/>
          <w:highlight w:val="none"/>
        </w:rPr>
        <w:t>。</w:t>
      </w:r>
    </w:p>
    <w:p w14:paraId="1AD9CF07">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10</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行政事业单位医疗</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行政单位医疗</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57.68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6.75</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13.3</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人员变动</w:t>
      </w:r>
      <w:r>
        <w:rPr>
          <w:rFonts w:hint="eastAsia" w:ascii="仿宋_GB2312" w:hAnsi="仿宋" w:eastAsia="仿宋_GB2312"/>
          <w:sz w:val="32"/>
          <w:szCs w:val="32"/>
          <w:highlight w:val="none"/>
        </w:rPr>
        <w:t>。</w:t>
      </w:r>
    </w:p>
    <w:p w14:paraId="23246E78">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11</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行政事业单位医疗</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公务员医疗补助</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15.8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1.57</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人员调出</w:t>
      </w:r>
      <w:r>
        <w:rPr>
          <w:rFonts w:hint="eastAsia" w:ascii="仿宋_GB2312" w:hAnsi="仿宋" w:eastAsia="仿宋_GB2312"/>
          <w:sz w:val="32"/>
          <w:szCs w:val="32"/>
          <w:highlight w:val="none"/>
        </w:rPr>
        <w:t>。</w:t>
      </w:r>
    </w:p>
    <w:p w14:paraId="293D9F1B">
      <w:pPr>
        <w:keepNext w:val="0"/>
        <w:keepLines w:val="0"/>
        <w:widowControl/>
        <w:suppressLineNumbers w:val="0"/>
        <w:shd w:val="clear" w:fill="FFFFFF"/>
        <w:spacing w:before="150" w:beforeAutospacing="0" w:after="0" w:afterAutospacing="0" w:line="600" w:lineRule="atLeast"/>
        <w:ind w:left="0" w:right="0" w:firstLine="627"/>
        <w:jc w:val="left"/>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12</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城乡社区支出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城乡社区管理事务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城管执法</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14:paraId="63F4FBE3">
      <w:pPr>
        <w:keepNext w:val="0"/>
        <w:keepLines w:val="0"/>
        <w:widowControl/>
        <w:suppressLineNumbers w:val="0"/>
        <w:shd w:val="clear" w:fill="FFFFFF"/>
        <w:spacing w:before="150" w:beforeAutospacing="0" w:after="0" w:afterAutospacing="0" w:line="600" w:lineRule="atLeast"/>
        <w:ind w:left="0" w:right="0" w:firstLine="627"/>
        <w:jc w:val="left"/>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13</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城乡社区支出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城乡社区环境卫生</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城乡社区环境卫生</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553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14:paraId="4987A1F3">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14</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农业农村</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行政运行</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692.04</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692.04</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一般行政管理事务行政运行纳入农林水支出行政运行，预算金额安排增加</w:t>
      </w:r>
      <w:r>
        <w:rPr>
          <w:rFonts w:hint="eastAsia" w:ascii="仿宋_GB2312" w:hAnsi="仿宋" w:eastAsia="仿宋_GB2312"/>
          <w:sz w:val="32"/>
          <w:szCs w:val="32"/>
          <w:highlight w:val="none"/>
        </w:rPr>
        <w:t>。</w:t>
      </w:r>
    </w:p>
    <w:p w14:paraId="0627F915">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15</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农业农村</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一般行政管理事务</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138.98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138.98</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一般行政管理事务行政运行纳入农林水支出一般行政管理事务，预算金额安排增加</w:t>
      </w:r>
      <w:r>
        <w:rPr>
          <w:rFonts w:hint="eastAsia" w:ascii="仿宋_GB2312" w:hAnsi="仿宋" w:eastAsia="仿宋_GB2312"/>
          <w:sz w:val="32"/>
          <w:szCs w:val="32"/>
          <w:highlight w:val="none"/>
        </w:rPr>
        <w:t>。</w:t>
      </w:r>
    </w:p>
    <w:p w14:paraId="03AF9813">
      <w:pPr>
        <w:pStyle w:val="2"/>
        <w:rPr>
          <w:rFonts w:hint="default" w:eastAsia="仿宋_GB2312"/>
          <w:highlight w:val="none"/>
          <w:lang w:val="en-US" w:eastAsia="zh-CN"/>
        </w:rPr>
      </w:pPr>
      <w:r>
        <w:rPr>
          <w:rFonts w:hint="eastAsia" w:ascii="仿宋_GB2312" w:hAnsi="仿宋" w:eastAsia="仿宋_GB2312"/>
          <w:sz w:val="32"/>
          <w:szCs w:val="32"/>
          <w:highlight w:val="none"/>
          <w:lang w:val="en-US" w:eastAsia="zh-CN"/>
        </w:rPr>
        <w:t xml:space="preserve">   </w:t>
      </w:r>
    </w:p>
    <w:p w14:paraId="305FB3A0">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16</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农业农村</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事业运行</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294.21</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294.21</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一般行政管理事务行政运行纳入农林水支出事业运行，预算金额安排增加</w:t>
      </w:r>
      <w:r>
        <w:rPr>
          <w:rFonts w:hint="eastAsia" w:ascii="仿宋_GB2312" w:hAnsi="仿宋" w:eastAsia="仿宋_GB2312"/>
          <w:sz w:val="32"/>
          <w:szCs w:val="32"/>
          <w:highlight w:val="none"/>
        </w:rPr>
        <w:t>。</w:t>
      </w:r>
    </w:p>
    <w:p w14:paraId="3FF36435">
      <w:pPr>
        <w:adjustRightInd w:val="0"/>
        <w:snapToGrid w:val="0"/>
        <w:spacing w:line="600" w:lineRule="exact"/>
        <w:ind w:firstLine="420" w:firstLineChars="200"/>
        <w:rPr>
          <w:rFonts w:hint="eastAsia" w:ascii="仿宋_GB2312" w:hAnsi="仿宋" w:eastAsia="仿宋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17</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农村综合改革</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对村民委员会和村党支部的补助</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425.23</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57.23</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15.6</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村干部工资变动，预算金额安排增加</w:t>
      </w:r>
      <w:r>
        <w:rPr>
          <w:rFonts w:hint="eastAsia" w:ascii="仿宋_GB2312" w:hAnsi="仿宋" w:eastAsia="仿宋_GB2312"/>
          <w:sz w:val="32"/>
          <w:szCs w:val="32"/>
          <w:highlight w:val="none"/>
        </w:rPr>
        <w:t>。</w:t>
      </w:r>
    </w:p>
    <w:p w14:paraId="32E879E9">
      <w:pPr>
        <w:keepNext w:val="0"/>
        <w:keepLines w:val="0"/>
        <w:widowControl/>
        <w:suppressLineNumbers w:val="0"/>
        <w:shd w:val="clear" w:fill="FFFFFF"/>
        <w:spacing w:before="150" w:beforeAutospacing="0" w:after="0" w:afterAutospacing="0" w:line="600" w:lineRule="atLeast"/>
        <w:ind w:left="0" w:right="0" w:firstLine="627"/>
        <w:jc w:val="left"/>
        <w:rPr>
          <w:rFonts w:hint="eastAsia" w:ascii="仿宋_GB2312" w:hAnsi="仿宋" w:eastAsia="仿宋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18.农林水支出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农村综合改革</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对村集体经济组织的补助</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14:paraId="765345BB">
      <w:pPr>
        <w:adjustRightInd w:val="0"/>
        <w:snapToGrid w:val="0"/>
        <w:spacing w:line="600" w:lineRule="exact"/>
        <w:ind w:firstLine="420" w:firstLineChars="200"/>
        <w:rPr>
          <w:rFonts w:hint="eastAsia" w:ascii="仿宋_GB2312" w:hAnsi="仿宋" w:eastAsia="仿宋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19.</w:t>
      </w:r>
      <w:r>
        <w:rPr>
          <w:rFonts w:hint="eastAsia" w:ascii="仿宋_GB2312" w:hAnsi="仿宋" w:eastAsia="仿宋_GB2312"/>
          <w:b/>
          <w:sz w:val="32"/>
          <w:szCs w:val="32"/>
          <w:highlight w:val="none"/>
        </w:rPr>
        <w:t>住房保障支出（类）住房改革支出（款）住房公积金（项）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15.04</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132.22</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89.8</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住房保障提租补贴预算增加</w:t>
      </w:r>
      <w:r>
        <w:rPr>
          <w:rFonts w:hint="eastAsia" w:ascii="仿宋_GB2312" w:hAnsi="仿宋" w:eastAsia="仿宋_GB2312"/>
          <w:sz w:val="32"/>
          <w:szCs w:val="32"/>
          <w:highlight w:val="none"/>
        </w:rPr>
        <w:t>。</w:t>
      </w:r>
    </w:p>
    <w:p w14:paraId="05D7D3AB">
      <w:pPr>
        <w:pStyle w:val="2"/>
        <w:rPr>
          <w:rFonts w:hint="default" w:eastAsia="仿宋_GB2312"/>
          <w:highlight w:val="none"/>
          <w:lang w:val="en-US" w:eastAsia="zh-CN"/>
        </w:rPr>
      </w:pPr>
    </w:p>
    <w:p w14:paraId="2856D876">
      <w:pPr>
        <w:adjustRightInd w:val="0"/>
        <w:snapToGrid w:val="0"/>
        <w:spacing w:line="600" w:lineRule="exact"/>
        <w:ind w:firstLine="420" w:firstLineChars="200"/>
        <w:rPr>
          <w:rFonts w:hint="eastAsia" w:ascii="仿宋_GB2312" w:hAnsi="仿宋" w:eastAsia="仿宋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20</w:t>
      </w:r>
      <w:r>
        <w:rPr>
          <w:rFonts w:hint="eastAsia" w:ascii="仿宋_GB2312" w:hAnsi="仿宋" w:eastAsia="仿宋_GB2312"/>
          <w:b/>
          <w:sz w:val="32"/>
          <w:szCs w:val="32"/>
          <w:highlight w:val="none"/>
        </w:rPr>
        <w:t>.住房保障支出（类）住房改革支出（款）</w:t>
      </w:r>
      <w:r>
        <w:rPr>
          <w:rFonts w:hint="eastAsia" w:ascii="仿宋_GB2312" w:hAnsi="仿宋" w:eastAsia="仿宋_GB2312"/>
          <w:b/>
          <w:sz w:val="32"/>
          <w:szCs w:val="32"/>
          <w:highlight w:val="none"/>
          <w:lang w:val="en-US" w:eastAsia="zh-CN"/>
        </w:rPr>
        <w:t>提租补贴</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6.27</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6.27</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住房保障支出住房公积金预算减少</w:t>
      </w:r>
      <w:r>
        <w:rPr>
          <w:rFonts w:hint="eastAsia" w:ascii="仿宋_GB2312" w:hAnsi="仿宋" w:eastAsia="仿宋_GB2312"/>
          <w:sz w:val="32"/>
          <w:szCs w:val="32"/>
          <w:highlight w:val="none"/>
        </w:rPr>
        <w:t>。</w:t>
      </w:r>
    </w:p>
    <w:p w14:paraId="4B70CFAC">
      <w:pPr>
        <w:adjustRightInd w:val="0"/>
        <w:snapToGrid w:val="0"/>
        <w:spacing w:line="600" w:lineRule="exact"/>
        <w:ind w:firstLine="420" w:firstLineChars="200"/>
        <w:rPr>
          <w:rFonts w:ascii="仿宋_GB2312" w:hAnsi="仿宋" w:eastAsia="楷体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21</w:t>
      </w:r>
      <w:r>
        <w:rPr>
          <w:rFonts w:hint="eastAsia" w:ascii="仿宋_GB2312" w:hAnsi="仿宋" w:eastAsia="仿宋_GB2312"/>
          <w:b/>
          <w:sz w:val="32"/>
          <w:szCs w:val="32"/>
          <w:highlight w:val="none"/>
        </w:rPr>
        <w:t>.住房保障支出（类）住房改革支出（款）</w:t>
      </w:r>
      <w:r>
        <w:rPr>
          <w:rFonts w:hint="eastAsia" w:ascii="仿宋_GB2312" w:hAnsi="仿宋" w:eastAsia="仿宋_GB2312"/>
          <w:b/>
          <w:sz w:val="32"/>
          <w:szCs w:val="32"/>
          <w:highlight w:val="none"/>
          <w:lang w:val="en-US" w:eastAsia="zh-CN"/>
        </w:rPr>
        <w:t>购房补贴</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6.27</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6.27</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住房保障支出住房公积金预算减少</w:t>
      </w:r>
      <w:r>
        <w:rPr>
          <w:rFonts w:hint="eastAsia" w:ascii="仿宋_GB2312" w:hAnsi="仿宋" w:eastAsia="仿宋_GB2312"/>
          <w:sz w:val="32"/>
          <w:szCs w:val="32"/>
          <w:highlight w:val="none"/>
        </w:rPr>
        <w:t>。</w:t>
      </w:r>
    </w:p>
    <w:p w14:paraId="6159D9E1">
      <w:pPr>
        <w:pStyle w:val="4"/>
        <w:adjustRightInd w:val="0"/>
        <w:snapToGrid w:val="0"/>
        <w:spacing w:before="0" w:beforeAutospacing="0" w:after="0" w:afterAutospacing="0" w:line="600" w:lineRule="exact"/>
        <w:ind w:firstLine="640" w:firstLineChars="200"/>
        <w:rPr>
          <w:rFonts w:ascii="黑体" w:eastAsia="黑体"/>
          <w:color w:val="000000" w:themeColor="text1"/>
          <w:highlight w:val="none"/>
          <w14:textFill>
            <w14:solidFill>
              <w14:schemeClr w14:val="tx1"/>
            </w14:solidFill>
          </w14:textFill>
        </w:rPr>
      </w:pPr>
      <w:r>
        <w:rPr>
          <w:rFonts w:hint="eastAsia" w:ascii="黑体" w:hAnsi="仿宋" w:eastAsia="黑体" w:cs="Times New Roman"/>
          <w:color w:val="000000" w:themeColor="text1"/>
          <w:kern w:val="2"/>
          <w:sz w:val="32"/>
          <w:szCs w:val="32"/>
          <w:highlight w:val="none"/>
          <w14:textFill>
            <w14:solidFill>
              <w14:schemeClr w14:val="tx1"/>
            </w14:solidFill>
          </w14:textFill>
        </w:rPr>
        <w:t>六、关于</w:t>
      </w:r>
      <w:r>
        <w:rPr>
          <w:rFonts w:hint="eastAsia" w:ascii="黑体" w:hAnsi="仿宋" w:eastAsia="黑体" w:cs="Times New Roman"/>
          <w:color w:val="000000" w:themeColor="text1"/>
          <w:kern w:val="2"/>
          <w:sz w:val="32"/>
          <w:szCs w:val="32"/>
          <w:highlight w:val="none"/>
          <w:lang w:eastAsia="zh-CN"/>
          <w14:textFill>
            <w14:solidFill>
              <w14:schemeClr w14:val="tx1"/>
            </w14:solidFill>
          </w14:textFill>
        </w:rPr>
        <w:t>2022</w:t>
      </w:r>
      <w:r>
        <w:rPr>
          <w:rFonts w:hint="eastAsia" w:ascii="黑体" w:hAnsi="仿宋" w:eastAsia="黑体" w:cs="Times New Roman"/>
          <w:color w:val="000000" w:themeColor="text1"/>
          <w:kern w:val="2"/>
          <w:sz w:val="32"/>
          <w:szCs w:val="32"/>
          <w:highlight w:val="none"/>
          <w14:textFill>
            <w14:solidFill>
              <w14:schemeClr w14:val="tx1"/>
            </w14:solidFill>
          </w14:textFill>
        </w:rPr>
        <w:t>年一般公共预算基本支出表的说明</w:t>
      </w:r>
    </w:p>
    <w:p w14:paraId="7FFE34A3">
      <w:pPr>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相山区渠沟镇人民政府2022</w:t>
      </w:r>
      <w:r>
        <w:rPr>
          <w:rFonts w:hint="eastAsia" w:ascii="仿宋_GB2312" w:hAnsi="仿宋" w:eastAsia="仿宋_GB2312"/>
          <w:sz w:val="32"/>
          <w:szCs w:val="32"/>
          <w:highlight w:val="none"/>
        </w:rPr>
        <w:t>年一般公共预算基本支出</w:t>
      </w:r>
      <w:r>
        <w:rPr>
          <w:rFonts w:hint="eastAsia" w:ascii="仿宋_GB2312" w:hAnsi="仿宋" w:eastAsia="仿宋_GB2312"/>
          <w:sz w:val="32"/>
          <w:szCs w:val="32"/>
          <w:highlight w:val="none"/>
          <w:lang w:val="en-US" w:eastAsia="zh-CN"/>
        </w:rPr>
        <w:t>1326.08</w:t>
      </w:r>
      <w:r>
        <w:rPr>
          <w:rFonts w:hint="eastAsia" w:ascii="仿宋_GB2312" w:hAnsi="仿宋" w:eastAsia="仿宋_GB2312"/>
          <w:sz w:val="32"/>
          <w:szCs w:val="32"/>
          <w:highlight w:val="none"/>
        </w:rPr>
        <w:t>万元，其中，人员经费</w:t>
      </w:r>
      <w:r>
        <w:rPr>
          <w:rFonts w:hint="eastAsia" w:ascii="仿宋_GB2312" w:hAnsi="仿宋" w:eastAsia="仿宋_GB2312"/>
          <w:sz w:val="32"/>
          <w:szCs w:val="32"/>
          <w:highlight w:val="none"/>
          <w:lang w:val="en-US" w:eastAsia="zh-CN"/>
        </w:rPr>
        <w:t>1218.19</w:t>
      </w:r>
      <w:r>
        <w:rPr>
          <w:rFonts w:hint="eastAsia" w:ascii="仿宋_GB2312" w:hAnsi="仿宋" w:eastAsia="仿宋_GB2312"/>
          <w:sz w:val="32"/>
          <w:szCs w:val="32"/>
          <w:highlight w:val="none"/>
        </w:rPr>
        <w:t>万元，公用经费</w:t>
      </w:r>
      <w:r>
        <w:rPr>
          <w:rFonts w:hint="eastAsia" w:ascii="仿宋_GB2312" w:hAnsi="仿宋" w:eastAsia="仿宋_GB2312"/>
          <w:sz w:val="32"/>
          <w:szCs w:val="32"/>
          <w:highlight w:val="none"/>
          <w:lang w:val="en-US" w:eastAsia="zh-CN"/>
        </w:rPr>
        <w:t>107.89</w:t>
      </w:r>
      <w:r>
        <w:rPr>
          <w:rFonts w:hint="eastAsia" w:ascii="仿宋_GB2312" w:hAnsi="仿宋" w:eastAsia="仿宋_GB2312"/>
          <w:sz w:val="32"/>
          <w:szCs w:val="32"/>
          <w:highlight w:val="none"/>
        </w:rPr>
        <w:t>万元。</w:t>
      </w:r>
    </w:p>
    <w:p w14:paraId="260DB548">
      <w:pPr>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（一）人员经费</w:t>
      </w:r>
      <w:r>
        <w:rPr>
          <w:rFonts w:hint="eastAsia" w:ascii="仿宋_GB2312" w:hAnsi="仿宋" w:eastAsia="仿宋_GB2312"/>
          <w:sz w:val="32"/>
          <w:szCs w:val="32"/>
          <w:highlight w:val="none"/>
          <w:lang w:val="en-US" w:eastAsia="zh-CN"/>
        </w:rPr>
        <w:t>1218.19</w:t>
      </w:r>
      <w:r>
        <w:rPr>
          <w:rFonts w:hint="eastAsia" w:ascii="仿宋_GB2312" w:hAnsi="仿宋" w:eastAsia="仿宋_GB2312"/>
          <w:sz w:val="32"/>
          <w:szCs w:val="32"/>
          <w:highlight w:val="none"/>
        </w:rPr>
        <w:t>万元，主要包括:</w:t>
      </w:r>
      <w:r>
        <w:rPr>
          <w:rFonts w:hint="eastAsia" w:ascii="仿宋_GB2312" w:hAnsi="仿宋" w:eastAsia="仿宋_GB2312"/>
          <w:sz w:val="32"/>
          <w:szCs w:val="32"/>
          <w:highlight w:val="none"/>
          <w:u w:val="single"/>
        </w:rPr>
        <w:t>基本工资、津贴补贴、奖金、绩效工资、机关事业单位基本养老保险</w:t>
      </w:r>
      <w:r>
        <w:rPr>
          <w:rFonts w:hint="eastAsia" w:ascii="仿宋_GB2312" w:hAnsi="仿宋" w:eastAsia="仿宋_GB2312"/>
          <w:sz w:val="32"/>
          <w:szCs w:val="32"/>
          <w:highlight w:val="none"/>
          <w:u w:val="single"/>
          <w:lang w:val="en-US" w:eastAsia="zh-CN"/>
        </w:rPr>
        <w:t>缴</w:t>
      </w:r>
      <w:r>
        <w:rPr>
          <w:rFonts w:hint="eastAsia" w:ascii="仿宋_GB2312" w:hAnsi="仿宋" w:eastAsia="仿宋_GB2312"/>
          <w:sz w:val="32"/>
          <w:szCs w:val="32"/>
          <w:highlight w:val="none"/>
          <w:u w:val="single"/>
        </w:rPr>
        <w:t>费、职业年金缴费、职工基本医疗保险缴费、公务员医疗补助缴费、其他社会保障缴费、住房公积金、其他工资福利支出</w:t>
      </w:r>
      <w:r>
        <w:rPr>
          <w:rFonts w:hint="eastAsia" w:ascii="仿宋_GB2312" w:hAnsi="仿宋" w:eastAsia="仿宋_GB2312"/>
          <w:sz w:val="32"/>
          <w:szCs w:val="32"/>
          <w:highlight w:val="none"/>
          <w:u w:val="single"/>
          <w:lang w:eastAsia="zh-CN"/>
        </w:rPr>
        <w:t>、</w:t>
      </w:r>
      <w:r>
        <w:rPr>
          <w:rFonts w:hint="eastAsia" w:ascii="仿宋_GB2312" w:hAnsi="仿宋" w:eastAsia="仿宋_GB2312"/>
          <w:sz w:val="32"/>
          <w:szCs w:val="32"/>
          <w:highlight w:val="none"/>
          <w:u w:val="single"/>
          <w:lang w:val="en-US" w:eastAsia="zh-CN"/>
        </w:rPr>
        <w:t>培训费、工会经费、福利费、其他商品和服务支出、退休费、生活补助、其他对个人和家庭的补助支出</w:t>
      </w:r>
      <w:r>
        <w:rPr>
          <w:rFonts w:hint="eastAsia" w:ascii="仿宋_GB2312" w:hAnsi="仿宋" w:eastAsia="仿宋_GB2312"/>
          <w:sz w:val="32"/>
          <w:szCs w:val="32"/>
          <w:highlight w:val="none"/>
          <w:u w:val="single"/>
          <w:lang w:eastAsia="zh-CN"/>
        </w:rPr>
        <w:t>。</w:t>
      </w:r>
    </w:p>
    <w:p w14:paraId="69B2DDC2">
      <w:pPr>
        <w:ind w:firstLine="640" w:firstLineChars="200"/>
        <w:rPr>
          <w:rFonts w:ascii="楷体_GB2312" w:hAnsi="仿宋" w:eastAsia="楷体_GB2312"/>
          <w:sz w:val="32"/>
          <w:szCs w:val="32"/>
          <w:highlight w:val="none"/>
        </w:rPr>
      </w:pPr>
      <w:r>
        <w:rPr>
          <w:rFonts w:hint="eastAsia" w:ascii="仿宋_GB2312" w:hAnsi="仿宋" w:eastAsia="仿宋_GB2312"/>
          <w:sz w:val="32"/>
          <w:szCs w:val="32"/>
          <w:highlight w:val="none"/>
        </w:rPr>
        <w:t>（二）公用经费</w:t>
      </w:r>
      <w:r>
        <w:rPr>
          <w:rFonts w:hint="eastAsia" w:ascii="仿宋_GB2312" w:hAnsi="仿宋" w:eastAsia="仿宋_GB2312"/>
          <w:sz w:val="32"/>
          <w:szCs w:val="32"/>
          <w:highlight w:val="none"/>
          <w:lang w:val="en-US" w:eastAsia="zh-CN"/>
        </w:rPr>
        <w:t>107.89</w:t>
      </w:r>
      <w:r>
        <w:rPr>
          <w:rFonts w:hint="eastAsia" w:ascii="仿宋_GB2312" w:hAnsi="仿宋" w:eastAsia="仿宋_GB2312"/>
          <w:sz w:val="32"/>
          <w:szCs w:val="32"/>
          <w:highlight w:val="none"/>
        </w:rPr>
        <w:t>万元，主要包括：</w:t>
      </w:r>
      <w:r>
        <w:rPr>
          <w:rFonts w:hint="eastAsia" w:ascii="仿宋_GB2312" w:hAnsi="仿宋" w:eastAsia="仿宋_GB2312"/>
          <w:sz w:val="32"/>
          <w:szCs w:val="32"/>
          <w:highlight w:val="none"/>
          <w:u w:val="single"/>
        </w:rPr>
        <w:t>办公费、印刷费、邮电费、租赁费、公务接待费、委托业务费、工会经费、公务用车运行维护费、其他交通费用、其他商品服务支出</w:t>
      </w:r>
      <w:r>
        <w:rPr>
          <w:rFonts w:hint="eastAsia" w:ascii="仿宋_GB2312" w:hAnsi="仿宋" w:eastAsia="仿宋_GB2312"/>
          <w:sz w:val="32"/>
          <w:szCs w:val="32"/>
          <w:highlight w:val="none"/>
          <w:u w:val="single"/>
          <w:lang w:eastAsia="zh-CN"/>
        </w:rPr>
        <w:t>、</w:t>
      </w:r>
      <w:r>
        <w:rPr>
          <w:rFonts w:hint="eastAsia" w:ascii="仿宋_GB2312" w:hAnsi="仿宋" w:eastAsia="仿宋_GB2312"/>
          <w:sz w:val="32"/>
          <w:szCs w:val="32"/>
          <w:highlight w:val="none"/>
          <w:u w:val="single"/>
          <w:lang w:val="en-US" w:eastAsia="zh-CN"/>
        </w:rPr>
        <w:t>其他对个人和家庭的补助</w:t>
      </w:r>
      <w:r>
        <w:rPr>
          <w:rFonts w:hint="eastAsia" w:ascii="仿宋_GB2312" w:hAnsi="仿宋" w:eastAsia="仿宋_GB2312"/>
          <w:sz w:val="32"/>
          <w:szCs w:val="32"/>
          <w:highlight w:val="none"/>
          <w:u w:val="single"/>
          <w:lang w:eastAsia="zh-CN"/>
        </w:rPr>
        <w:t>。</w:t>
      </w:r>
    </w:p>
    <w:p w14:paraId="74F937BD">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2022</w:t>
      </w:r>
      <w:r>
        <w:rPr>
          <w:rFonts w:hint="eastAsia" w:ascii="黑体" w:hAnsi="仿宋" w:eastAsia="黑体"/>
          <w:sz w:val="32"/>
          <w:szCs w:val="32"/>
        </w:rPr>
        <w:t>年政府性基金预算支出表的说明</w:t>
      </w:r>
    </w:p>
    <w:p w14:paraId="492E59F5">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年没有政府性基金预算拨款收入，也没有使用政府性基金预算拨款安排的支出。</w:t>
      </w:r>
    </w:p>
    <w:p w14:paraId="08B2D84D">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2022</w:t>
      </w:r>
      <w:r>
        <w:rPr>
          <w:rFonts w:hint="eastAsia" w:ascii="黑体" w:hAnsi="仿宋" w:eastAsia="黑体"/>
          <w:sz w:val="32"/>
          <w:szCs w:val="32"/>
        </w:rPr>
        <w:t>年国有资本经营预算支出表的说明</w:t>
      </w:r>
    </w:p>
    <w:p w14:paraId="3AFB8474">
      <w:pPr>
        <w:pStyle w:val="4"/>
        <w:adjustRightInd w:val="0"/>
        <w:snapToGrid w:val="0"/>
        <w:spacing w:before="0" w:beforeAutospacing="0" w:after="0" w:afterAutospacing="0" w:line="60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年没有国有资本经营预算拨款收入，也没有使用国有资本经营预算拨款安排的支出。</w:t>
      </w:r>
    </w:p>
    <w:p w14:paraId="0C3913A0">
      <w:pPr>
        <w:pStyle w:val="4"/>
        <w:adjustRightInd w:val="0"/>
        <w:snapToGrid w:val="0"/>
        <w:spacing w:before="0" w:beforeAutospacing="0" w:after="0" w:afterAutospacing="0" w:line="600" w:lineRule="exact"/>
        <w:rPr>
          <w:rFonts w:ascii="黑体" w:hAnsi="黑体" w:eastAsia="黑体"/>
          <w:bCs/>
          <w:sz w:val="32"/>
          <w:szCs w:val="32"/>
          <w:highlight w:val="green"/>
        </w:rPr>
      </w:pPr>
    </w:p>
    <w:p w14:paraId="0D42DD65">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highlight w:val="none"/>
        </w:rPr>
      </w:pPr>
      <w:r>
        <w:rPr>
          <w:rFonts w:hint="eastAsia" w:ascii="黑体" w:hAnsi="仿宋" w:eastAsia="黑体"/>
          <w:sz w:val="32"/>
          <w:szCs w:val="32"/>
          <w:highlight w:val="none"/>
        </w:rPr>
        <w:t>九、关于</w:t>
      </w:r>
      <w:r>
        <w:rPr>
          <w:rFonts w:hint="eastAsia" w:ascii="黑体" w:hAnsi="仿宋" w:eastAsia="黑体"/>
          <w:sz w:val="32"/>
          <w:szCs w:val="32"/>
          <w:highlight w:val="none"/>
          <w:lang w:eastAsia="zh-CN"/>
        </w:rPr>
        <w:t>2022</w:t>
      </w:r>
      <w:r>
        <w:rPr>
          <w:rFonts w:hint="eastAsia" w:ascii="黑体" w:hAnsi="仿宋" w:eastAsia="黑体"/>
          <w:sz w:val="32"/>
          <w:szCs w:val="32"/>
          <w:highlight w:val="none"/>
        </w:rPr>
        <w:t>年项目支出表的说明</w:t>
      </w:r>
    </w:p>
    <w:p w14:paraId="3C96F4E6">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年预算共安排项目支出</w:t>
      </w:r>
      <w:r>
        <w:rPr>
          <w:rFonts w:hint="eastAsia" w:ascii="仿宋_GB2312" w:hAnsi="仿宋" w:eastAsia="仿宋_GB2312"/>
          <w:sz w:val="32"/>
          <w:szCs w:val="32"/>
          <w:highlight w:val="none"/>
          <w:lang w:val="en-US" w:eastAsia="zh-CN"/>
        </w:rPr>
        <w:t>1515.73</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444.79</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41.5</w:t>
      </w:r>
      <w:r>
        <w:rPr>
          <w:rFonts w:hint="eastAsia" w:ascii="仿宋_GB2312" w:hAnsi="仿宋" w:eastAsia="仿宋_GB2312"/>
          <w:sz w:val="32"/>
          <w:szCs w:val="32"/>
          <w:highlight w:val="none"/>
        </w:rPr>
        <w:t>%，增长原因主要是</w:t>
      </w:r>
      <w:r>
        <w:rPr>
          <w:rFonts w:hint="eastAsia" w:ascii="仿宋" w:hAnsi="宋体" w:eastAsia="仿宋" w:cs="宋体"/>
          <w:color w:val="auto"/>
          <w:kern w:val="0"/>
          <w:sz w:val="32"/>
          <w:szCs w:val="32"/>
          <w:highlight w:val="none"/>
          <w:shd w:val="clear" w:color="auto" w:fill="FFFFFF"/>
        </w:rPr>
        <w:t>预算金额安排计划</w:t>
      </w:r>
      <w:r>
        <w:rPr>
          <w:rFonts w:hint="eastAsia" w:ascii="仿宋" w:hAnsi="宋体" w:eastAsia="仿宋" w:cs="宋体"/>
          <w:color w:val="auto"/>
          <w:kern w:val="0"/>
          <w:sz w:val="32"/>
          <w:szCs w:val="32"/>
          <w:shd w:val="clear" w:color="auto" w:fill="FFFFFF"/>
        </w:rPr>
        <w:t>增加</w:t>
      </w:r>
      <w:r>
        <w:rPr>
          <w:rFonts w:hint="eastAsia" w:ascii="仿宋_GB2312" w:hAnsi="仿宋" w:eastAsia="仿宋_GB2312"/>
          <w:sz w:val="32"/>
          <w:szCs w:val="32"/>
        </w:rPr>
        <w:t>。本年财政拨款安排</w:t>
      </w:r>
      <w:r>
        <w:rPr>
          <w:rFonts w:hint="eastAsia" w:ascii="仿宋_GB2312" w:hAnsi="仿宋" w:eastAsia="仿宋_GB2312"/>
          <w:sz w:val="32"/>
          <w:szCs w:val="32"/>
          <w:lang w:val="en-US" w:eastAsia="zh-CN"/>
        </w:rPr>
        <w:t>1515.73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,全部为</w:t>
      </w:r>
      <w:r>
        <w:rPr>
          <w:rFonts w:hint="eastAsia" w:ascii="仿宋_GB2312" w:hAnsi="仿宋" w:eastAsia="仿宋_GB2312"/>
          <w:sz w:val="32"/>
          <w:szCs w:val="32"/>
        </w:rPr>
        <w:t>一般公共预算拨款安排</w:t>
      </w:r>
      <w:r>
        <w:rPr>
          <w:rFonts w:hint="eastAsia" w:ascii="仿宋_GB2312" w:hAnsi="仿宋" w:eastAsia="仿宋_GB2312"/>
          <w:sz w:val="32"/>
          <w:szCs w:val="32"/>
          <w:lang w:val="en-US" w:eastAsia="zh-CN"/>
        </w:rPr>
        <w:t>1515.73</w:t>
      </w:r>
      <w:r>
        <w:rPr>
          <w:rFonts w:hint="eastAsia" w:ascii="仿宋_GB2312" w:hAnsi="仿宋" w:eastAsia="仿宋_GB2312"/>
          <w:sz w:val="32"/>
          <w:szCs w:val="32"/>
        </w:rPr>
        <w:t>万元。</w:t>
      </w:r>
      <w:r>
        <w:rPr>
          <w:rFonts w:ascii="仿宋_GB2312" w:hAnsi="仿宋" w:eastAsia="仿宋_GB2312"/>
          <w:sz w:val="32"/>
          <w:szCs w:val="32"/>
        </w:rPr>
        <w:t xml:space="preserve"> </w:t>
      </w:r>
    </w:p>
    <w:p w14:paraId="19D94ED2">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2022</w:t>
      </w:r>
      <w:r>
        <w:rPr>
          <w:rFonts w:hint="eastAsia" w:ascii="黑体" w:hAnsi="仿宋" w:eastAsia="黑体"/>
          <w:sz w:val="32"/>
          <w:szCs w:val="32"/>
        </w:rPr>
        <w:t>年政府采购支出表的说明</w:t>
      </w:r>
    </w:p>
    <w:p w14:paraId="106DC87B">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年没有使用一般公共预算拨款、政府性基金预算拨款、国有资本经营预算拨款、财政专户管理资金和单位资金安排的政府采购支出。</w:t>
      </w:r>
    </w:p>
    <w:p w14:paraId="0DCDDE9B">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2022</w:t>
      </w:r>
      <w:r>
        <w:rPr>
          <w:rFonts w:hint="eastAsia" w:ascii="黑体" w:hAnsi="仿宋" w:eastAsia="黑体"/>
          <w:sz w:val="32"/>
          <w:szCs w:val="32"/>
        </w:rPr>
        <w:t>年政府购买服务支出表的说明</w:t>
      </w:r>
    </w:p>
    <w:p w14:paraId="2B6EAC42">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年没有安排政府购买服务支出。</w:t>
      </w:r>
    </w:p>
    <w:p w14:paraId="553E8331">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14:paraId="7F086144">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14:paraId="7733FAC5">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1.“市场环卫”项目。</w:t>
      </w:r>
    </w:p>
    <w:p w14:paraId="55251B0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（1）项目概述。针对渠沟镇辖区内垃圾清运及公厕管养、道路洒水及保洁服务费。</w:t>
      </w:r>
    </w:p>
    <w:p w14:paraId="1A6B6F36">
      <w:pPr>
        <w:spacing w:line="600" w:lineRule="exact"/>
        <w:ind w:firstLine="585" w:firstLineChars="183"/>
        <w:rPr>
          <w:rFonts w:hint="eastAsia" w:ascii="仿宋_GB2312" w:hAnsi="楷体" w:eastAsia="仿宋_GB2312"/>
          <w:sz w:val="32"/>
          <w:szCs w:val="32"/>
          <w:u w:val="single"/>
        </w:rPr>
      </w:pPr>
      <w:r>
        <w:rPr>
          <w:rFonts w:hint="eastAsia" w:ascii="仿宋_GB2312" w:hAnsi="楷体" w:eastAsia="仿宋_GB2312"/>
          <w:sz w:val="32"/>
          <w:szCs w:val="32"/>
        </w:rPr>
        <w:t>（2）立项依据。年初预算</w:t>
      </w:r>
    </w:p>
    <w:p w14:paraId="2FF6311A">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渠沟镇及</w:t>
      </w:r>
      <w:r>
        <w:rPr>
          <w:rFonts w:hint="eastAsia" w:ascii="仿宋_GB2312" w:hAnsi="楷体" w:eastAsia="仿宋_GB2312"/>
          <w:sz w:val="32"/>
          <w:szCs w:val="32"/>
          <w:lang w:val="en-US" w:eastAsia="zh-CN"/>
        </w:rPr>
        <w:t>13个自然村庄</w:t>
      </w:r>
    </w:p>
    <w:p w14:paraId="7F042864">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年12月31日</w:t>
      </w:r>
    </w:p>
    <w:p w14:paraId="60E018AA">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rPr>
        <w:t>负责辖区内环境卫生</w:t>
      </w:r>
    </w:p>
    <w:p w14:paraId="51ED7E42">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（6）年度预算安排。</w:t>
      </w:r>
    </w:p>
    <w:p w14:paraId="6B48393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p w14:paraId="67E87C04">
      <w:pPr>
        <w:adjustRightInd w:val="0"/>
        <w:snapToGrid w:val="0"/>
        <w:spacing w:line="600" w:lineRule="exact"/>
        <w:ind w:firstLine="640" w:firstLineChars="200"/>
        <w:rPr>
          <w:rFonts w:ascii="仿宋_GB2312" w:hAnsi="楷体" w:eastAsia="仿宋_GB2312"/>
          <w:sz w:val="32"/>
          <w:szCs w:val="32"/>
        </w:rPr>
      </w:pPr>
    </w:p>
    <w:p w14:paraId="7B810594">
      <w:pPr>
        <w:adjustRightInd w:val="0"/>
        <w:snapToGrid w:val="0"/>
        <w:spacing w:line="600" w:lineRule="exact"/>
        <w:ind w:firstLine="640" w:firstLineChars="200"/>
        <w:rPr>
          <w:rFonts w:hint="eastAsia" w:ascii="仿宋_GB2312" w:hAnsi="楷体" w:eastAsia="仿宋_GB2312"/>
          <w:sz w:val="32"/>
          <w:szCs w:val="32"/>
        </w:rPr>
      </w:pPr>
    </w:p>
    <w:p w14:paraId="1BE234D3">
      <w:pPr>
        <w:adjustRightInd w:val="0"/>
        <w:snapToGrid w:val="0"/>
        <w:spacing w:line="600" w:lineRule="exact"/>
        <w:rPr>
          <w:rFonts w:ascii="仿宋_GB2312" w:hAnsi="楷体" w:eastAsia="仿宋_GB2312"/>
          <w:sz w:val="32"/>
          <w:szCs w:val="32"/>
        </w:rPr>
      </w:pPr>
    </w:p>
    <w:p w14:paraId="172E05B6">
      <w:pPr>
        <w:adjustRightInd w:val="0"/>
        <w:snapToGrid w:val="0"/>
        <w:spacing w:line="600" w:lineRule="exact"/>
        <w:ind w:firstLine="640" w:firstLineChars="200"/>
        <w:rPr>
          <w:rFonts w:ascii="仿宋_GB2312" w:hAnsi="楷体" w:eastAsia="仿宋_GB2312"/>
          <w:sz w:val="32"/>
          <w:szCs w:val="32"/>
        </w:rPr>
      </w:pPr>
    </w:p>
    <w:p w14:paraId="7FD4CBC7">
      <w:pPr>
        <w:adjustRightInd w:val="0"/>
        <w:snapToGrid w:val="0"/>
        <w:spacing w:line="600" w:lineRule="exact"/>
        <w:ind w:firstLine="640" w:firstLineChars="200"/>
        <w:rPr>
          <w:rFonts w:ascii="仿宋_GB2312" w:hAnsi="楷体" w:eastAsia="仿宋_GB2312"/>
          <w:sz w:val="32"/>
          <w:szCs w:val="32"/>
        </w:rPr>
      </w:pPr>
    </w:p>
    <w:p w14:paraId="53D53601">
      <w:pPr>
        <w:adjustRightInd w:val="0"/>
        <w:snapToGrid w:val="0"/>
        <w:spacing w:line="600" w:lineRule="exact"/>
        <w:ind w:firstLine="640" w:firstLineChars="200"/>
        <w:rPr>
          <w:rFonts w:ascii="仿宋_GB2312" w:hAnsi="楷体" w:eastAsia="仿宋_GB2312"/>
          <w:sz w:val="32"/>
          <w:szCs w:val="32"/>
        </w:rPr>
      </w:pPr>
    </w:p>
    <w:p w14:paraId="15E8BA11">
      <w:pPr>
        <w:adjustRightInd w:val="0"/>
        <w:snapToGrid w:val="0"/>
        <w:spacing w:line="600" w:lineRule="exact"/>
        <w:ind w:firstLine="640" w:firstLineChars="200"/>
        <w:rPr>
          <w:rFonts w:ascii="仿宋_GB2312" w:hAnsi="楷体" w:eastAsia="仿宋_GB2312"/>
          <w:sz w:val="32"/>
          <w:szCs w:val="32"/>
        </w:rPr>
      </w:pPr>
    </w:p>
    <w:p w14:paraId="29F72C5C">
      <w:pPr>
        <w:adjustRightInd w:val="0"/>
        <w:snapToGrid w:val="0"/>
        <w:spacing w:line="600" w:lineRule="exact"/>
        <w:ind w:firstLine="640" w:firstLineChars="200"/>
        <w:rPr>
          <w:rFonts w:ascii="仿宋_GB2312" w:hAnsi="楷体" w:eastAsia="仿宋_GB2312"/>
          <w:sz w:val="32"/>
          <w:szCs w:val="32"/>
        </w:rPr>
      </w:pPr>
    </w:p>
    <w:p w14:paraId="06DFA00B">
      <w:pPr>
        <w:adjustRightInd w:val="0"/>
        <w:snapToGrid w:val="0"/>
        <w:spacing w:line="600" w:lineRule="exact"/>
        <w:ind w:firstLine="640" w:firstLineChars="200"/>
        <w:rPr>
          <w:rFonts w:ascii="仿宋_GB2312" w:hAnsi="楷体" w:eastAsia="仿宋_GB2312"/>
          <w:sz w:val="32"/>
          <w:szCs w:val="32"/>
        </w:rPr>
      </w:pPr>
    </w:p>
    <w:p w14:paraId="7FA1CB93">
      <w:pPr>
        <w:adjustRightInd w:val="0"/>
        <w:snapToGrid w:val="0"/>
        <w:spacing w:line="600" w:lineRule="exact"/>
        <w:ind w:firstLine="640" w:firstLineChars="200"/>
        <w:rPr>
          <w:rFonts w:ascii="仿宋_GB2312" w:hAnsi="楷体" w:eastAsia="仿宋_GB2312"/>
          <w:sz w:val="32"/>
          <w:szCs w:val="32"/>
        </w:rPr>
      </w:pPr>
    </w:p>
    <w:tbl>
      <w:tblPr>
        <w:tblStyle w:val="5"/>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551BED95">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shd w:val="clear" w:color="auto" w:fill="auto"/>
            <w:vAlign w:val="center"/>
          </w:tcPr>
          <w:p w14:paraId="5E641BD1">
            <w:pPr>
              <w:keepNext w:val="0"/>
              <w:keepLines w:val="0"/>
              <w:suppressLineNumbers w:val="0"/>
              <w:spacing w:before="0" w:beforeAutospacing="0" w:after="0" w:afterAutospacing="0"/>
              <w:ind w:left="0" w:right="0"/>
              <w:rPr>
                <w:rFonts w:hint="default"/>
                <w:b/>
                <w:bCs/>
                <w:sz w:val="32"/>
                <w:szCs w:val="32"/>
              </w:rPr>
            </w:pPr>
          </w:p>
          <w:p w14:paraId="25A87E30">
            <w:pPr>
              <w:keepNext w:val="0"/>
              <w:keepLines w:val="0"/>
              <w:suppressLineNumbers w:val="0"/>
              <w:spacing w:before="0" w:beforeAutospacing="0" w:after="0" w:afterAutospacing="0"/>
              <w:ind w:left="0" w:right="0"/>
              <w:jc w:val="center"/>
              <w:rPr>
                <w:rFonts w:hint="default" w:ascii="宋体" w:hAnsi="宋体" w:eastAsia="宋体" w:cs="宋体"/>
                <w:b/>
                <w:bCs/>
                <w:sz w:val="32"/>
                <w:szCs w:val="32"/>
              </w:rPr>
            </w:pPr>
            <w:r>
              <w:rPr>
                <w:rFonts w:hint="eastAsia"/>
                <w:b/>
                <w:bCs/>
                <w:sz w:val="32"/>
                <w:szCs w:val="32"/>
              </w:rPr>
              <w:t>项目支出绩效目标表</w:t>
            </w:r>
          </w:p>
        </w:tc>
      </w:tr>
      <w:tr w14:paraId="0ABA8656">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shd w:val="clear" w:color="auto" w:fill="auto"/>
            <w:vAlign w:val="center"/>
          </w:tcPr>
          <w:p w14:paraId="02855294">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r>
              <w:rPr>
                <w:rFonts w:hint="eastAsia"/>
                <w:sz w:val="20"/>
                <w:szCs w:val="20"/>
                <w:lang w:eastAsia="zh-CN"/>
              </w:rPr>
              <w:t>2022</w:t>
            </w:r>
            <w:r>
              <w:rPr>
                <w:rFonts w:hint="eastAsia"/>
                <w:sz w:val="20"/>
                <w:szCs w:val="20"/>
              </w:rPr>
              <w:t xml:space="preserve"> 年度）</w:t>
            </w:r>
          </w:p>
        </w:tc>
      </w:tr>
      <w:tr w14:paraId="785EC56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822DB9">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shd w:val="clear" w:color="auto" w:fill="auto"/>
            <w:vAlign w:val="center"/>
          </w:tcPr>
          <w:p w14:paraId="7247BAFE">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ascii="Times New Roman" w:hAnsi="Times New Roman" w:eastAsia="宋体" w:cs="Times New Roman"/>
                <w:color w:val="auto"/>
                <w:kern w:val="0"/>
                <w:szCs w:val="21"/>
                <w:highlight w:val="none"/>
                <w:lang w:val="en-US" w:eastAsia="zh-CN"/>
              </w:rPr>
              <w:t>市场环卫</w:t>
            </w:r>
            <w:r>
              <w:rPr>
                <w:rFonts w:hint="eastAsia"/>
                <w:color w:val="000000"/>
                <w:sz w:val="20"/>
                <w:szCs w:val="20"/>
              </w:rPr>
              <w:t>　</w:t>
            </w:r>
          </w:p>
        </w:tc>
      </w:tr>
      <w:tr w14:paraId="452CD4F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5B7BE6">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14:paraId="23A76338">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ascii="Times New Roman" w:hAnsi="Times New Roman"/>
                <w:color w:val="000000"/>
                <w:kern w:val="0"/>
                <w:szCs w:val="21"/>
                <w:lang w:eastAsia="zh-CN"/>
              </w:rPr>
              <w:t>淮北市相山区渠沟镇人民政府</w:t>
            </w:r>
            <w:r>
              <w:rPr>
                <w:rFonts w:hint="eastAsia"/>
                <w:color w:val="000000"/>
                <w:sz w:val="20"/>
                <w:szCs w:val="20"/>
              </w:rPr>
              <w:t>　</w:t>
            </w:r>
          </w:p>
        </w:tc>
      </w:tr>
      <w:tr w14:paraId="1A75A6B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8D96F0">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14:paraId="765B9F99">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　</w:t>
            </w:r>
          </w:p>
        </w:tc>
      </w:tr>
      <w:tr w14:paraId="4603911D">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678CB5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shd w:val="clear" w:color="auto" w:fill="auto"/>
            <w:vAlign w:val="center"/>
          </w:tcPr>
          <w:p w14:paraId="43AA2F0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shd w:val="clear" w:color="auto" w:fill="auto"/>
            <w:vAlign w:val="center"/>
          </w:tcPr>
          <w:p w14:paraId="25DDFAFE">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14:paraId="39DE485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14:paraId="71C7A8C4">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r>
      <w:tr w14:paraId="05B0BCE0">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14:paraId="0508756D">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72DCF86D">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shd w:val="clear" w:color="auto" w:fill="auto"/>
            <w:vAlign w:val="center"/>
          </w:tcPr>
          <w:p w14:paraId="5B1954AA">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14:paraId="15447279">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14:paraId="157DE7AE">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olor w:val="000000"/>
                <w:kern w:val="0"/>
                <w:szCs w:val="21"/>
                <w:lang w:val="en-US" w:eastAsia="zh-CN"/>
              </w:rPr>
              <w:t>553</w:t>
            </w:r>
          </w:p>
        </w:tc>
      </w:tr>
      <w:tr w14:paraId="23D782BC">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14:paraId="49B584C2">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4187D0E5">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shd w:val="clear" w:color="auto" w:fill="auto"/>
            <w:vAlign w:val="center"/>
          </w:tcPr>
          <w:p w14:paraId="5801C073">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14:paraId="6E7F0AD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14:paraId="2436F511">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olor w:val="000000"/>
                <w:kern w:val="0"/>
                <w:szCs w:val="21"/>
                <w:lang w:val="en-US" w:eastAsia="zh-CN"/>
              </w:rPr>
              <w:t>553</w:t>
            </w:r>
            <w:r>
              <w:rPr>
                <w:rFonts w:hint="default" w:ascii="Times New Roman" w:hAnsi="Times New Roman"/>
                <w:kern w:val="0"/>
                <w:szCs w:val="21"/>
              </w:rPr>
              <w:t>　</w:t>
            </w:r>
          </w:p>
        </w:tc>
      </w:tr>
      <w:tr w14:paraId="2341DF53">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14:paraId="12A71137">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shd w:val="clear" w:color="auto" w:fill="auto"/>
            <w:vAlign w:val="center"/>
          </w:tcPr>
          <w:p w14:paraId="7B66FE56">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中期目标（20</w:t>
            </w:r>
            <w:r>
              <w:rPr>
                <w:rFonts w:hint="eastAsia"/>
                <w:sz w:val="20"/>
                <w:szCs w:val="20"/>
                <w:lang w:val="en-US" w:eastAsia="zh-CN"/>
              </w:rPr>
              <w:t>22</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C8A645D">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年度目标</w:t>
            </w:r>
          </w:p>
        </w:tc>
      </w:tr>
      <w:tr w14:paraId="34422DDD">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14:paraId="3A1438F6">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5411" w:type="dxa"/>
            <w:gridSpan w:val="5"/>
            <w:tcBorders>
              <w:top w:val="single" w:color="auto" w:sz="4" w:space="0"/>
              <w:left w:val="nil"/>
              <w:bottom w:val="single" w:color="auto" w:sz="4" w:space="0"/>
              <w:right w:val="nil"/>
            </w:tcBorders>
            <w:shd w:val="clear" w:color="auto" w:fill="auto"/>
          </w:tcPr>
          <w:p w14:paraId="2697BE84">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目标1：</w:t>
            </w:r>
            <w:r>
              <w:rPr>
                <w:rFonts w:hint="eastAsia"/>
                <w:sz w:val="20"/>
                <w:szCs w:val="20"/>
              </w:rPr>
              <w:br w:type="textWrapping"/>
            </w:r>
            <w:r>
              <w:rPr>
                <w:rFonts w:hint="eastAsia"/>
                <w:sz w:val="20"/>
                <w:szCs w:val="20"/>
              </w:rPr>
              <w:t xml:space="preserve"> 目标2：</w:t>
            </w:r>
            <w:r>
              <w:rPr>
                <w:rFonts w:hint="eastAsia"/>
                <w:sz w:val="20"/>
                <w:szCs w:val="20"/>
              </w:rPr>
              <w:br w:type="textWrapping"/>
            </w:r>
            <w:r>
              <w:rPr>
                <w:rFonts w:hint="eastAsia"/>
                <w:sz w:val="20"/>
                <w:szCs w:val="20"/>
              </w:rPr>
              <w:t xml:space="preserve"> ……</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tcPr>
          <w:p w14:paraId="73DC7778">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r>
              <w:rPr>
                <w:rFonts w:hint="eastAsia"/>
                <w:sz w:val="20"/>
                <w:szCs w:val="20"/>
                <w:lang w:val="en-US" w:eastAsia="zh-CN"/>
              </w:rPr>
              <w:t xml:space="preserve">  </w:t>
            </w:r>
            <w:r>
              <w:rPr>
                <w:rFonts w:hint="eastAsia"/>
                <w:sz w:val="20"/>
                <w:szCs w:val="20"/>
              </w:rPr>
              <w:t>目标1：</w:t>
            </w:r>
            <w:r>
              <w:rPr>
                <w:rFonts w:hint="eastAsia" w:ascii="Times New Roman" w:hAnsi="Times New Roman"/>
                <w:color w:val="auto"/>
                <w:kern w:val="0"/>
                <w:szCs w:val="21"/>
                <w:highlight w:val="none"/>
                <w:lang w:eastAsia="zh-CN"/>
              </w:rPr>
              <w:t>市场环卫</w:t>
            </w:r>
            <w:r>
              <w:rPr>
                <w:rFonts w:hint="eastAsia" w:ascii="Times New Roman" w:hAnsi="Times New Roman"/>
                <w:color w:val="auto"/>
                <w:kern w:val="0"/>
                <w:szCs w:val="21"/>
                <w:highlight w:val="none"/>
              </w:rPr>
              <w:t>工作经费用于保障</w:t>
            </w:r>
            <w:r>
              <w:rPr>
                <w:rFonts w:hint="eastAsia" w:ascii="Times New Roman" w:hAnsi="Times New Roman"/>
                <w:color w:val="auto"/>
                <w:kern w:val="0"/>
                <w:szCs w:val="21"/>
                <w:highlight w:val="none"/>
                <w:lang w:eastAsia="zh-CN"/>
              </w:rPr>
              <w:t>市场环卫工作的</w:t>
            </w:r>
            <w:r>
              <w:rPr>
                <w:rFonts w:hint="eastAsia" w:ascii="Times New Roman" w:hAnsi="Times New Roman"/>
                <w:color w:val="auto"/>
                <w:kern w:val="0"/>
                <w:szCs w:val="21"/>
                <w:highlight w:val="none"/>
              </w:rPr>
              <w:t>正常运转</w:t>
            </w:r>
            <w:r>
              <w:rPr>
                <w:rFonts w:hint="eastAsia" w:ascii="Times New Roman" w:hAnsi="Times New Roman"/>
                <w:color w:val="000000"/>
                <w:kern w:val="0"/>
                <w:szCs w:val="21"/>
                <w:lang w:eastAsia="zh-CN"/>
              </w:rPr>
              <w:t>。</w:t>
            </w:r>
          </w:p>
        </w:tc>
      </w:tr>
      <w:tr w14:paraId="08F04E5D">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14:paraId="61DAC27B">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shd w:val="clear" w:color="auto" w:fill="auto"/>
            <w:vAlign w:val="center"/>
          </w:tcPr>
          <w:p w14:paraId="40C8F106">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shd w:val="clear" w:color="auto" w:fill="auto"/>
            <w:vAlign w:val="center"/>
          </w:tcPr>
          <w:p w14:paraId="7E626333">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14:paraId="770813DD">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14:paraId="43EBB6A8">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shd w:val="clear" w:color="auto" w:fill="auto"/>
            <w:vAlign w:val="center"/>
          </w:tcPr>
          <w:p w14:paraId="674505E1">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shd w:val="clear" w:color="auto" w:fill="auto"/>
            <w:vAlign w:val="center"/>
          </w:tcPr>
          <w:p w14:paraId="14B3735B">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shd w:val="clear" w:color="auto" w:fill="auto"/>
            <w:vAlign w:val="center"/>
          </w:tcPr>
          <w:p w14:paraId="456EB491">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14:paraId="61C451EE">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nil"/>
            </w:tcBorders>
            <w:shd w:val="clear" w:color="auto" w:fill="auto"/>
            <w:vAlign w:val="center"/>
          </w:tcPr>
          <w:p w14:paraId="2F055EC0">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shd w:val="clear" w:color="auto" w:fill="auto"/>
            <w:vAlign w:val="center"/>
          </w:tcPr>
          <w:p w14:paraId="320E50CE">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shd w:val="clear" w:color="auto" w:fill="auto"/>
            <w:vAlign w:val="center"/>
          </w:tcPr>
          <w:p w14:paraId="4CEFD99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绩效标准</w:t>
            </w:r>
          </w:p>
        </w:tc>
      </w:tr>
      <w:tr w14:paraId="24192EA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62EDC476">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26D846">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2B17A34A">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14:paraId="6F08BAF4">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14:paraId="48B235DF">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14:paraId="6ECD80EB">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66578FE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14:paraId="07FC99B1">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14:paraId="68C432D2">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14:paraId="0C0851F3">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14:paraId="6E5679E6">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20</w:t>
            </w:r>
          </w:p>
        </w:tc>
        <w:tc>
          <w:tcPr>
            <w:tcW w:w="641" w:type="dxa"/>
            <w:tcBorders>
              <w:top w:val="nil"/>
              <w:left w:val="nil"/>
              <w:bottom w:val="single" w:color="auto" w:sz="4" w:space="0"/>
              <w:right w:val="single" w:color="auto" w:sz="4" w:space="0"/>
            </w:tcBorders>
            <w:shd w:val="clear" w:color="auto" w:fill="auto"/>
            <w:vAlign w:val="center"/>
          </w:tcPr>
          <w:p w14:paraId="7F1F5E01">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4898AA9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623D718A">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3366A0F6">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0AADE3CC">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570157C3">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14:paraId="23DD1477">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48CDAC5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4849244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14:paraId="114B5F69">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14:paraId="1768FC9C">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095A8905">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4963382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2F9DB45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56A701C">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573399B7">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14:paraId="17B8945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14:paraId="3377AE0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14:paraId="421BA00B">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6D7596E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14:paraId="1917D2F9">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14:paraId="2FC208EB">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14:paraId="6485949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14:paraId="64D203F4">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14:paraId="6C03EFAC">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202345D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14EAF3D6">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1435859D">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2EB6BE7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53540801">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14:paraId="09EBF1EF">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5A940C2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1AB33690">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14:paraId="20B3809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14:paraId="0D2E41C1">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7F9F3651">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6551972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01A1AE03">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4BD552E7">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30F91866">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14:paraId="2BB3A43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14:paraId="5A22F05B">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14:paraId="7A9AFC0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7EB4836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14:paraId="702AA231">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14:paraId="01ECE5EC">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14:paraId="4FCD51FF">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14:paraId="7939F0F9">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14:paraId="6139DB94">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24719F6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78332118">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3341B5A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46A2966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1988F8E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14:paraId="26C0A370">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76B43F25">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66FAE222">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14:paraId="457EF70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14:paraId="13429725">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7CF7D765">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392FCFC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399CB9BD">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25C1621B">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390D3152">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14:paraId="38C60C27">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14:paraId="05EAAD08">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14:paraId="0F6EC82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6FE77800">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14:paraId="1EA88C3D">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14:paraId="07DF3069">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14:paraId="51F5546C">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14:paraId="4FD523B0">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14:paraId="4FFB4779">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371EC92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35A48A7F">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53A60C9F">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61E5CE28">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7E15AD9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14:paraId="2AB94C60">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1674BFF8">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68C0AAC2">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14:paraId="094F9E3C">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14:paraId="186692B0">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7DF49683">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71BB44C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6F7F376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2CE5714B">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nil"/>
              <w:bottom w:val="single" w:color="auto" w:sz="4" w:space="0"/>
              <w:right w:val="single" w:color="auto" w:sz="4" w:space="0"/>
            </w:tcBorders>
            <w:shd w:val="clear" w:color="auto" w:fill="auto"/>
            <w:vAlign w:val="center"/>
          </w:tcPr>
          <w:p w14:paraId="01D1775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shd w:val="clear" w:color="auto" w:fill="auto"/>
            <w:vAlign w:val="center"/>
          </w:tcPr>
          <w:p w14:paraId="00C77F41">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shd w:val="clear" w:color="auto" w:fill="auto"/>
            <w:vAlign w:val="center"/>
          </w:tcPr>
          <w:p w14:paraId="6B5CA79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695A8D47">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shd w:val="clear" w:color="auto" w:fill="auto"/>
            <w:vAlign w:val="center"/>
          </w:tcPr>
          <w:p w14:paraId="3517B7E8">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shd w:val="clear" w:color="auto" w:fill="auto"/>
            <w:vAlign w:val="center"/>
          </w:tcPr>
          <w:p w14:paraId="0479C5A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23" w:type="dxa"/>
            <w:tcBorders>
              <w:top w:val="nil"/>
              <w:left w:val="nil"/>
              <w:bottom w:val="single" w:color="auto" w:sz="4" w:space="0"/>
              <w:right w:val="single" w:color="auto" w:sz="4" w:space="0"/>
            </w:tcBorders>
            <w:shd w:val="clear" w:color="auto" w:fill="auto"/>
            <w:vAlign w:val="center"/>
          </w:tcPr>
          <w:p w14:paraId="03974940">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4AF25974">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4E71F02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67CCAAE1">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651EBB3E">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675D6342">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shd w:val="clear" w:color="auto" w:fill="auto"/>
            <w:vAlign w:val="center"/>
          </w:tcPr>
          <w:p w14:paraId="2D36D82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14:paraId="1291D45F">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34A2A794">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14:paraId="719BACE6">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经济效</w:t>
            </w:r>
          </w:p>
          <w:p w14:paraId="1A8D47EE">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shd w:val="clear" w:color="auto" w:fill="auto"/>
            <w:vAlign w:val="center"/>
          </w:tcPr>
          <w:p w14:paraId="2848BE94">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14:paraId="3397EAEA">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1E472F05">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00F8886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13BAC1C2">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121D8A76">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373C670B">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4DB8896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14:paraId="1B0C0EB9">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3DEB638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111999F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14:paraId="4D30FBC5">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14:paraId="1AB0237B">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320CC3EB">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6C20513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00F99F37">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608DF09F">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09279B7A">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shd w:val="clear" w:color="auto" w:fill="auto"/>
            <w:vAlign w:val="center"/>
          </w:tcPr>
          <w:p w14:paraId="2D33CA9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14:paraId="16625F0C">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69911732">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14:paraId="4CDE9259">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社会效</w:t>
            </w:r>
          </w:p>
          <w:p w14:paraId="6DBB9819">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shd w:val="clear" w:color="auto" w:fill="auto"/>
            <w:vAlign w:val="center"/>
          </w:tcPr>
          <w:p w14:paraId="3C446AA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14:paraId="2878C02D">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20</w:t>
            </w:r>
          </w:p>
        </w:tc>
        <w:tc>
          <w:tcPr>
            <w:tcW w:w="641" w:type="dxa"/>
            <w:tcBorders>
              <w:top w:val="nil"/>
              <w:left w:val="nil"/>
              <w:bottom w:val="single" w:color="auto" w:sz="4" w:space="0"/>
              <w:right w:val="single" w:color="auto" w:sz="4" w:space="0"/>
            </w:tcBorders>
            <w:shd w:val="clear" w:color="auto" w:fill="auto"/>
            <w:vAlign w:val="center"/>
          </w:tcPr>
          <w:p w14:paraId="1D8C873B">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19FDD89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0A96D66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13F77734">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66A156B7">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1F09BFC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14:paraId="47AD003B">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7A9ABD32">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0F27BD1C">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14:paraId="5DA4E932">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14:paraId="5B9437D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66DDA36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3F17256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5A64F686">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1F23089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72F1453B">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shd w:val="clear" w:color="auto" w:fill="auto"/>
            <w:vAlign w:val="center"/>
          </w:tcPr>
          <w:p w14:paraId="2134BDBF">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14:paraId="270F9D6D">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0575860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14:paraId="162BF8D6">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shd w:val="clear" w:color="auto" w:fill="auto"/>
            <w:vAlign w:val="center"/>
          </w:tcPr>
          <w:p w14:paraId="2DE3469F">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14:paraId="1D055B67">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14:paraId="48B66BFB">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6E0CC16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604C3ED2">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37019B66">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48E6E6EE">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695D495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14:paraId="57761929">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0D404DA4">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19476ABD">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14:paraId="08CEE84C">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14:paraId="54C37B45">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1D0BD9AB">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26EDDCF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0FFFDBEC">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1A6F3861">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61838ACE">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14:paraId="61B9FEEC">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14:paraId="7D8AAAD3">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50A82C84">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14:paraId="4EB7A2F2">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可持续</w:t>
            </w:r>
          </w:p>
          <w:p w14:paraId="0056F744">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影响</w:t>
            </w:r>
          </w:p>
          <w:p w14:paraId="4ADBED2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14:paraId="515DA9BF">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14:paraId="710509CA">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14:paraId="065ED0ED">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2348EB0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536B635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5527F05D">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400AB3F0">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7D28993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14:paraId="076F935D">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63496D4B">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68299FF4">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14:paraId="1A481CF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14:paraId="30B9E629">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6A94F043">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3747DDC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1FF28EA1">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7503DD4C">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nil"/>
              <w:bottom w:val="single" w:color="auto" w:sz="4" w:space="0"/>
              <w:right w:val="single" w:color="auto" w:sz="4" w:space="0"/>
            </w:tcBorders>
            <w:shd w:val="clear" w:color="auto" w:fill="auto"/>
            <w:vAlign w:val="center"/>
          </w:tcPr>
          <w:p w14:paraId="1C82F658">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shd w:val="clear" w:color="auto" w:fill="auto"/>
            <w:vAlign w:val="center"/>
          </w:tcPr>
          <w:p w14:paraId="6128CEC0">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shd w:val="clear" w:color="auto" w:fill="auto"/>
            <w:vAlign w:val="center"/>
          </w:tcPr>
          <w:p w14:paraId="51B5808C">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4EEA092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shd w:val="clear" w:color="auto" w:fill="auto"/>
            <w:vAlign w:val="center"/>
          </w:tcPr>
          <w:p w14:paraId="52DCE22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1040" w:type="dxa"/>
            <w:tcBorders>
              <w:top w:val="nil"/>
              <w:left w:val="nil"/>
              <w:bottom w:val="single" w:color="auto" w:sz="4" w:space="0"/>
              <w:right w:val="nil"/>
            </w:tcBorders>
            <w:shd w:val="clear" w:color="auto" w:fill="auto"/>
            <w:vAlign w:val="center"/>
          </w:tcPr>
          <w:p w14:paraId="3C75A283">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shd w:val="clear" w:color="auto" w:fill="auto"/>
            <w:vAlign w:val="center"/>
          </w:tcPr>
          <w:p w14:paraId="694C4E9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14:paraId="324E9920">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44FEB9B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7184F385">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14:paraId="65C6EF16">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2D361F90">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shd w:val="clear" w:color="auto" w:fill="auto"/>
            <w:vAlign w:val="center"/>
          </w:tcPr>
          <w:p w14:paraId="2D6D9DB5">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14:paraId="781B60D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6043F37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14:paraId="1A34DD65">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服务对</w:t>
            </w:r>
          </w:p>
          <w:p w14:paraId="4362FA59">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象满意</w:t>
            </w:r>
          </w:p>
          <w:p w14:paraId="2A639ED9">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shd w:val="clear" w:color="auto" w:fill="auto"/>
            <w:vAlign w:val="center"/>
          </w:tcPr>
          <w:p w14:paraId="410BBB2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14:paraId="4AA01DD5">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14:paraId="1180FDB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31AD8F6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58CA988F">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4B2C6F21">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09B643C3">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14:paraId="363AC222">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14:paraId="30639E34">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7E64F950">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15091D21">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14:paraId="63C7F855">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14:paraId="66A5D3E6">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shd w:val="clear" w:color="auto" w:fill="auto"/>
            <w:vAlign w:val="center"/>
          </w:tcPr>
          <w:p w14:paraId="698B207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14:paraId="2CD56E5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10E75DA9">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162530AC">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nil"/>
              <w:bottom w:val="single" w:color="auto" w:sz="4" w:space="0"/>
              <w:right w:val="single" w:color="auto" w:sz="4" w:space="0"/>
            </w:tcBorders>
            <w:shd w:val="clear" w:color="auto" w:fill="auto"/>
            <w:vAlign w:val="center"/>
          </w:tcPr>
          <w:p w14:paraId="5C66F58C">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shd w:val="clear" w:color="auto" w:fill="auto"/>
            <w:vAlign w:val="center"/>
          </w:tcPr>
          <w:p w14:paraId="3D337E1E">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shd w:val="clear" w:color="auto" w:fill="auto"/>
            <w:vAlign w:val="center"/>
          </w:tcPr>
          <w:p w14:paraId="035D62CF">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14:paraId="6C4F40B6">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shd w:val="clear" w:color="auto" w:fill="auto"/>
            <w:vAlign w:val="center"/>
          </w:tcPr>
          <w:p w14:paraId="03B20D13">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1040" w:type="dxa"/>
            <w:tcBorders>
              <w:top w:val="nil"/>
              <w:left w:val="nil"/>
              <w:bottom w:val="single" w:color="auto" w:sz="4" w:space="0"/>
              <w:right w:val="nil"/>
            </w:tcBorders>
            <w:shd w:val="clear" w:color="auto" w:fill="auto"/>
            <w:vAlign w:val="center"/>
          </w:tcPr>
          <w:p w14:paraId="4F306837">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shd w:val="clear" w:color="auto" w:fill="auto"/>
            <w:vAlign w:val="center"/>
          </w:tcPr>
          <w:p w14:paraId="78E2679A">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shd w:val="clear" w:color="auto" w:fill="auto"/>
            <w:vAlign w:val="center"/>
          </w:tcPr>
          <w:p w14:paraId="5547D9C2">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bl>
    <w:p w14:paraId="7FCF5B17">
      <w:pPr>
        <w:adjustRightInd w:val="0"/>
        <w:snapToGrid w:val="0"/>
        <w:spacing w:line="600" w:lineRule="exact"/>
        <w:ind w:firstLine="803" w:firstLineChars="250"/>
        <w:rPr>
          <w:rFonts w:ascii="仿宋_GB2312" w:hAnsi="楷体" w:eastAsia="仿宋_GB2312"/>
          <w:b/>
          <w:sz w:val="32"/>
          <w:szCs w:val="32"/>
        </w:rPr>
      </w:pPr>
    </w:p>
    <w:p w14:paraId="7996E676">
      <w:pPr>
        <w:adjustRightInd w:val="0"/>
        <w:snapToGrid w:val="0"/>
        <w:spacing w:line="600" w:lineRule="exact"/>
        <w:ind w:firstLine="803" w:firstLineChars="250"/>
        <w:rPr>
          <w:rFonts w:ascii="仿宋_GB2312" w:hAnsi="楷体" w:eastAsia="仿宋_GB2312"/>
          <w:b/>
          <w:sz w:val="32"/>
          <w:szCs w:val="32"/>
        </w:rPr>
      </w:pPr>
    </w:p>
    <w:p w14:paraId="72CD92F5">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14:paraId="52ED0FEA">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eastAsia="zh-CN"/>
        </w:rPr>
        <w:t>相山区渠沟镇人民政府</w:t>
      </w:r>
      <w:r>
        <w:rPr>
          <w:rFonts w:hint="eastAsia" w:ascii="仿宋_GB2312" w:hAnsi="仿宋" w:eastAsia="仿宋_GB2312"/>
          <w:sz w:val="32"/>
          <w:szCs w:val="32"/>
          <w:lang w:eastAsia="zh-CN"/>
        </w:rPr>
        <w:t>2022</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31</w:t>
      </w:r>
      <w:r>
        <w:rPr>
          <w:rFonts w:hint="eastAsia" w:ascii="仿宋_GB2312" w:hAnsi="仿宋" w:eastAsia="仿宋_GB2312"/>
          <w:sz w:val="32"/>
          <w:szCs w:val="32"/>
          <w:highlight w:val="none"/>
          <w:lang w:val="en-US" w:eastAsia="zh-CN"/>
        </w:rPr>
        <w:t>1.52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441.42</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58.6</w:t>
      </w:r>
      <w:r>
        <w:rPr>
          <w:rFonts w:hint="eastAsia" w:ascii="仿宋_GB2312" w:hAnsi="仿宋" w:eastAsia="仿宋_GB2312"/>
          <w:sz w:val="32"/>
          <w:szCs w:val="32"/>
          <w:highlight w:val="none"/>
        </w:rPr>
        <w:t>%，下降主要原因是</w:t>
      </w:r>
      <w:r>
        <w:rPr>
          <w:rFonts w:hint="eastAsia" w:ascii="仿宋" w:hAnsi="宋体" w:eastAsia="仿宋" w:cs="宋体"/>
          <w:color w:val="auto"/>
          <w:kern w:val="0"/>
          <w:sz w:val="32"/>
          <w:szCs w:val="32"/>
          <w:highlight w:val="none"/>
          <w:shd w:val="clear" w:color="auto" w:fill="FFFFFF"/>
        </w:rPr>
        <w:t>预算金额安排计划</w:t>
      </w:r>
      <w:r>
        <w:rPr>
          <w:rFonts w:hint="eastAsia" w:ascii="仿宋" w:hAnsi="宋体" w:eastAsia="仿宋" w:cs="宋体"/>
          <w:color w:val="auto"/>
          <w:kern w:val="0"/>
          <w:sz w:val="32"/>
          <w:szCs w:val="32"/>
          <w:highlight w:val="none"/>
          <w:shd w:val="clear" w:color="auto" w:fill="FFFFFF"/>
          <w:lang w:eastAsia="zh-CN"/>
        </w:rPr>
        <w:t>减少</w:t>
      </w:r>
      <w:r>
        <w:rPr>
          <w:rFonts w:hint="eastAsia" w:ascii="仿宋_GB2312" w:hAnsi="仿宋" w:eastAsia="仿宋_GB2312"/>
          <w:sz w:val="32"/>
          <w:szCs w:val="32"/>
          <w:highlight w:val="none"/>
        </w:rPr>
        <w:t>。</w:t>
      </w:r>
    </w:p>
    <w:p w14:paraId="39548090">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14:paraId="7E4A1F2C">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lang w:eastAsia="zh-CN"/>
        </w:rPr>
        <w:t>相山区渠沟镇人民政府</w:t>
      </w:r>
      <w:r>
        <w:rPr>
          <w:rFonts w:hint="eastAsia" w:ascii="仿宋_GB2312" w:hAnsi="楷体" w:eastAsia="仿宋_GB2312"/>
          <w:sz w:val="32"/>
          <w:szCs w:val="32"/>
          <w:lang w:eastAsia="zh-CN"/>
        </w:rPr>
        <w:t>2022</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14:paraId="38BB232F">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14:paraId="1FF3586D">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2021</w:t>
      </w:r>
      <w:r>
        <w:rPr>
          <w:rFonts w:hint="eastAsia" w:ascii="仿宋_GB2312" w:hAnsi="仿宋" w:eastAsia="仿宋_GB2312"/>
          <w:sz w:val="32"/>
          <w:szCs w:val="32"/>
        </w:rPr>
        <w:t>年12月31日，</w:t>
      </w:r>
      <w:r>
        <w:rPr>
          <w:rFonts w:hint="eastAsia" w:ascii="仿宋_GB2312" w:hAnsi="仿宋" w:eastAsia="仿宋_GB2312" w:cs="宋体"/>
          <w:kern w:val="0"/>
          <w:sz w:val="32"/>
          <w:szCs w:val="32"/>
          <w:lang w:eastAsia="zh-CN"/>
        </w:rPr>
        <w:t>相山区渠沟镇人民政府</w:t>
      </w:r>
      <w:r>
        <w:rPr>
          <w:rFonts w:hint="eastAsia" w:ascii="仿宋_GB2312" w:hAnsi="楷体" w:eastAsia="仿宋_GB2312"/>
          <w:sz w:val="32"/>
          <w:szCs w:val="32"/>
        </w:rPr>
        <w:t>共有</w:t>
      </w:r>
      <w:r>
        <w:rPr>
          <w:rFonts w:hint="eastAsia" w:ascii="仿宋_GB2312" w:hAnsi="楷体" w:eastAsia="仿宋_GB2312"/>
          <w:sz w:val="32"/>
          <w:szCs w:val="32"/>
          <w:highlight w:val="none"/>
        </w:rPr>
        <w:t>车辆</w:t>
      </w:r>
      <w:r>
        <w:rPr>
          <w:rFonts w:hint="eastAsia" w:ascii="仿宋_GB2312" w:hAnsi="楷体" w:eastAsia="仿宋_GB2312"/>
          <w:sz w:val="32"/>
          <w:szCs w:val="32"/>
          <w:highlight w:val="none"/>
          <w:lang w:val="en-US" w:eastAsia="zh-CN"/>
        </w:rPr>
        <w:t>3</w:t>
      </w:r>
      <w:r>
        <w:rPr>
          <w:rFonts w:hint="eastAsia" w:ascii="仿宋_GB2312" w:hAnsi="楷体" w:eastAsia="仿宋_GB2312"/>
          <w:sz w:val="32"/>
          <w:szCs w:val="32"/>
          <w:highlight w:val="none"/>
        </w:rPr>
        <w:t>辆，其中：主要领导干部用车</w:t>
      </w:r>
      <w:r>
        <w:rPr>
          <w:rFonts w:hint="eastAsia" w:ascii="仿宋_GB2312" w:hAnsi="楷体" w:eastAsia="仿宋_GB2312"/>
          <w:sz w:val="32"/>
          <w:szCs w:val="32"/>
          <w:highlight w:val="none"/>
          <w:lang w:val="en-US" w:eastAsia="zh-CN"/>
        </w:rPr>
        <w:t>1</w:t>
      </w:r>
      <w:r>
        <w:rPr>
          <w:rFonts w:hint="eastAsia" w:ascii="仿宋_GB2312" w:hAnsi="楷体" w:eastAsia="仿宋_GB2312"/>
          <w:sz w:val="32"/>
          <w:szCs w:val="32"/>
          <w:highlight w:val="none"/>
        </w:rPr>
        <w:t>辆、执法执勤用车</w:t>
      </w:r>
      <w:r>
        <w:rPr>
          <w:rFonts w:hint="eastAsia" w:ascii="仿宋_GB2312" w:hAnsi="楷体" w:eastAsia="仿宋_GB2312"/>
          <w:sz w:val="32"/>
          <w:szCs w:val="32"/>
          <w:highlight w:val="none"/>
          <w:lang w:val="en-US" w:eastAsia="zh-CN"/>
        </w:rPr>
        <w:t>2</w:t>
      </w:r>
      <w:r>
        <w:rPr>
          <w:rFonts w:hint="eastAsia" w:ascii="仿宋_GB2312" w:hAnsi="楷体" w:eastAsia="仿宋_GB2312"/>
          <w:sz w:val="32"/>
          <w:szCs w:val="32"/>
          <w:highlight w:val="none"/>
        </w:rPr>
        <w:t>辆。单位价值50万元以上的通用设备</w:t>
      </w:r>
      <w:r>
        <w:rPr>
          <w:rFonts w:hint="eastAsia" w:ascii="仿宋_GB2312" w:hAnsi="楷体" w:eastAsia="仿宋_GB2312"/>
          <w:sz w:val="32"/>
          <w:szCs w:val="32"/>
          <w:highlight w:val="none"/>
          <w:lang w:val="en-US" w:eastAsia="zh-CN"/>
        </w:rPr>
        <w:t>0</w:t>
      </w:r>
      <w:r>
        <w:rPr>
          <w:rFonts w:hint="eastAsia" w:ascii="仿宋_GB2312" w:hAnsi="楷体" w:eastAsia="仿宋_GB2312"/>
          <w:sz w:val="32"/>
          <w:szCs w:val="32"/>
          <w:highlight w:val="none"/>
        </w:rPr>
        <w:t>台（套），单位价值100万元</w:t>
      </w:r>
      <w:r>
        <w:rPr>
          <w:rFonts w:hint="eastAsia" w:ascii="仿宋_GB2312" w:hAnsi="楷体" w:eastAsia="仿宋_GB2312"/>
          <w:sz w:val="32"/>
          <w:szCs w:val="32"/>
        </w:rPr>
        <w:t>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14:paraId="1839CDAD">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2022</w:t>
      </w:r>
      <w:r>
        <w:rPr>
          <w:rFonts w:hint="eastAsia" w:ascii="仿宋_GB2312" w:hAnsi="楷体" w:eastAsia="仿宋_GB2312"/>
          <w:sz w:val="32"/>
          <w:szCs w:val="32"/>
        </w:rPr>
        <w:t>年</w:t>
      </w:r>
      <w:r>
        <w:rPr>
          <w:rFonts w:hint="eastAsia" w:ascii="仿宋" w:hAnsi="宋体" w:eastAsia="仿宋" w:cs="宋体"/>
          <w:color w:val="auto"/>
          <w:kern w:val="0"/>
          <w:sz w:val="32"/>
          <w:szCs w:val="32"/>
          <w:shd w:val="clear" w:color="auto" w:fill="FFFFFF"/>
        </w:rPr>
        <w:t>相山区渠沟镇无购置公务用车预算安排</w:t>
      </w:r>
      <w:r>
        <w:rPr>
          <w:rFonts w:hint="eastAsia" w:ascii="仿宋_GB2312" w:hAnsi="楷体" w:eastAsia="仿宋_GB2312"/>
          <w:sz w:val="32"/>
          <w:szCs w:val="32"/>
        </w:rPr>
        <w:t>，购置费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r>
        <w:rPr>
          <w:rFonts w:hint="eastAsia" w:ascii="仿宋_GB2312" w:hAnsi="楷体" w:eastAsia="仿宋_GB2312"/>
          <w:sz w:val="32"/>
          <w:szCs w:val="32"/>
          <w:lang w:eastAsia="zh-CN"/>
        </w:rPr>
        <w:t>无</w:t>
      </w:r>
      <w:r>
        <w:rPr>
          <w:rFonts w:hint="eastAsia" w:ascii="仿宋_GB2312" w:hAnsi="楷体" w:eastAsia="仿宋_GB2312"/>
          <w:sz w:val="32"/>
          <w:szCs w:val="32"/>
        </w:rPr>
        <w:t>购置单位价值50万元以上的通用设备</w:t>
      </w:r>
      <w:r>
        <w:rPr>
          <w:rFonts w:hint="eastAsia" w:ascii="仿宋_GB2312" w:hAnsi="楷体" w:eastAsia="仿宋_GB2312"/>
          <w:sz w:val="32"/>
          <w:szCs w:val="32"/>
          <w:lang w:eastAsia="zh-CN"/>
        </w:rPr>
        <w:t>预算安排</w:t>
      </w:r>
      <w:r>
        <w:rPr>
          <w:rFonts w:hint="eastAsia" w:ascii="仿宋_GB2312" w:hAnsi="楷体" w:eastAsia="仿宋_GB2312"/>
          <w:sz w:val="32"/>
          <w:szCs w:val="32"/>
        </w:rPr>
        <w:t>；</w:t>
      </w:r>
      <w:r>
        <w:rPr>
          <w:rFonts w:hint="eastAsia" w:ascii="仿宋_GB2312" w:hAnsi="楷体" w:eastAsia="仿宋_GB2312"/>
          <w:sz w:val="32"/>
          <w:szCs w:val="32"/>
          <w:lang w:eastAsia="zh-CN"/>
        </w:rPr>
        <w:t>无</w:t>
      </w:r>
      <w:r>
        <w:rPr>
          <w:rFonts w:hint="eastAsia" w:ascii="仿宋_GB2312" w:hAnsi="楷体" w:eastAsia="仿宋_GB2312"/>
          <w:sz w:val="32"/>
          <w:szCs w:val="32"/>
        </w:rPr>
        <w:t>购置单位价值100万元以上专用设备</w:t>
      </w:r>
      <w:r>
        <w:rPr>
          <w:rFonts w:hint="eastAsia" w:ascii="仿宋_GB2312" w:hAnsi="楷体" w:eastAsia="仿宋_GB2312"/>
          <w:sz w:val="32"/>
          <w:szCs w:val="32"/>
          <w:lang w:eastAsia="zh-CN"/>
        </w:rPr>
        <w:t>安排</w:t>
      </w:r>
      <w:r>
        <w:rPr>
          <w:rFonts w:hint="eastAsia" w:ascii="仿宋_GB2312" w:hAnsi="楷体" w:eastAsia="仿宋_GB2312"/>
          <w:sz w:val="32"/>
          <w:szCs w:val="32"/>
        </w:rPr>
        <w:t>，购置费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14:paraId="648DBF30">
      <w:pPr>
        <w:pStyle w:val="2"/>
      </w:pPr>
    </w:p>
    <w:p w14:paraId="5275619E">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14:paraId="4A23F5BF">
      <w:pPr>
        <w:adjustRightInd w:val="0"/>
        <w:snapToGrid w:val="0"/>
        <w:spacing w:line="600" w:lineRule="exact"/>
        <w:ind w:firstLine="640" w:firstLineChars="200"/>
        <w:outlineLvl w:val="0"/>
      </w:pP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cs="宋体"/>
          <w:kern w:val="0"/>
          <w:sz w:val="32"/>
          <w:szCs w:val="32"/>
          <w:lang w:eastAsia="zh-CN"/>
        </w:rPr>
        <w:t>相山区渠沟镇人民政府</w:t>
      </w:r>
      <w:r>
        <w:rPr>
          <w:rFonts w:hint="eastAsia" w:ascii="仿宋_GB2312" w:hAnsi="仿宋" w:eastAsia="仿宋_GB2312"/>
          <w:sz w:val="32"/>
          <w:szCs w:val="32"/>
          <w:lang w:val="en-US" w:eastAsia="zh-CN"/>
        </w:rPr>
        <w:t>1</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553</w:t>
      </w:r>
      <w:r>
        <w:rPr>
          <w:rFonts w:hint="eastAsia" w:ascii="仿宋_GB2312" w:hAnsi="仿宋" w:eastAsia="仿宋_GB2312"/>
          <w:sz w:val="32"/>
          <w:szCs w:val="32"/>
        </w:rPr>
        <w:t>万元。</w:t>
      </w:r>
    </w:p>
    <w:p w14:paraId="311AB216">
      <w:pPr>
        <w:tabs>
          <w:tab w:val="left" w:pos="3316"/>
        </w:tabs>
        <w:adjustRightInd w:val="0"/>
        <w:snapToGrid w:val="0"/>
        <w:spacing w:line="600" w:lineRule="exact"/>
        <w:outlineLvl w:val="0"/>
        <w:rPr>
          <w:rFonts w:ascii="黑体" w:eastAsia="黑体" w:cs="宋体"/>
          <w:sz w:val="36"/>
          <w:szCs w:val="36"/>
        </w:rPr>
      </w:pPr>
    </w:p>
    <w:p w14:paraId="29F6DE29">
      <w:pPr>
        <w:pStyle w:val="2"/>
        <w:rPr>
          <w:rFonts w:ascii="黑体" w:eastAsia="黑体" w:cs="宋体"/>
          <w:sz w:val="36"/>
          <w:szCs w:val="36"/>
        </w:rPr>
      </w:pPr>
    </w:p>
    <w:p w14:paraId="4B747C4B">
      <w:pPr>
        <w:pStyle w:val="2"/>
        <w:rPr>
          <w:rFonts w:ascii="黑体" w:eastAsia="黑体" w:cs="宋体"/>
          <w:sz w:val="36"/>
          <w:szCs w:val="36"/>
        </w:rPr>
      </w:pPr>
    </w:p>
    <w:p w14:paraId="1371D917">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14:paraId="31F47BBA">
      <w:pPr>
        <w:adjustRightInd w:val="0"/>
        <w:snapToGrid w:val="0"/>
        <w:spacing w:line="600" w:lineRule="exact"/>
        <w:jc w:val="center"/>
        <w:rPr>
          <w:rFonts w:ascii="黑体" w:hAnsi="黑体" w:eastAsia="黑体"/>
          <w:sz w:val="32"/>
          <w:szCs w:val="32"/>
        </w:rPr>
      </w:pPr>
    </w:p>
    <w:p w14:paraId="5A135206">
      <w:pPr>
        <w:adjustRightInd w:val="0"/>
        <w:snapToGrid w:val="0"/>
        <w:spacing w:line="600" w:lineRule="exact"/>
        <w:ind w:firstLine="640" w:firstLineChars="200"/>
        <w:rPr>
          <w:rFonts w:hint="eastAsia" w:ascii="仿宋_GB2312" w:hAnsi="仿宋" w:eastAsia="仿宋_GB2312"/>
          <w:sz w:val="32"/>
          <w:szCs w:val="32"/>
        </w:rPr>
      </w:pPr>
      <w:r>
        <w:rPr>
          <w:rFonts w:hint="eastAsia" w:ascii="黑体" w:hAnsi="仿宋" w:eastAsia="黑体"/>
          <w:sz w:val="32"/>
          <w:szCs w:val="32"/>
        </w:rPr>
        <w:t>一、一般公共预算收入</w:t>
      </w:r>
      <w:r>
        <w:rPr>
          <w:rFonts w:hint="eastAsia" w:ascii="仿宋_GB2312" w:hAnsi="仿宋" w:eastAsia="仿宋_GB2312"/>
          <w:b/>
          <w:sz w:val="32"/>
          <w:szCs w:val="32"/>
        </w:rPr>
        <w:t>：</w:t>
      </w:r>
      <w:r>
        <w:rPr>
          <w:rFonts w:hint="eastAsia" w:ascii="仿宋_GB2312" w:hAnsi="仿宋" w:eastAsia="仿宋_GB2312"/>
          <w:sz w:val="32"/>
          <w:szCs w:val="32"/>
        </w:rPr>
        <w:t>指市财政当年拨付的资金，主要包括财政拨款收入、纳入国库管理的非税收入。</w:t>
      </w:r>
    </w:p>
    <w:p w14:paraId="1BA3F978">
      <w:pPr>
        <w:pStyle w:val="4"/>
        <w:adjustRightInd w:val="0"/>
        <w:snapToGrid w:val="0"/>
        <w:spacing w:before="0" w:beforeAutospacing="0" w:after="0" w:afterAutospacing="0" w:line="600" w:lineRule="exact"/>
        <w:ind w:firstLine="627" w:firstLineChars="196"/>
        <w:rPr>
          <w:rFonts w:hint="eastAsia" w:ascii="仿宋_GB2312" w:hAnsi="仿宋" w:eastAsia="仿宋_GB2312" w:cs="Times New Roman"/>
          <w:kern w:val="2"/>
          <w:sz w:val="32"/>
          <w:szCs w:val="32"/>
        </w:rPr>
      </w:pPr>
      <w:r>
        <w:rPr>
          <w:rFonts w:hint="eastAsia" w:ascii="黑体" w:hAnsi="黑体" w:eastAsia="黑体"/>
          <w:sz w:val="32"/>
          <w:szCs w:val="32"/>
        </w:rPr>
        <w:t>二、纳入专户管理非税收入：</w:t>
      </w:r>
      <w:r>
        <w:rPr>
          <w:rFonts w:hint="eastAsia" w:ascii="仿宋_GB2312" w:hAnsi="仿宋" w:eastAsia="仿宋_GB2312" w:cs="Times New Roman"/>
          <w:kern w:val="2"/>
          <w:sz w:val="32"/>
          <w:szCs w:val="32"/>
        </w:rPr>
        <w:t>指按照非税收入管理相关规定，纳入专户管理的收费等。</w:t>
      </w:r>
    </w:p>
    <w:p w14:paraId="35C78987">
      <w:pPr>
        <w:pStyle w:val="4"/>
        <w:adjustRightInd w:val="0"/>
        <w:snapToGrid w:val="0"/>
        <w:spacing w:before="0" w:beforeAutospacing="0" w:after="0" w:afterAutospacing="0" w:line="600" w:lineRule="exact"/>
        <w:ind w:firstLine="627" w:firstLineChars="196"/>
        <w:rPr>
          <w:rFonts w:hint="eastAsia" w:ascii="仿宋_GB2312" w:hAnsi="黑体" w:eastAsia="仿宋_GB2312"/>
          <w:sz w:val="32"/>
          <w:szCs w:val="32"/>
        </w:rPr>
      </w:pPr>
      <w:r>
        <w:rPr>
          <w:rFonts w:hint="eastAsia" w:ascii="黑体" w:hAnsi="黑体" w:eastAsia="黑体"/>
          <w:sz w:val="32"/>
          <w:szCs w:val="32"/>
        </w:rPr>
        <w:t>三、基本支出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14:paraId="56268C9D">
      <w:pPr>
        <w:pStyle w:val="4"/>
        <w:spacing w:before="0" w:beforeAutospacing="0" w:after="0" w:afterAutospacing="0" w:line="600" w:lineRule="exact"/>
        <w:ind w:firstLine="627" w:firstLineChars="196"/>
        <w:jc w:val="both"/>
        <w:rPr>
          <w:rFonts w:hint="eastAsia" w:ascii="仿宋_GB2312" w:hAnsi="黑体" w:eastAsia="仿宋_GB2312"/>
          <w:b/>
          <w:sz w:val="32"/>
          <w:szCs w:val="32"/>
        </w:rPr>
      </w:pPr>
      <w:r>
        <w:rPr>
          <w:rFonts w:hint="eastAsia" w:ascii="黑体" w:hAnsi="黑体" w:eastAsia="黑体"/>
          <w:sz w:val="32"/>
          <w:szCs w:val="32"/>
        </w:rPr>
        <w:t>四、项目支出</w:t>
      </w:r>
      <w:r>
        <w:rPr>
          <w:rFonts w:hint="eastAsia" w:ascii="仿宋_GB2312" w:hAnsi="黑体" w:eastAsia="仿宋_GB2312"/>
          <w:b/>
          <w:sz w:val="32"/>
          <w:szCs w:val="32"/>
        </w:rPr>
        <w:t>：</w:t>
      </w:r>
      <w:r>
        <w:rPr>
          <w:rFonts w:hint="eastAsia" w:ascii="仿宋_GB2312" w:hAnsi="黑体" w:eastAsia="仿宋_GB2312"/>
          <w:sz w:val="32"/>
          <w:szCs w:val="32"/>
        </w:rPr>
        <w:t>指在基本支出之外为完成特定行政任务和事业发展目标所发生的支出。</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五、“三公”经费：</w:t>
      </w:r>
      <w:r>
        <w:rPr>
          <w:rFonts w:hint="eastAsia" w:ascii="仿宋_GB2312" w:hAnsi="黑体" w:eastAsia="仿宋_GB2312"/>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14:paraId="7F6C361D">
      <w:pPr>
        <w:pStyle w:val="4"/>
        <w:adjustRightInd w:val="0"/>
        <w:snapToGrid w:val="0"/>
        <w:spacing w:before="0" w:beforeAutospacing="0" w:after="0" w:afterAutospacing="0" w:line="600" w:lineRule="exact"/>
        <w:ind w:firstLine="627" w:firstLineChars="196"/>
        <w:jc w:val="both"/>
        <w:rPr>
          <w:rFonts w:hint="eastAsia" w:ascii="仿宋_GB2312" w:eastAsia="仿宋_GB2312"/>
          <w:sz w:val="32"/>
          <w:szCs w:val="32"/>
        </w:rPr>
      </w:pPr>
      <w:r>
        <w:rPr>
          <w:rFonts w:hint="eastAsia" w:ascii="黑体" w:hAnsi="黑体" w:eastAsia="黑体"/>
          <w:sz w:val="32"/>
          <w:szCs w:val="32"/>
        </w:rPr>
        <w:t>六、机关运行经费</w:t>
      </w:r>
      <w:r>
        <w:rPr>
          <w:rFonts w:hint="eastAsia" w:ascii="仿宋_GB2312" w:hAnsi="黑体" w:eastAsia="仿宋_GB2312"/>
          <w:sz w:val="32"/>
          <w:szCs w:val="32"/>
        </w:rPr>
        <w:t>：</w:t>
      </w:r>
      <w:r>
        <w:rPr>
          <w:rFonts w:hint="eastAsia" w:ascii="仿宋_GB2312" w:eastAsia="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06AA1AD6">
      <w:pPr>
        <w:widowControl/>
        <w:shd w:val="clear" w:color="auto" w:fill="FFFFFF"/>
        <w:spacing w:before="100" w:after="100"/>
        <w:ind w:firstLine="640"/>
        <w:jc w:val="left"/>
        <w:rPr>
          <w:rFonts w:ascii="宋体" w:hAnsi="宋体" w:cs="宋体"/>
          <w:color w:val="333333"/>
          <w:sz w:val="24"/>
        </w:rPr>
      </w:pPr>
      <w:r>
        <w:rPr>
          <w:rFonts w:hint="eastAsia" w:ascii="仿宋" w:hAnsi="仿宋" w:eastAsia="仿宋" w:cs="仿宋"/>
          <w:color w:val="333333"/>
          <w:kern w:val="0"/>
          <w:sz w:val="32"/>
          <w:szCs w:val="32"/>
          <w:shd w:val="clear" w:color="auto" w:fill="FFFFFF"/>
          <w:lang w:bidi="ar"/>
        </w:rPr>
        <w:t>联系方式：淮北市渠沟镇人民政府政务公开电子信箱：</w:t>
      </w:r>
      <w:r>
        <w:rPr>
          <w:rFonts w:ascii="Calibri" w:hAnsi="Calibri" w:eastAsia="仿宋" w:cs="Calibri"/>
          <w:color w:val="333333"/>
          <w:kern w:val="0"/>
          <w:sz w:val="32"/>
          <w:szCs w:val="32"/>
          <w:shd w:val="clear" w:color="auto" w:fill="FFFFFF"/>
          <w:lang w:bidi="ar"/>
        </w:rPr>
        <w:t> </w:t>
      </w:r>
      <w:r>
        <w:rPr>
          <w:rFonts w:hint="eastAsia" w:ascii="宋体" w:hAnsi="宋体" w:cs="宋体"/>
          <w:color w:val="333333"/>
          <w:kern w:val="0"/>
          <w:sz w:val="24"/>
          <w:shd w:val="clear" w:color="auto" w:fill="FFFFFF"/>
          <w:lang w:bidi="ar"/>
        </w:rPr>
        <w:fldChar w:fldCharType="begin"/>
      </w:r>
      <w:r>
        <w:rPr>
          <w:rFonts w:hint="eastAsia" w:ascii="宋体" w:hAnsi="宋体" w:cs="宋体"/>
          <w:color w:val="333333"/>
          <w:kern w:val="0"/>
          <w:sz w:val="24"/>
          <w:shd w:val="clear" w:color="auto" w:fill="FFFFFF"/>
          <w:lang w:bidi="ar"/>
        </w:rPr>
        <w:instrText xml:space="preserve"> HYPERLINK "mailto:1271263419@qq.com" </w:instrText>
      </w:r>
      <w:r>
        <w:rPr>
          <w:rFonts w:hint="eastAsia" w:ascii="宋体" w:hAnsi="宋体" w:cs="宋体"/>
          <w:color w:val="333333"/>
          <w:kern w:val="0"/>
          <w:sz w:val="24"/>
          <w:shd w:val="clear" w:color="auto" w:fill="FFFFFF"/>
          <w:lang w:bidi="ar"/>
        </w:rPr>
        <w:fldChar w:fldCharType="separate"/>
      </w:r>
      <w:r>
        <w:rPr>
          <w:rStyle w:val="8"/>
          <w:rFonts w:hint="eastAsia" w:ascii="仿宋" w:hAnsi="仿宋" w:eastAsia="仿宋" w:cs="仿宋"/>
          <w:color w:val="333333"/>
          <w:sz w:val="32"/>
          <w:szCs w:val="32"/>
          <w:shd w:val="clear" w:color="auto" w:fill="FFFFFF"/>
        </w:rPr>
        <w:t>1271263419@qq.com</w:t>
      </w:r>
      <w:r>
        <w:rPr>
          <w:rFonts w:hint="eastAsia" w:ascii="宋体" w:hAnsi="宋体" w:cs="宋体"/>
          <w:color w:val="333333"/>
          <w:kern w:val="0"/>
          <w:sz w:val="24"/>
          <w:shd w:val="clear" w:color="auto" w:fill="FFFFFF"/>
          <w:lang w:bidi="ar"/>
        </w:rPr>
        <w:fldChar w:fldCharType="end"/>
      </w:r>
    </w:p>
    <w:p w14:paraId="69770F53">
      <w:pPr>
        <w:widowControl/>
        <w:shd w:val="clear" w:color="auto" w:fill="FFFFFF"/>
        <w:spacing w:before="100" w:after="100"/>
        <w:ind w:firstLine="640"/>
        <w:jc w:val="left"/>
        <w:rPr>
          <w:rFonts w:ascii="宋体" w:hAnsi="宋体" w:cs="宋体"/>
          <w:color w:val="333333"/>
          <w:sz w:val="24"/>
        </w:rPr>
      </w:pPr>
      <w:r>
        <w:rPr>
          <w:rFonts w:hint="eastAsia" w:ascii="仿宋" w:hAnsi="仿宋" w:eastAsia="仿宋" w:cs="仿宋"/>
          <w:color w:val="333333"/>
          <w:kern w:val="0"/>
          <w:sz w:val="32"/>
          <w:szCs w:val="32"/>
          <w:shd w:val="clear" w:color="auto" w:fill="FFFFFF"/>
          <w:lang w:bidi="ar"/>
        </w:rPr>
        <w:t>联系电话:</w:t>
      </w:r>
      <w:r>
        <w:rPr>
          <w:rFonts w:ascii="Calibri" w:hAnsi="Calibri" w:eastAsia="仿宋" w:cs="Calibri"/>
          <w:color w:val="333333"/>
          <w:kern w:val="0"/>
          <w:sz w:val="32"/>
          <w:szCs w:val="32"/>
          <w:shd w:val="clear" w:color="auto" w:fill="FFFFFF"/>
          <w:lang w:bidi="ar"/>
        </w:rPr>
        <w:t> </w:t>
      </w:r>
      <w:r>
        <w:rPr>
          <w:rFonts w:hint="eastAsia" w:ascii="仿宋" w:hAnsi="仿宋" w:eastAsia="仿宋" w:cs="仿宋"/>
          <w:color w:val="333333"/>
          <w:kern w:val="0"/>
          <w:sz w:val="32"/>
          <w:szCs w:val="32"/>
          <w:shd w:val="clear" w:color="auto" w:fill="FFFFFF"/>
          <w:lang w:bidi="ar"/>
        </w:rPr>
        <w:t>0561-3063928</w:t>
      </w:r>
    </w:p>
    <w:p w14:paraId="081BECBD">
      <w:pPr>
        <w:widowControl/>
        <w:shd w:val="clear" w:color="auto" w:fill="FFFFFF"/>
        <w:spacing w:before="100" w:after="100"/>
        <w:ind w:firstLine="640"/>
        <w:jc w:val="left"/>
        <w:rPr>
          <w:rFonts w:ascii="宋体" w:hAnsi="宋体" w:cs="宋体"/>
          <w:color w:val="333333"/>
          <w:sz w:val="24"/>
        </w:rPr>
      </w:pPr>
      <w:r>
        <w:rPr>
          <w:rFonts w:hint="eastAsia" w:ascii="仿宋" w:hAnsi="仿宋" w:eastAsia="仿宋" w:cs="仿宋"/>
          <w:color w:val="333333"/>
          <w:kern w:val="0"/>
          <w:sz w:val="32"/>
          <w:szCs w:val="32"/>
          <w:shd w:val="clear" w:color="auto" w:fill="FFFFFF"/>
          <w:lang w:bidi="ar"/>
        </w:rPr>
        <w:t>联系人:</w:t>
      </w:r>
      <w:r>
        <w:rPr>
          <w:rFonts w:ascii="Calibri" w:hAnsi="Calibri" w:eastAsia="仿宋" w:cs="Calibri"/>
          <w:color w:val="333333"/>
          <w:kern w:val="0"/>
          <w:sz w:val="32"/>
          <w:szCs w:val="32"/>
          <w:shd w:val="clear" w:color="auto" w:fill="FFFFFF"/>
          <w:lang w:bidi="ar"/>
        </w:rPr>
        <w:t> </w:t>
      </w:r>
      <w:r>
        <w:rPr>
          <w:rFonts w:hint="eastAsia" w:ascii="仿宋" w:hAnsi="仿宋" w:eastAsia="仿宋" w:cs="仿宋"/>
          <w:color w:val="333333"/>
          <w:kern w:val="0"/>
          <w:sz w:val="32"/>
          <w:szCs w:val="32"/>
          <w:shd w:val="clear" w:color="auto" w:fill="FFFFFF"/>
          <w:lang w:bidi="ar"/>
        </w:rPr>
        <w:t>张云龙</w:t>
      </w:r>
    </w:p>
    <w:p w14:paraId="4B40A2F4">
      <w:pPr>
        <w:pStyle w:val="4"/>
        <w:adjustRightInd w:val="0"/>
        <w:snapToGrid w:val="0"/>
        <w:spacing w:before="0" w:beforeAutospacing="0" w:after="0" w:afterAutospacing="0" w:line="360" w:lineRule="auto"/>
        <w:ind w:left="359" w:leftChars="171"/>
        <w:jc w:val="both"/>
      </w:pPr>
    </w:p>
    <w:p w14:paraId="2FEC0A2C"/>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14:paraId="76E925BE">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14:paraId="236FA5A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lvl>
  </w:abstractNum>
  <w:abstractNum w:abstractNumId="1">
    <w:nsid w:val="7459476A"/>
    <w:multiLevelType w:val="singleLevel"/>
    <w:tmpl w:val="7459476A"/>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NGI1MmFjMjI2Y2M3NzQ3ODlmOGIzYWJkMjdhZWMifQ=="/>
  </w:docVars>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596278"/>
    <w:rsid w:val="01FF05B0"/>
    <w:rsid w:val="031228B1"/>
    <w:rsid w:val="04847570"/>
    <w:rsid w:val="075E71BA"/>
    <w:rsid w:val="0A2037DA"/>
    <w:rsid w:val="0D9C7FD3"/>
    <w:rsid w:val="0DF477A3"/>
    <w:rsid w:val="0E283076"/>
    <w:rsid w:val="106D0FD1"/>
    <w:rsid w:val="14377D86"/>
    <w:rsid w:val="158B76C0"/>
    <w:rsid w:val="166158D1"/>
    <w:rsid w:val="171C5AF4"/>
    <w:rsid w:val="18FF03B4"/>
    <w:rsid w:val="1AD46292"/>
    <w:rsid w:val="1C4F0C9B"/>
    <w:rsid w:val="2347066D"/>
    <w:rsid w:val="234863C1"/>
    <w:rsid w:val="24A26144"/>
    <w:rsid w:val="29366156"/>
    <w:rsid w:val="29FF55D2"/>
    <w:rsid w:val="2A703C9F"/>
    <w:rsid w:val="2E0659DD"/>
    <w:rsid w:val="30474F4F"/>
    <w:rsid w:val="34E03158"/>
    <w:rsid w:val="352F0DFC"/>
    <w:rsid w:val="373C29F8"/>
    <w:rsid w:val="38704314"/>
    <w:rsid w:val="3B7C3B77"/>
    <w:rsid w:val="3C4036DC"/>
    <w:rsid w:val="3E4B7EE3"/>
    <w:rsid w:val="3FB337BE"/>
    <w:rsid w:val="430978FB"/>
    <w:rsid w:val="48F32361"/>
    <w:rsid w:val="494A0E00"/>
    <w:rsid w:val="49CB78C2"/>
    <w:rsid w:val="4CFF70C4"/>
    <w:rsid w:val="52E80BEB"/>
    <w:rsid w:val="534902B9"/>
    <w:rsid w:val="55302C55"/>
    <w:rsid w:val="57CB506E"/>
    <w:rsid w:val="597B7BEF"/>
    <w:rsid w:val="5D075BDA"/>
    <w:rsid w:val="5E6C2A09"/>
    <w:rsid w:val="60D97EB0"/>
    <w:rsid w:val="643D0718"/>
    <w:rsid w:val="65F25193"/>
    <w:rsid w:val="670009BB"/>
    <w:rsid w:val="67A9053E"/>
    <w:rsid w:val="69B9159D"/>
    <w:rsid w:val="69C6758F"/>
    <w:rsid w:val="6B14098F"/>
    <w:rsid w:val="6C797180"/>
    <w:rsid w:val="6FA97229"/>
    <w:rsid w:val="72882D68"/>
    <w:rsid w:val="72CC459A"/>
    <w:rsid w:val="73652C13"/>
    <w:rsid w:val="78620F7F"/>
    <w:rsid w:val="7E19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Hyperlink"/>
    <w:qFormat/>
    <w:uiPriority w:val="0"/>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8898</Words>
  <Characters>9888</Characters>
  <Lines>115</Lines>
  <Paragraphs>32</Paragraphs>
  <TotalTime>3</TotalTime>
  <ScaleCrop>false</ScaleCrop>
  <LinksUpToDate>false</LinksUpToDate>
  <CharactersWithSpaces>10088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一个人</cp:lastModifiedBy>
  <cp:lastPrinted>2021-02-07T07:09:00Z</cp:lastPrinted>
  <dcterms:modified xsi:type="dcterms:W3CDTF">2025-08-15T02:03:24Z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68E8B47ABEDB4B49A3CB8FB9603696A1_13</vt:lpwstr>
  </property>
  <property fmtid="{D5CDD505-2E9C-101B-9397-08002B2CF9AE}" pid="4" name="KSOTemplateDocerSaveRecord">
    <vt:lpwstr>eyJoZGlkIjoiMmI2ZDVkNTg3ODQ3YmEyNzJlZTgxMzQwNmY4MmI2M2MiLCJ1c2VySWQiOiIyNjU2MDI5MjgifQ==</vt:lpwstr>
  </property>
</Properties>
</file>