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5F213">
      <w:pPr>
        <w:spacing w:line="560" w:lineRule="exact"/>
        <w:rPr>
          <w:rFonts w:ascii="TimesNewRoman" w:hAnsi="TimesNewRoman" w:eastAsia="华文中宋" w:cs="TimesNewRoman"/>
          <w:b/>
          <w:szCs w:val="32"/>
        </w:rPr>
      </w:pPr>
    </w:p>
    <w:p w14:paraId="2B806CBD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民政局</w:t>
      </w:r>
      <w:r>
        <w:rPr>
          <w:rFonts w:ascii="黑体" w:hAnsi="黑体" w:eastAsia="黑体" w:cs="TimesNewRoman"/>
          <w:b/>
          <w:sz w:val="36"/>
          <w:szCs w:val="36"/>
          <w:lang w:val="en"/>
        </w:rPr>
        <w:t>2024</w:t>
      </w:r>
      <w:r>
        <w:rPr>
          <w:rFonts w:ascii="黑体" w:hAnsi="黑体" w:eastAsia="黑体" w:cs="TimesNewRoman"/>
          <w:b/>
          <w:sz w:val="36"/>
          <w:szCs w:val="36"/>
        </w:rPr>
        <w:t>年一般公共</w:t>
      </w:r>
    </w:p>
    <w:p w14:paraId="4ACCB71E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预算“三公”经费预算</w:t>
      </w:r>
    </w:p>
    <w:p w14:paraId="7FDCA212"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</w:p>
    <w:p w14:paraId="4B132375"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 w14:paraId="09102C8C"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zCs w:val="32"/>
        </w:rPr>
      </w:pPr>
      <w:r>
        <w:rPr>
          <w:rFonts w:ascii="TimesNewRoman" w:hAnsi="TimesNewRoman" w:eastAsia="黑体" w:cs="TimesNewRoman"/>
          <w:szCs w:val="32"/>
        </w:rPr>
        <w:t>一、</w:t>
      </w:r>
      <w:r>
        <w:rPr>
          <w:rFonts w:ascii="TimesNewRoman" w:hAnsi="TimesNewRoman" w:eastAsia="黑体" w:cs="TimesNewRoman"/>
          <w:szCs w:val="32"/>
          <w:lang w:val="en"/>
        </w:rPr>
        <w:t>2024</w:t>
      </w:r>
      <w:r>
        <w:rPr>
          <w:rFonts w:ascii="TimesNewRoman" w:hAnsi="TimesNewRoman" w:eastAsia="黑体" w:cs="TimesNewRoman"/>
          <w:szCs w:val="32"/>
        </w:rPr>
        <w:t>年一般公共预算“三公”经费支出预算表</w:t>
      </w:r>
    </w:p>
    <w:p w14:paraId="5C7DAA35">
      <w:pPr>
        <w:adjustRightInd w:val="0"/>
        <w:snapToGrid w:val="0"/>
        <w:spacing w:line="560" w:lineRule="exact"/>
        <w:rPr>
          <w:rStyle w:val="7"/>
          <w:rFonts w:ascii="TimesNewRoman" w:hAnsi="TimesNewRoman" w:cs="TimesNewRoman"/>
          <w:b w:val="0"/>
          <w:bCs w:val="0"/>
          <w:szCs w:val="21"/>
        </w:rPr>
      </w:pPr>
      <w:r>
        <w:rPr>
          <w:rStyle w:val="7"/>
          <w:rFonts w:ascii="TimesNewRoman" w:hAnsi="TimesNewRoman" w:cs="TimesNewRoman"/>
          <w:b w:val="0"/>
          <w:bCs w:val="0"/>
          <w:szCs w:val="21"/>
        </w:rPr>
        <w:t xml:space="preserve">   </w:t>
      </w:r>
    </w:p>
    <w:p w14:paraId="741DAC88">
      <w:pPr>
        <w:wordWrap w:val="0"/>
        <w:adjustRightInd w:val="0"/>
        <w:snapToGrid w:val="0"/>
        <w:spacing w:line="560" w:lineRule="exact"/>
        <w:ind w:firstLine="650" w:firstLineChars="196"/>
        <w:jc w:val="right"/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7"/>
          <w:rFonts w:ascii="TimesNewRoman" w:hAnsi="TimesNewRoman" w:cs="TimesNewRoman"/>
          <w:b w:val="0"/>
          <w:bCs w:val="0"/>
          <w:szCs w:val="21"/>
        </w:rPr>
        <w:t xml:space="preserve">      </w:t>
      </w:r>
      <w:r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Style w:val="5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 w14:paraId="33197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5245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9ADA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C94B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A1F044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 w14:paraId="38FFC6E0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 w14:paraId="252C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2DC6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D047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FB95A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43C4E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8F895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D886FE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 w14:paraId="6BAA0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FBFC8">
            <w:pPr>
              <w:widowControl/>
              <w:spacing w:line="560" w:lineRule="exact"/>
              <w:ind w:firstLine="348" w:firstLineChars="1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9DE4F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8A9D3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2C72">
            <w:pPr>
              <w:widowControl/>
              <w:spacing w:line="560" w:lineRule="exact"/>
              <w:ind w:firstLine="116" w:firstLineChars="50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AAD46">
            <w:pPr>
              <w:widowControl/>
              <w:spacing w:line="560" w:lineRule="exact"/>
              <w:ind w:firstLine="116" w:firstLineChars="50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79208">
            <w:pPr>
              <w:widowControl/>
              <w:spacing w:line="560" w:lineRule="exac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</w:tr>
    </w:tbl>
    <w:p w14:paraId="012BCFC0">
      <w:pPr>
        <w:spacing w:line="560" w:lineRule="exact"/>
        <w:outlineLvl w:val="0"/>
        <w:rPr>
          <w:rFonts w:ascii="TimesNewRoman" w:hAnsi="TimesNewRoman" w:eastAsia="黑体" w:cs="TimesNewRoman"/>
          <w:szCs w:val="32"/>
        </w:rPr>
      </w:pPr>
    </w:p>
    <w:p w14:paraId="0F7411C3">
      <w:pPr>
        <w:spacing w:line="560" w:lineRule="exact"/>
        <w:ind w:firstLine="664" w:firstLineChars="200"/>
        <w:outlineLvl w:val="0"/>
        <w:rPr>
          <w:rFonts w:ascii="TimesNewRoman" w:hAnsi="TimesNewRoman" w:eastAsia="黑体" w:cs="TimesNewRoman"/>
          <w:spacing w:val="-6"/>
          <w:szCs w:val="32"/>
        </w:rPr>
      </w:pPr>
      <w:r>
        <w:rPr>
          <w:rFonts w:ascii="TimesNewRoman" w:hAnsi="TimesNewRoman" w:eastAsia="黑体" w:cs="TimesNewRoman"/>
          <w:szCs w:val="32"/>
        </w:rPr>
        <w:t>二、</w:t>
      </w:r>
      <w:r>
        <w:rPr>
          <w:rFonts w:ascii="TimesNewRoman" w:hAnsi="TimesNewRoman" w:eastAsia="黑体" w:cs="TimesNewRoman"/>
          <w:spacing w:val="-6"/>
          <w:szCs w:val="32"/>
          <w:lang w:val="en"/>
        </w:rPr>
        <w:t>2024</w:t>
      </w:r>
      <w:r>
        <w:rPr>
          <w:rFonts w:ascii="TimesNewRoman" w:hAnsi="TimesNewRoman" w:eastAsia="黑体" w:cs="TimesNewRoman"/>
          <w:spacing w:val="-6"/>
          <w:szCs w:val="32"/>
        </w:rPr>
        <w:t>年一般公共预算“三公”经费支出预算情况说明</w:t>
      </w:r>
    </w:p>
    <w:p w14:paraId="3DE9DA15">
      <w:pPr>
        <w:adjustRightInd w:val="0"/>
        <w:snapToGrid w:val="0"/>
        <w:spacing w:line="560" w:lineRule="exact"/>
        <w:ind w:firstLine="664" w:firstLineChars="200"/>
        <w:rPr>
          <w:rFonts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2024年，按照预算法要求，除涉密部门不单独公开外，</w:t>
      </w:r>
      <w:r>
        <w:rPr>
          <w:rFonts w:hint="eastAsia" w:ascii="TimesNewRoman" w:hAnsi="TimesNewRoman" w:cs="TimesNewRoman"/>
          <w:szCs w:val="32"/>
          <w:lang w:eastAsia="zh-CN"/>
        </w:rPr>
        <w:t>区本级</w:t>
      </w:r>
      <w:r>
        <w:rPr>
          <w:rFonts w:hint="eastAsia" w:ascii="TimesNewRoman" w:hAnsi="TimesNewRoman" w:cs="TimesNewRoman"/>
          <w:szCs w:val="32"/>
        </w:rPr>
        <w:t>所有使用财政资金安排“三公”经费支出的部门、单位，向社会公开财政资金安排的“三公”经费预算。2024年，</w:t>
      </w:r>
      <w:r>
        <w:rPr>
          <w:rFonts w:hint="eastAsia" w:ascii="TimesNewRoman" w:hAnsi="TimesNewRoman" w:cs="TimesNewRoman"/>
          <w:szCs w:val="32"/>
          <w:lang w:eastAsia="zh-CN"/>
        </w:rPr>
        <w:t>区本级</w:t>
      </w:r>
      <w:r>
        <w:rPr>
          <w:rFonts w:hint="eastAsia" w:ascii="TimesNewRoman" w:hAnsi="TimesNewRoman" w:cs="TimesNewRoman"/>
          <w:szCs w:val="32"/>
        </w:rPr>
        <w:t>“三公”经费预算数为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ascii="TimesNewRoman" w:hAnsi="TimesNewRoman" w:cs="TimesNewRoman"/>
          <w:szCs w:val="32"/>
        </w:rPr>
        <w:t>万元，其中：因公出国（境）费支出预算为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万元，公务接待费支出预算为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ascii="TimesNewRoman" w:hAnsi="TimesNewRoman" w:cs="TimesNewRoman"/>
          <w:szCs w:val="32"/>
        </w:rPr>
        <w:t>万元，公务用车购置及运行费支出预算为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万元。具体情况如下：</w:t>
      </w:r>
    </w:p>
    <w:p w14:paraId="25DF725A"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eastAsia="仿宋_GB2312" w:cs="TimesNewRoman"/>
          <w:sz w:val="32"/>
          <w:szCs w:val="32"/>
          <w:lang w:eastAsia="zh-CN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因公出国（境）费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 xml:space="preserve">万元, 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与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</w:rPr>
        <w:t>年预算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持平，无变化。经费使用严格按照《淮北市财政局 淮北市外事办公室关于转发&lt;安徽省省直党政机关因公临时出国经费管理办法&gt;》的通知（财行〔2014〕327号）文件相关规定执行。</w:t>
      </w:r>
    </w:p>
    <w:p w14:paraId="46A2C3D8">
      <w:pPr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（</w:t>
      </w:r>
      <w:r>
        <w:rPr>
          <w:rFonts w:hint="eastAsia" w:ascii="TimesNewRoman" w:hAnsi="TimesNewRoman" w:cs="TimesNewRoman"/>
          <w:szCs w:val="32"/>
          <w:lang w:eastAsia="zh-CN"/>
        </w:rPr>
        <w:t>二</w:t>
      </w:r>
      <w:r>
        <w:rPr>
          <w:rFonts w:hint="eastAsia" w:ascii="TimesNewRoman" w:hAnsi="TimesNewRoman" w:cs="TimesNewRoman"/>
          <w:szCs w:val="32"/>
        </w:rPr>
        <w:t>）</w:t>
      </w:r>
      <w:r>
        <w:rPr>
          <w:rFonts w:hint="eastAsia" w:ascii="TimesNewRoman" w:hAnsi="TimesNewRoman" w:cs="TimesNewRoman"/>
          <w:b/>
          <w:bCs/>
          <w:szCs w:val="32"/>
        </w:rPr>
        <w:t>公务接待费</w:t>
      </w:r>
      <w:r>
        <w:rPr>
          <w:rFonts w:hint="eastAsia" w:ascii="TimesNewRoman" w:hAnsi="TimesNewRoman" w:cs="TimesNewRoman"/>
          <w:szCs w:val="32"/>
        </w:rPr>
        <w:t>支出预算</w:t>
      </w:r>
      <w:r>
        <w:rPr>
          <w:rFonts w:hint="eastAsia" w:ascii="TimesNewRoman" w:hAnsi="TimesNewRoman" w:cs="TimesNewRoman"/>
          <w:szCs w:val="32"/>
          <w:lang w:val="en-US" w:eastAsia="zh-CN"/>
        </w:rPr>
        <w:t>0.5</w:t>
      </w:r>
      <w:r>
        <w:rPr>
          <w:rFonts w:hint="eastAsia" w:ascii="TimesNewRoman" w:hAnsi="TimesNewRoman" w:cs="TimesNewRoman"/>
          <w:szCs w:val="32"/>
        </w:rPr>
        <w:t>万元，比2023年预算减少</w:t>
      </w:r>
      <w:r>
        <w:rPr>
          <w:rFonts w:hint="eastAsia" w:ascii="TimesNewRoman" w:hAnsi="TimesNewRoman" w:cs="TimesNewRoman"/>
          <w:szCs w:val="32"/>
          <w:lang w:val="en-US" w:eastAsia="zh-CN"/>
        </w:rPr>
        <w:t>0.29</w:t>
      </w:r>
      <w:r>
        <w:rPr>
          <w:rFonts w:hint="eastAsia" w:ascii="TimesNewRoman" w:hAnsi="TimesNewRoman" w:cs="TimesNewRoman"/>
          <w:szCs w:val="32"/>
        </w:rPr>
        <w:t>万元，下降</w:t>
      </w:r>
      <w:r>
        <w:rPr>
          <w:rFonts w:hint="eastAsia" w:ascii="TimesNewRoman" w:hAnsi="TimesNewRoman" w:cs="TimesNewRoman"/>
          <w:szCs w:val="32"/>
          <w:lang w:val="en-US" w:eastAsia="zh-CN"/>
        </w:rPr>
        <w:t>36.71</w:t>
      </w:r>
      <w:r>
        <w:rPr>
          <w:rFonts w:hint="eastAsia" w:ascii="TimesNewRoman" w:hAnsi="TimesNewRoman" w:cs="TimesNewRoman"/>
          <w:szCs w:val="32"/>
        </w:rPr>
        <w:t>%，下降原因主要是</w:t>
      </w:r>
      <w:r>
        <w:rPr>
          <w:rFonts w:hint="eastAsia" w:ascii="TimesNewRoman" w:hAnsi="TimesNewRoman" w:cs="TimesNewRoman"/>
          <w:szCs w:val="32"/>
          <w:lang w:eastAsia="zh-CN"/>
        </w:rPr>
        <w:t>厉行节约</w:t>
      </w:r>
      <w:r>
        <w:rPr>
          <w:rFonts w:hint="eastAsia" w:ascii="TimesNewRoman" w:hAnsi="TimesNewRoman" w:cs="TimesNewRoman"/>
          <w:szCs w:val="32"/>
        </w:rPr>
        <w:t>。经费使用严格按照《党政机关厉行节约反对浪费条例》（中发〔2013〕13号）和《淮北市市直单位接待经费管理暂行办法》（财行〔2013〕133号）等文件规定执行。</w:t>
      </w:r>
    </w:p>
    <w:p w14:paraId="7010DB8D">
      <w:pPr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（三）</w:t>
      </w:r>
      <w:r>
        <w:rPr>
          <w:rFonts w:hint="eastAsia" w:ascii="TimesNewRoman" w:hAnsi="TimesNewRoman" w:cs="TimesNewRoman"/>
          <w:b/>
          <w:bCs/>
          <w:szCs w:val="32"/>
        </w:rPr>
        <w:t>公务用车购置及运行费</w:t>
      </w:r>
      <w:r>
        <w:rPr>
          <w:rFonts w:hint="eastAsia" w:ascii="TimesNewRoman" w:hAnsi="TimesNewRoman" w:cs="TimesNewRoman"/>
          <w:szCs w:val="32"/>
        </w:rPr>
        <w:t>预算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hint="eastAsia" w:ascii="TimesNewRoman" w:hAnsi="TimesNewRoman" w:cs="TimesNewRoman"/>
          <w:szCs w:val="32"/>
        </w:rPr>
        <w:t>万元，</w:t>
      </w:r>
      <w:r>
        <w:rPr>
          <w:rFonts w:hint="eastAsia" w:ascii="TimesNewRoman" w:hAnsi="TimesNewRoman" w:cs="TimesNewRoman"/>
          <w:szCs w:val="32"/>
          <w:lang w:eastAsia="zh-CN"/>
        </w:rPr>
        <w:t>与</w:t>
      </w:r>
      <w:r>
        <w:rPr>
          <w:rFonts w:hint="default" w:ascii="TimesNewRoman" w:hAnsi="TimesNewRoman" w:cs="TimesNewRoman"/>
          <w:szCs w:val="32"/>
        </w:rPr>
        <w:t>202</w:t>
      </w:r>
      <w:r>
        <w:rPr>
          <w:rFonts w:hint="eastAsia" w:ascii="TimesNewRoman" w:hAnsi="TimesNewRoman" w:cs="TimesNewRoman"/>
          <w:szCs w:val="32"/>
          <w:lang w:val="en-US" w:eastAsia="zh-CN"/>
        </w:rPr>
        <w:t>3</w:t>
      </w:r>
      <w:r>
        <w:rPr>
          <w:rFonts w:hint="default" w:ascii="TimesNewRoman" w:hAnsi="TimesNewRoman" w:cs="TimesNewRoman"/>
          <w:szCs w:val="32"/>
        </w:rPr>
        <w:t>年预算</w:t>
      </w:r>
      <w:r>
        <w:rPr>
          <w:rFonts w:hint="eastAsia" w:ascii="TimesNewRoman" w:hAnsi="TimesNewRoman" w:cs="TimesNewRoman"/>
          <w:szCs w:val="32"/>
          <w:lang w:eastAsia="zh-CN"/>
        </w:rPr>
        <w:t>持平，无变化。</w:t>
      </w:r>
      <w:r>
        <w:rPr>
          <w:rFonts w:hint="eastAsia" w:ascii="TimesNewRoman" w:hAnsi="TimesNewRoman" w:cs="TimesNewRoman"/>
          <w:szCs w:val="32"/>
        </w:rPr>
        <w:t>其中：公务用车运行费</w:t>
      </w:r>
      <w:bookmarkStart w:id="0" w:name="_GoBack"/>
      <w:bookmarkEnd w:id="0"/>
      <w:r>
        <w:rPr>
          <w:rFonts w:hint="eastAsia" w:ascii="TimesNewRoman" w:hAnsi="TimesNewRoman" w:cs="TimesNewRoman"/>
          <w:szCs w:val="32"/>
          <w:lang w:val="en-US" w:eastAsia="zh-CN"/>
        </w:rPr>
        <w:t>362</w:t>
      </w:r>
      <w:r>
        <w:rPr>
          <w:rFonts w:hint="eastAsia" w:ascii="TimesNewRoman" w:hAnsi="TimesNewRoman" w:cs="TimesNewRoman"/>
          <w:szCs w:val="32"/>
        </w:rPr>
        <w:t>万元，比2023年预算</w:t>
      </w:r>
      <w:r>
        <w:rPr>
          <w:rFonts w:hint="eastAsia" w:ascii="TimesNewRoman" w:hAnsi="TimesNewRoman" w:cs="TimesNewRoman"/>
          <w:szCs w:val="32"/>
          <w:lang w:val="en-US" w:eastAsia="zh-CN"/>
        </w:rPr>
        <w:t>减少1</w:t>
      </w:r>
      <w:r>
        <w:rPr>
          <w:rFonts w:hint="eastAsia" w:ascii="TimesNewRoman" w:hAnsi="TimesNewRoman" w:cs="TimesNewRoman"/>
          <w:szCs w:val="32"/>
        </w:rPr>
        <w:t>万元，</w:t>
      </w:r>
      <w:r>
        <w:rPr>
          <w:rFonts w:hint="eastAsia" w:ascii="TimesNewRoman" w:hAnsi="TimesNewRoman" w:cs="TimesNewRoman"/>
          <w:szCs w:val="32"/>
          <w:lang w:val="en-US" w:eastAsia="zh-CN"/>
        </w:rPr>
        <w:t>下降0.28</w:t>
      </w:r>
      <w:r>
        <w:rPr>
          <w:rFonts w:hint="eastAsia" w:ascii="TimesNewRoman" w:hAnsi="TimesNewRoman" w:cs="TimesNewRoman"/>
          <w:szCs w:val="32"/>
        </w:rPr>
        <w:t>%，主要原因是积极落实公务用车制度改革的各项要求，部门不再保留车辆，实行公务交通补贴管理，</w:t>
      </w:r>
      <w:r>
        <w:rPr>
          <w:rFonts w:hint="eastAsia" w:ascii="TimesNewRoman" w:hAnsi="TimesNewRoman" w:cs="TimesNewRoman"/>
          <w:szCs w:val="32"/>
          <w:lang w:eastAsia="zh-CN"/>
        </w:rPr>
        <w:t>暂无需</w:t>
      </w:r>
      <w:r>
        <w:rPr>
          <w:rFonts w:hint="eastAsia" w:ascii="TimesNewRoman" w:hAnsi="TimesNewRoman" w:cs="TimesNewRoman"/>
          <w:szCs w:val="32"/>
        </w:rPr>
        <w:t>购置</w:t>
      </w:r>
      <w:r>
        <w:rPr>
          <w:rFonts w:hint="eastAsia" w:ascii="TimesNewRoman" w:hAnsi="TimesNewRoman" w:cs="TimesNewRoman"/>
          <w:szCs w:val="32"/>
          <w:lang w:eastAsia="zh-CN"/>
        </w:rPr>
        <w:t>车辆</w:t>
      </w:r>
      <w:r>
        <w:rPr>
          <w:rFonts w:hint="eastAsia" w:ascii="TimesNewRoman" w:hAnsi="TimesNewRoman" w:cs="TimesNewRoman"/>
          <w:szCs w:val="32"/>
        </w:rPr>
        <w:t>。经费使用严格按照上级和</w:t>
      </w:r>
      <w:r>
        <w:rPr>
          <w:rFonts w:hint="eastAsia" w:ascii="TimesNewRoman" w:hAnsi="TimesNewRoman" w:cs="TimesNewRoman"/>
          <w:szCs w:val="32"/>
          <w:lang w:eastAsia="zh-CN"/>
        </w:rPr>
        <w:t>区</w:t>
      </w:r>
      <w:r>
        <w:rPr>
          <w:rFonts w:hint="eastAsia" w:ascii="TimesNewRoman" w:hAnsi="TimesNewRoman" w:cs="TimesNewRoman"/>
          <w:szCs w:val="32"/>
        </w:rPr>
        <w:t>有关公务用车配备使用管理制度执行。</w:t>
      </w:r>
    </w:p>
    <w:p w14:paraId="084CE768">
      <w:pPr>
        <w:pStyle w:val="2"/>
        <w:numPr>
          <w:ilvl w:val="0"/>
          <w:numId w:val="0"/>
        </w:numPr>
        <w:ind w:leftChars="200"/>
      </w:pP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FB8EB">
    <w:pPr>
      <w:pStyle w:val="3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41DCB">
                          <w:pPr>
                            <w:pStyle w:val="3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- 8 -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641DCB">
                    <w:pPr>
                      <w:pStyle w:val="3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- 8 -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989E7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D40B87E"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E76F4"/>
    <w:multiLevelType w:val="singleLevel"/>
    <w:tmpl w:val="E8FE76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mYyM2NkZGRkZjMxODIyOTA1NWFjZGZhNzllMzIifQ=="/>
  </w:docVars>
  <w:rsids>
    <w:rsidRoot w:val="7C023546"/>
    <w:rsid w:val="22103CD8"/>
    <w:rsid w:val="478D4232"/>
    <w:rsid w:val="7C02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720</Characters>
  <Lines>0</Lines>
  <Paragraphs>0</Paragraphs>
  <TotalTime>2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2024-03-27T09:13:00Z</dcterms:created>
  <dc:creator>Administrator</dc:creator>
  <cp:lastModifiedBy>Administrator</cp:lastModifiedBy>
  <dcterms:modified xsi:type="dcterms:W3CDTF">2025-08-15T08:45:56Z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75F95E7A3C364EB3B7747069E59E9CFE_11</vt:lpwstr>
  </property>
  <property fmtid="{D5CDD505-2E9C-101B-9397-08002B2CF9AE}" pid="4" name="KSOTemplateDocerSaveRecord">
    <vt:lpwstr>eyJoZGlkIjoiNTM3YzZkNjhiMDU1MWJmZTJkNWEzY2ZhMDIyNDQxZmUifQ==</vt:lpwstr>
  </property>
</Properties>
</file>