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53C1">
      <w:pPr>
        <w:jc w:val="center"/>
        <w:rPr>
          <w:rFonts w:ascii="宋体" w:hAnsi="宋体"/>
          <w:b/>
          <w:sz w:val="36"/>
          <w:szCs w:val="36"/>
        </w:rPr>
      </w:pPr>
      <w:r>
        <w:rPr>
          <w:rFonts w:hint="eastAsia" w:ascii="宋体" w:hAnsi="宋体"/>
          <w:b/>
          <w:sz w:val="36"/>
          <w:szCs w:val="36"/>
        </w:rPr>
        <w:t>淮北市</w:t>
      </w:r>
      <w:r>
        <w:rPr>
          <w:rFonts w:hint="eastAsia" w:ascii="宋体" w:hAnsi="宋体"/>
          <w:b/>
          <w:sz w:val="36"/>
          <w:szCs w:val="36"/>
          <w:lang w:eastAsia="zh-CN"/>
        </w:rPr>
        <w:t>相山区机关事务管理中心202</w:t>
      </w:r>
      <w:r>
        <w:rPr>
          <w:rFonts w:hint="eastAsia" w:ascii="宋体" w:hAnsi="宋体"/>
          <w:b/>
          <w:sz w:val="36"/>
          <w:szCs w:val="36"/>
          <w:lang w:val="en-US" w:eastAsia="zh-CN"/>
        </w:rPr>
        <w:t>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1D9B3FAE">
      <w:pPr>
        <w:jc w:val="center"/>
        <w:rPr>
          <w:rFonts w:ascii="楷体_GB2312" w:eastAsia="楷体_GB2312"/>
          <w:szCs w:val="32"/>
        </w:rPr>
      </w:pPr>
    </w:p>
    <w:p w14:paraId="561B9784">
      <w:pPr>
        <w:jc w:val="center"/>
        <w:rPr>
          <w:rFonts w:ascii="楷体_GB2312" w:eastAsia="楷体_GB2312"/>
          <w:szCs w:val="32"/>
        </w:rPr>
      </w:pPr>
    </w:p>
    <w:p w14:paraId="58DB6654">
      <w:pPr>
        <w:adjustRightInd w:val="0"/>
        <w:snapToGrid w:val="0"/>
        <w:spacing w:line="360" w:lineRule="auto"/>
        <w:jc w:val="center"/>
        <w:rPr>
          <w:rFonts w:ascii="宋体" w:hAnsi="宋体"/>
          <w:sz w:val="6"/>
          <w:szCs w:val="32"/>
        </w:rPr>
      </w:pPr>
    </w:p>
    <w:p w14:paraId="6F5967D1">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2022</w:t>
      </w:r>
      <w:r>
        <w:rPr>
          <w:rFonts w:hint="eastAsia" w:ascii="黑体" w:hAnsi="黑体" w:eastAsia="黑体"/>
          <w:szCs w:val="32"/>
        </w:rPr>
        <w:t>年度一般公共预算财政拨款“三公”经费支出决算表</w:t>
      </w:r>
    </w:p>
    <w:p w14:paraId="6AA1369D">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14:paraId="2EEA534F">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B903351">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7530A455">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4E994C01">
            <w:pPr>
              <w:widowControl/>
              <w:jc w:val="center"/>
              <w:rPr>
                <w:rFonts w:ascii="宋体" w:hAnsi="宋体" w:cs="宋体"/>
                <w:b/>
                <w:bCs/>
                <w:kern w:val="0"/>
                <w:szCs w:val="21"/>
              </w:rPr>
            </w:pPr>
            <w:r>
              <w:rPr>
                <w:rFonts w:hint="eastAsia" w:ascii="宋体" w:hAnsi="宋体" w:cs="宋体"/>
                <w:b/>
                <w:bCs/>
                <w:kern w:val="0"/>
                <w:szCs w:val="21"/>
              </w:rPr>
              <w:t>决 算 数</w:t>
            </w:r>
          </w:p>
        </w:tc>
      </w:tr>
      <w:tr w14:paraId="7C267CC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8AA4BF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0D4F77D">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102.00</w:t>
            </w:r>
          </w:p>
        </w:tc>
        <w:tc>
          <w:tcPr>
            <w:tcW w:w="2220" w:type="dxa"/>
            <w:tcBorders>
              <w:top w:val="nil"/>
              <w:left w:val="nil"/>
              <w:bottom w:val="single" w:color="auto" w:sz="4" w:space="0"/>
              <w:right w:val="single" w:color="auto" w:sz="4" w:space="0"/>
            </w:tcBorders>
            <w:vAlign w:val="center"/>
          </w:tcPr>
          <w:p w14:paraId="0DBDE0EE">
            <w:pPr>
              <w:widowControl/>
              <w:jc w:val="center"/>
              <w:rPr>
                <w:rFonts w:ascii="宋体" w:hAnsi="宋体" w:cs="宋体"/>
                <w:b/>
                <w:bCs/>
                <w:kern w:val="0"/>
                <w:szCs w:val="21"/>
              </w:rPr>
            </w:pPr>
            <w:r>
              <w:rPr>
                <w:rFonts w:hint="eastAsia" w:ascii="宋体" w:hAnsi="宋体" w:cs="宋体"/>
                <w:b/>
                <w:bCs/>
                <w:kern w:val="0"/>
                <w:szCs w:val="21"/>
                <w:lang w:val="en-US" w:eastAsia="zh-CN"/>
              </w:rPr>
              <w:t>139.71</w:t>
            </w:r>
          </w:p>
        </w:tc>
      </w:tr>
      <w:tr w14:paraId="280AB69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EE0759C">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1AF00397">
            <w:pPr>
              <w:widowControl/>
              <w:jc w:val="center"/>
              <w:rPr>
                <w:rFonts w:ascii="宋体" w:hAnsi="宋体" w:cs="宋体"/>
                <w:kern w:val="0"/>
                <w:szCs w:val="21"/>
              </w:rPr>
            </w:pPr>
          </w:p>
        </w:tc>
        <w:tc>
          <w:tcPr>
            <w:tcW w:w="2220" w:type="dxa"/>
            <w:tcBorders>
              <w:top w:val="nil"/>
              <w:left w:val="nil"/>
              <w:bottom w:val="single" w:color="auto" w:sz="4" w:space="0"/>
              <w:right w:val="single" w:color="auto" w:sz="4" w:space="0"/>
            </w:tcBorders>
            <w:vAlign w:val="bottom"/>
          </w:tcPr>
          <w:p w14:paraId="786BAC70">
            <w:pPr>
              <w:widowControl/>
              <w:jc w:val="center"/>
              <w:rPr>
                <w:rFonts w:ascii="宋体" w:hAnsi="宋体" w:cs="宋体"/>
                <w:kern w:val="0"/>
                <w:szCs w:val="21"/>
              </w:rPr>
            </w:pPr>
          </w:p>
        </w:tc>
      </w:tr>
      <w:tr w14:paraId="3E0ABDF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8A34424">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4466E44">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69EC979A">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3.01</w:t>
            </w:r>
          </w:p>
        </w:tc>
      </w:tr>
      <w:tr w14:paraId="04C9DC1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83FD988">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268AE4AD">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102.00</w:t>
            </w:r>
          </w:p>
        </w:tc>
        <w:tc>
          <w:tcPr>
            <w:tcW w:w="2220" w:type="dxa"/>
            <w:tcBorders>
              <w:top w:val="nil"/>
              <w:left w:val="nil"/>
              <w:bottom w:val="single" w:color="auto" w:sz="4" w:space="0"/>
              <w:right w:val="single" w:color="auto" w:sz="4" w:space="0"/>
            </w:tcBorders>
            <w:vAlign w:val="bottom"/>
          </w:tcPr>
          <w:p w14:paraId="4E669598">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136.70</w:t>
            </w:r>
          </w:p>
        </w:tc>
      </w:tr>
      <w:tr w14:paraId="3511674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FF42419">
            <w:pPr>
              <w:widowControl/>
              <w:jc w:val="left"/>
              <w:rPr>
                <w:rFonts w:ascii="宋体" w:hAnsi="宋体" w:cs="宋体"/>
                <w:kern w:val="0"/>
                <w:szCs w:val="21"/>
                <w:highlight w:val="none"/>
              </w:rPr>
            </w:pPr>
            <w:r>
              <w:rPr>
                <w:rFonts w:hint="eastAsia" w:ascii="宋体" w:hAnsi="宋体" w:cs="宋体"/>
                <w:kern w:val="0"/>
                <w:szCs w:val="21"/>
                <w:highlight w:val="none"/>
              </w:rPr>
              <w:t xml:space="preserve">  其中：公务用车运行维护费</w:t>
            </w:r>
          </w:p>
        </w:tc>
        <w:tc>
          <w:tcPr>
            <w:tcW w:w="2157" w:type="dxa"/>
            <w:tcBorders>
              <w:top w:val="nil"/>
              <w:left w:val="nil"/>
              <w:bottom w:val="single" w:color="auto" w:sz="4" w:space="0"/>
              <w:right w:val="single" w:color="auto" w:sz="4" w:space="0"/>
            </w:tcBorders>
            <w:vAlign w:val="bottom"/>
          </w:tcPr>
          <w:p w14:paraId="4762C36F">
            <w:pPr>
              <w:widowControl/>
              <w:jc w:val="center"/>
              <w:rPr>
                <w:rFonts w:hint="default" w:ascii="宋体" w:hAnsi="宋体" w:eastAsia="仿宋_GB2312" w:cs="宋体"/>
                <w:kern w:val="0"/>
                <w:szCs w:val="21"/>
                <w:highlight w:val="none"/>
                <w:lang w:val="en-US" w:eastAsia="zh-CN"/>
              </w:rPr>
            </w:pPr>
            <w:r>
              <w:rPr>
                <w:rFonts w:hint="eastAsia" w:ascii="宋体" w:hAnsi="宋体" w:cs="宋体"/>
                <w:kern w:val="0"/>
                <w:szCs w:val="21"/>
                <w:highlight w:val="none"/>
                <w:lang w:val="en-US" w:eastAsia="zh-CN"/>
              </w:rPr>
              <w:t>102.00</w:t>
            </w:r>
          </w:p>
        </w:tc>
        <w:tc>
          <w:tcPr>
            <w:tcW w:w="2220" w:type="dxa"/>
            <w:tcBorders>
              <w:top w:val="nil"/>
              <w:left w:val="nil"/>
              <w:bottom w:val="single" w:color="auto" w:sz="4" w:space="0"/>
              <w:right w:val="single" w:color="auto" w:sz="4" w:space="0"/>
            </w:tcBorders>
            <w:vAlign w:val="bottom"/>
          </w:tcPr>
          <w:p w14:paraId="220B9B67">
            <w:pPr>
              <w:widowControl/>
              <w:jc w:val="center"/>
              <w:rPr>
                <w:rFonts w:hint="default" w:ascii="宋体" w:hAnsi="宋体" w:eastAsia="仿宋_GB2312" w:cs="宋体"/>
                <w:kern w:val="0"/>
                <w:szCs w:val="21"/>
                <w:highlight w:val="none"/>
                <w:lang w:val="en-US" w:eastAsia="zh-CN"/>
              </w:rPr>
            </w:pPr>
            <w:r>
              <w:rPr>
                <w:rFonts w:hint="eastAsia" w:ascii="宋体" w:hAnsi="宋体" w:cs="宋体"/>
                <w:kern w:val="0"/>
                <w:szCs w:val="21"/>
                <w:highlight w:val="none"/>
                <w:lang w:val="en-US" w:eastAsia="zh-CN"/>
              </w:rPr>
              <w:t>136.70</w:t>
            </w:r>
          </w:p>
        </w:tc>
      </w:tr>
      <w:tr w14:paraId="4F3FF814">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EB7E7AA">
            <w:pPr>
              <w:widowControl/>
              <w:jc w:val="left"/>
              <w:rPr>
                <w:rFonts w:ascii="宋体" w:hAnsi="宋体" w:cs="宋体"/>
                <w:kern w:val="0"/>
                <w:szCs w:val="21"/>
                <w:highlight w:val="none"/>
              </w:rPr>
            </w:pPr>
            <w:r>
              <w:rPr>
                <w:rFonts w:hint="eastAsia" w:ascii="宋体" w:hAnsi="宋体" w:cs="宋体"/>
                <w:kern w:val="0"/>
                <w:szCs w:val="21"/>
                <w:highlight w:val="none"/>
              </w:rPr>
              <w:t xml:space="preserve">        公务用车购置费 </w:t>
            </w:r>
          </w:p>
        </w:tc>
        <w:tc>
          <w:tcPr>
            <w:tcW w:w="2157" w:type="dxa"/>
            <w:tcBorders>
              <w:top w:val="single" w:color="auto" w:sz="4" w:space="0"/>
              <w:left w:val="single" w:color="auto" w:sz="4" w:space="0"/>
              <w:bottom w:val="single" w:color="auto" w:sz="4" w:space="0"/>
              <w:right w:val="single" w:color="auto" w:sz="4" w:space="0"/>
            </w:tcBorders>
            <w:vAlign w:val="bottom"/>
          </w:tcPr>
          <w:p w14:paraId="429C2261">
            <w:pPr>
              <w:widowControl/>
              <w:jc w:val="left"/>
              <w:rPr>
                <w:rFonts w:ascii="宋体" w:hAnsi="宋体" w:cs="宋体"/>
                <w:kern w:val="0"/>
                <w:szCs w:val="21"/>
                <w:highlight w:val="none"/>
              </w:rPr>
            </w:pPr>
            <w:r>
              <w:rPr>
                <w:rFonts w:hint="eastAsia" w:ascii="宋体" w:hAnsi="宋体" w:cs="宋体"/>
                <w:kern w:val="0"/>
                <w:szCs w:val="21"/>
                <w:highlight w:val="none"/>
              </w:rPr>
              <w:t>　</w:t>
            </w:r>
          </w:p>
        </w:tc>
        <w:tc>
          <w:tcPr>
            <w:tcW w:w="2220" w:type="dxa"/>
            <w:tcBorders>
              <w:top w:val="single" w:color="auto" w:sz="4" w:space="0"/>
              <w:left w:val="single" w:color="auto" w:sz="4" w:space="0"/>
              <w:bottom w:val="single" w:color="auto" w:sz="4" w:space="0"/>
              <w:right w:val="single" w:color="auto" w:sz="4" w:space="0"/>
            </w:tcBorders>
            <w:vAlign w:val="bottom"/>
          </w:tcPr>
          <w:p w14:paraId="18B015D2">
            <w:pPr>
              <w:widowControl/>
              <w:jc w:val="left"/>
              <w:rPr>
                <w:rFonts w:ascii="宋体" w:hAnsi="宋体" w:cs="宋体"/>
                <w:kern w:val="0"/>
                <w:szCs w:val="21"/>
                <w:highlight w:val="none"/>
              </w:rPr>
            </w:pPr>
            <w:r>
              <w:rPr>
                <w:rFonts w:hint="eastAsia" w:ascii="宋体" w:hAnsi="宋体" w:cs="宋体"/>
                <w:kern w:val="0"/>
                <w:szCs w:val="21"/>
                <w:highlight w:val="none"/>
              </w:rPr>
              <w:t>　</w:t>
            </w:r>
          </w:p>
        </w:tc>
      </w:tr>
      <w:tr w14:paraId="7252B704">
        <w:tblPrEx>
          <w:tblCellMar>
            <w:top w:w="0" w:type="dxa"/>
            <w:left w:w="108" w:type="dxa"/>
            <w:bottom w:w="0" w:type="dxa"/>
            <w:right w:w="108" w:type="dxa"/>
          </w:tblCellMar>
        </w:tblPrEx>
        <w:trPr>
          <w:trHeight w:val="397" w:hRule="atLeast"/>
        </w:trPr>
        <w:tc>
          <w:tcPr>
            <w:tcW w:w="8756" w:type="dxa"/>
            <w:gridSpan w:val="3"/>
            <w:tcBorders>
              <w:top w:val="single" w:color="auto" w:sz="4" w:space="0"/>
              <w:left w:val="single" w:color="auto" w:sz="4" w:space="0"/>
              <w:bottom w:val="single" w:color="auto" w:sz="4" w:space="0"/>
              <w:right w:val="single" w:color="auto" w:sz="4" w:space="0"/>
            </w:tcBorders>
            <w:vAlign w:val="center"/>
          </w:tcPr>
          <w:p w14:paraId="5C489A6C">
            <w:pPr>
              <w:widowControl/>
              <w:jc w:val="left"/>
              <w:rPr>
                <w:rFonts w:hint="eastAsia" w:ascii="宋体" w:hAnsi="宋体" w:cs="宋体"/>
                <w:kern w:val="0"/>
                <w:szCs w:val="21"/>
                <w:highlight w:val="none"/>
              </w:rPr>
            </w:pPr>
            <w:r>
              <w:rPr>
                <w:rFonts w:hint="eastAsia" w:ascii="宋体" w:hAnsi="宋体" w:cs="宋体"/>
                <w:kern w:val="0"/>
                <w:sz w:val="24"/>
                <w:szCs w:val="24"/>
                <w:highlight w:val="none"/>
              </w:rPr>
              <w:t>注：本表反映部门本年度“三公”经费支出预决算情况。其中，预算数为“三公”经费年初预算数，决算数是包括当年一般公共预算财政拨款和以前年度结转资金安排的实际支出。</w:t>
            </w:r>
          </w:p>
        </w:tc>
      </w:tr>
    </w:tbl>
    <w:p w14:paraId="546BD6A5">
      <w:pPr>
        <w:ind w:firstLine="640" w:firstLineChars="200"/>
        <w:jc w:val="both"/>
        <w:rPr>
          <w:rFonts w:ascii="黑体" w:hAnsi="黑体" w:eastAsia="黑体"/>
          <w:szCs w:val="32"/>
        </w:rPr>
      </w:pPr>
      <w:r>
        <w:rPr>
          <w:rFonts w:hint="eastAsia" w:ascii="黑体" w:hAnsi="黑体" w:eastAsia="黑体"/>
          <w:szCs w:val="32"/>
          <w:highlight w:val="none"/>
        </w:rPr>
        <w:t xml:space="preserve">        </w:t>
      </w:r>
      <w:r>
        <w:rPr>
          <w:rFonts w:hint="eastAsia" w:ascii="黑体" w:hAnsi="黑体" w:eastAsia="黑体"/>
          <w:szCs w:val="32"/>
        </w:rPr>
        <w:t xml:space="preserve">                  </w:t>
      </w:r>
    </w:p>
    <w:p w14:paraId="4646E534">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205F8D3F">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68D4AEC5">
      <w:pPr>
        <w:ind w:firstLine="640" w:firstLineChars="200"/>
        <w:rPr>
          <w:rFonts w:hint="default" w:ascii="仿宋_GB2312" w:hAnsi="仿宋" w:eastAsia="仿宋_GB2312"/>
          <w:szCs w:val="32"/>
          <w:highlight w:val="none"/>
          <w:lang w:val="en-US" w:eastAsia="zh-CN"/>
        </w:rPr>
      </w:pPr>
      <w:r>
        <w:rPr>
          <w:rFonts w:hint="eastAsia" w:ascii="仿宋_GB2312" w:hAnsi="仿宋"/>
          <w:szCs w:val="32"/>
          <w:lang w:eastAsia="zh-CN"/>
        </w:rPr>
        <w:t>淮北市相山区机关事务管理中心2022</w:t>
      </w:r>
      <w:r>
        <w:rPr>
          <w:rFonts w:hint="eastAsia" w:ascii="仿宋_GB2312" w:hAnsi="仿宋"/>
          <w:szCs w:val="32"/>
        </w:rPr>
        <w:t>年度一般公共预算财政拨款“三公”经费支出预算为</w:t>
      </w:r>
      <w:r>
        <w:rPr>
          <w:rFonts w:hint="eastAsia" w:ascii="仿宋_GB2312" w:hAnsi="仿宋"/>
          <w:szCs w:val="32"/>
          <w:lang w:val="en-US" w:eastAsia="zh-CN"/>
        </w:rPr>
        <w:t>102</w:t>
      </w:r>
      <w:r>
        <w:rPr>
          <w:rFonts w:hint="eastAsia" w:ascii="仿宋_GB2312" w:hAnsi="仿宋"/>
          <w:szCs w:val="32"/>
        </w:rPr>
        <w:t>万元，支出决算为</w:t>
      </w:r>
      <w:r>
        <w:rPr>
          <w:rFonts w:hint="eastAsia" w:ascii="仿宋_GB2312" w:hAnsi="仿宋"/>
          <w:szCs w:val="32"/>
          <w:lang w:val="en-US" w:eastAsia="zh-CN"/>
        </w:rPr>
        <w:t>139.71</w:t>
      </w:r>
      <w:r>
        <w:rPr>
          <w:rFonts w:hint="eastAsia" w:ascii="仿宋_GB2312" w:hAnsi="仿宋"/>
          <w:szCs w:val="32"/>
        </w:rPr>
        <w:t>万元，完成预算的</w:t>
      </w:r>
      <w:r>
        <w:rPr>
          <w:rFonts w:hint="eastAsia" w:ascii="仿宋_GB2312" w:hAnsi="仿宋"/>
          <w:szCs w:val="32"/>
          <w:lang w:val="en-US" w:eastAsia="zh-CN"/>
        </w:rPr>
        <w:t>136.97</w:t>
      </w:r>
      <w:r>
        <w:rPr>
          <w:rFonts w:hint="eastAsia" w:ascii="仿宋_GB2312" w:hAnsi="仿宋"/>
          <w:szCs w:val="32"/>
        </w:rPr>
        <w:t>%，</w:t>
      </w:r>
      <w:r>
        <w:rPr>
          <w:rFonts w:hint="eastAsia" w:ascii="仿宋_GB2312" w:hAnsi="仿宋"/>
          <w:szCs w:val="32"/>
          <w:lang w:eastAsia="zh-CN"/>
        </w:rPr>
        <w:t>与</w:t>
      </w:r>
      <w:r>
        <w:rPr>
          <w:rFonts w:hint="eastAsia" w:ascii="仿宋_GB2312" w:hAnsi="仿宋"/>
          <w:szCs w:val="32"/>
          <w:lang w:val="en-US" w:eastAsia="zh-CN"/>
        </w:rPr>
        <w:t>2021年决算数相比减少了31.02万元。2022年</w:t>
      </w:r>
      <w:r>
        <w:rPr>
          <w:rFonts w:hint="eastAsia" w:ascii="仿宋_GB2312" w:hAnsi="仿宋"/>
          <w:szCs w:val="32"/>
          <w:highlight w:val="none"/>
        </w:rPr>
        <w:t>决算数大于预算数的主要原因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2022年新</w:t>
      </w:r>
      <w:r>
        <w:rPr>
          <w:rFonts w:hint="eastAsia" w:ascii="仿宋_GB2312" w:hAnsi="仿宋"/>
          <w:color w:val="000000"/>
          <w:szCs w:val="32"/>
          <w:highlight w:val="none"/>
          <w:lang w:eastAsia="zh-CN"/>
        </w:rPr>
        <w:t>租赁新能源汽车10台，大众帕萨特2辆、宇通中巴车1台，共计13台公务车产生的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车辆燃料费、维修费、过路过桥费、保险费</w:t>
      </w:r>
      <w:r>
        <w:rPr>
          <w:rFonts w:hint="eastAsia" w:ascii="仿宋_GB2312" w:hAnsi="仿宋"/>
          <w:szCs w:val="32"/>
          <w:highlight w:val="none"/>
          <w:lang w:eastAsia="zh-CN"/>
        </w:rPr>
        <w:t>等</w:t>
      </w:r>
      <w:r>
        <w:rPr>
          <w:rFonts w:hint="eastAsia" w:ascii="仿宋_GB2312" w:hAnsi="仿宋"/>
          <w:szCs w:val="32"/>
          <w:highlight w:val="none"/>
        </w:rPr>
        <w:t>。</w:t>
      </w:r>
      <w:r>
        <w:rPr>
          <w:rFonts w:hint="eastAsia" w:ascii="仿宋_GB2312" w:hAnsi="仿宋"/>
          <w:szCs w:val="32"/>
          <w:highlight w:val="none"/>
          <w:lang w:val="en-US" w:eastAsia="zh-CN"/>
        </w:rPr>
        <w:t>决算数较上年减少的原因是公务用车购置费减少，本单位2022年采用社会租赁方式与合作单位相山区全资国有企业签订车辆租赁合同。租赁新能源汽车10台、大众帕萨特2辆、宇通中巴车1台，共计13台公务车。</w:t>
      </w:r>
    </w:p>
    <w:p w14:paraId="571B29A1">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64C3E59F">
      <w:pPr>
        <w:ind w:firstLine="640" w:firstLineChars="200"/>
        <w:rPr>
          <w:rFonts w:ascii="仿宋_GB2312" w:hAnsi="仿宋"/>
          <w:szCs w:val="32"/>
        </w:rPr>
      </w:pPr>
      <w:r>
        <w:rPr>
          <w:rFonts w:hint="eastAsia" w:ascii="仿宋_GB2312" w:hAnsi="仿宋"/>
          <w:szCs w:val="32"/>
          <w:lang w:eastAsia="zh-CN"/>
        </w:rPr>
        <w:t>淮北市相山区机关事务管理中心2022</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万元;公务接待费支出决算</w:t>
      </w:r>
      <w:r>
        <w:rPr>
          <w:rFonts w:hint="eastAsia" w:ascii="仿宋_GB2312" w:hAnsi="仿宋"/>
          <w:szCs w:val="32"/>
          <w:lang w:val="en-US" w:eastAsia="zh-CN"/>
        </w:rPr>
        <w:t>3.01</w:t>
      </w:r>
      <w:r>
        <w:rPr>
          <w:rFonts w:hint="eastAsia" w:ascii="仿宋_GB2312" w:hAnsi="仿宋"/>
          <w:szCs w:val="32"/>
        </w:rPr>
        <w:t>万元，占</w:t>
      </w:r>
      <w:r>
        <w:rPr>
          <w:rFonts w:hint="eastAsia" w:ascii="仿宋_GB2312" w:hAnsi="仿宋"/>
          <w:szCs w:val="32"/>
          <w:lang w:val="en-US" w:eastAsia="zh-CN"/>
        </w:rPr>
        <w:t>2.15</w:t>
      </w:r>
      <w:r>
        <w:rPr>
          <w:rFonts w:hint="eastAsia" w:ascii="仿宋_GB2312" w:hAnsi="仿宋"/>
          <w:szCs w:val="32"/>
        </w:rPr>
        <w:t>%；公务用车购置及运行维护费支出决算</w:t>
      </w:r>
      <w:r>
        <w:rPr>
          <w:rFonts w:hint="eastAsia" w:ascii="仿宋_GB2312" w:hAnsi="仿宋"/>
          <w:szCs w:val="32"/>
          <w:lang w:val="en-US" w:eastAsia="zh-CN"/>
        </w:rPr>
        <w:t>136.70</w:t>
      </w:r>
      <w:r>
        <w:rPr>
          <w:rFonts w:hint="eastAsia" w:ascii="仿宋_GB2312" w:hAnsi="仿宋"/>
          <w:szCs w:val="32"/>
        </w:rPr>
        <w:t>万元，占</w:t>
      </w:r>
      <w:r>
        <w:rPr>
          <w:rFonts w:hint="eastAsia" w:ascii="仿宋_GB2312" w:hAnsi="仿宋"/>
          <w:szCs w:val="32"/>
          <w:lang w:val="en-US" w:eastAsia="zh-CN"/>
        </w:rPr>
        <w:t>97.85</w:t>
      </w:r>
      <w:r>
        <w:rPr>
          <w:rFonts w:hint="eastAsia" w:ascii="仿宋_GB2312" w:hAnsi="仿宋"/>
          <w:szCs w:val="32"/>
        </w:rPr>
        <w:t>%。具体情况如下：</w:t>
      </w:r>
    </w:p>
    <w:p w14:paraId="4A2B593C">
      <w:pPr>
        <w:numPr>
          <w:ilvl w:val="0"/>
          <w:numId w:val="1"/>
        </w:numPr>
        <w:ind w:firstLine="643" w:firstLineChars="200"/>
        <w:rPr>
          <w:rFonts w:hint="eastAsia" w:ascii="仿宋_GB2312" w:hAnsi="仿宋"/>
          <w:b w:val="0"/>
          <w:bCs w:val="0"/>
          <w:szCs w:val="32"/>
        </w:rPr>
      </w:pPr>
      <w:r>
        <w:rPr>
          <w:rFonts w:hint="eastAsia" w:ascii="仿宋_GB2312" w:hAnsi="仿宋"/>
          <w:b/>
          <w:bCs/>
          <w:szCs w:val="32"/>
        </w:rPr>
        <w:t>因公出国（境）费</w:t>
      </w:r>
      <w:r>
        <w:rPr>
          <w:rFonts w:hint="eastAsia" w:ascii="仿宋_GB2312" w:hAnsi="仿宋"/>
          <w:b w:val="0"/>
          <w:bCs w:val="0"/>
          <w:szCs w:val="32"/>
        </w:rPr>
        <w:t>支出预算0万元，支出决算为0万元，完成预算100%；较上年减少0万元，下降0%。决算数等于预算数的原因是2021年度、2022年度均未安排因公出国（境）计划。</w:t>
      </w:r>
      <w:r>
        <w:rPr>
          <w:rFonts w:hint="eastAsia" w:ascii="仿宋_GB2312" w:hAnsi="仿宋"/>
          <w:b w:val="0"/>
          <w:bCs w:val="0"/>
          <w:szCs w:val="32"/>
          <w:lang w:eastAsia="zh-CN"/>
        </w:rPr>
        <w:t>2022</w:t>
      </w:r>
      <w:r>
        <w:rPr>
          <w:rFonts w:hint="eastAsia" w:ascii="仿宋_GB2312" w:hAnsi="仿宋"/>
          <w:b w:val="0"/>
          <w:bCs w:val="0"/>
          <w:szCs w:val="32"/>
        </w:rPr>
        <w:t>年</w:t>
      </w:r>
      <w:r>
        <w:rPr>
          <w:rFonts w:hint="eastAsia" w:ascii="仿宋_GB2312" w:hAnsi="仿宋"/>
          <w:b w:val="0"/>
          <w:bCs w:val="0"/>
          <w:szCs w:val="32"/>
          <w:lang w:eastAsia="zh-CN"/>
        </w:rPr>
        <w:t>淮北市相山区机关事务管理中心</w:t>
      </w:r>
      <w:r>
        <w:rPr>
          <w:rFonts w:hint="eastAsia" w:ascii="仿宋_GB2312" w:hAnsi="仿宋"/>
          <w:b w:val="0"/>
          <w:bCs w:val="0"/>
          <w:szCs w:val="32"/>
        </w:rPr>
        <w:t>因公出国（境）团组</w:t>
      </w:r>
      <w:r>
        <w:rPr>
          <w:rFonts w:hint="eastAsia" w:ascii="仿宋_GB2312" w:hAnsi="仿宋"/>
          <w:b w:val="0"/>
          <w:bCs w:val="0"/>
          <w:szCs w:val="32"/>
          <w:lang w:val="en-US" w:eastAsia="zh-CN"/>
        </w:rPr>
        <w:t>0</w:t>
      </w:r>
      <w:r>
        <w:rPr>
          <w:rFonts w:hint="eastAsia" w:ascii="仿宋_GB2312" w:hAnsi="仿宋"/>
          <w:b w:val="0"/>
          <w:bCs w:val="0"/>
          <w:szCs w:val="32"/>
        </w:rPr>
        <w:t>次，累计出国（境）</w:t>
      </w:r>
      <w:r>
        <w:rPr>
          <w:rFonts w:hint="eastAsia" w:ascii="仿宋_GB2312" w:hAnsi="仿宋"/>
          <w:b w:val="0"/>
          <w:bCs w:val="0"/>
          <w:szCs w:val="32"/>
          <w:lang w:val="en-US" w:eastAsia="zh-CN"/>
        </w:rPr>
        <w:t>0</w:t>
      </w:r>
      <w:r>
        <w:rPr>
          <w:rFonts w:hint="eastAsia" w:ascii="仿宋_GB2312" w:hAnsi="仿宋"/>
          <w:b w:val="0"/>
          <w:bCs w:val="0"/>
          <w:szCs w:val="32"/>
        </w:rPr>
        <w:t>人次。</w:t>
      </w:r>
    </w:p>
    <w:p w14:paraId="08A17D59">
      <w:pPr>
        <w:numPr>
          <w:ilvl w:val="0"/>
          <w:numId w:val="0"/>
        </w:numPr>
        <w:ind w:firstLine="643" w:firstLineChars="200"/>
        <w:rPr>
          <w:rFonts w:ascii="仿宋_GB2312" w:hAnsi="仿宋"/>
          <w:szCs w:val="32"/>
        </w:rPr>
      </w:pPr>
      <w:r>
        <w:rPr>
          <w:rFonts w:hint="eastAsia" w:ascii="仿宋_GB2312" w:hAnsi="仿宋"/>
          <w:b/>
          <w:bCs/>
          <w:szCs w:val="32"/>
          <w:lang w:val="en-US" w:eastAsia="zh-CN"/>
        </w:rPr>
        <w:t>2、</w:t>
      </w:r>
      <w:r>
        <w:rPr>
          <w:rFonts w:hint="eastAsia" w:ascii="仿宋_GB2312" w:hAnsi="仿宋"/>
          <w:b/>
          <w:bCs/>
          <w:szCs w:val="32"/>
        </w:rPr>
        <w:t>公务接待费</w:t>
      </w:r>
      <w:r>
        <w:rPr>
          <w:rFonts w:hint="eastAsia" w:ascii="仿宋_GB2312" w:hAnsi="仿宋"/>
          <w:b w:val="0"/>
          <w:bCs w:val="0"/>
          <w:szCs w:val="32"/>
          <w:lang w:eastAsia="zh-CN"/>
        </w:rPr>
        <w:t>预算为</w:t>
      </w:r>
      <w:r>
        <w:rPr>
          <w:rFonts w:hint="eastAsia" w:ascii="仿宋_GB2312" w:hAnsi="仿宋"/>
          <w:b w:val="0"/>
          <w:bCs w:val="0"/>
          <w:szCs w:val="32"/>
          <w:lang w:val="en-US" w:eastAsia="zh-CN"/>
        </w:rPr>
        <w:t>0万元</w:t>
      </w:r>
      <w:r>
        <w:rPr>
          <w:rFonts w:hint="eastAsia" w:ascii="仿宋_GB2312" w:hAnsi="仿宋"/>
          <w:b/>
          <w:bCs/>
          <w:szCs w:val="32"/>
          <w:lang w:val="en-US" w:eastAsia="zh-CN"/>
        </w:rPr>
        <w:t>，</w:t>
      </w:r>
      <w:r>
        <w:rPr>
          <w:rFonts w:hint="eastAsia" w:ascii="仿宋_GB2312" w:hAnsi="仿宋"/>
          <w:b w:val="0"/>
          <w:bCs w:val="0"/>
          <w:szCs w:val="32"/>
        </w:rPr>
        <w:t>支出</w:t>
      </w:r>
      <w:r>
        <w:rPr>
          <w:rFonts w:hint="eastAsia" w:ascii="仿宋_GB2312" w:hAnsi="仿宋"/>
          <w:b w:val="0"/>
          <w:bCs w:val="0"/>
          <w:szCs w:val="32"/>
          <w:lang w:eastAsia="zh-CN"/>
        </w:rPr>
        <w:t>决算为</w:t>
      </w:r>
      <w:r>
        <w:rPr>
          <w:rFonts w:hint="eastAsia" w:ascii="仿宋_GB2312" w:hAnsi="仿宋"/>
          <w:b w:val="0"/>
          <w:bCs w:val="0"/>
          <w:szCs w:val="32"/>
          <w:lang w:val="en-US" w:eastAsia="zh-CN"/>
        </w:rPr>
        <w:t>3.01</w:t>
      </w:r>
      <w:r>
        <w:rPr>
          <w:rFonts w:hint="eastAsia" w:ascii="仿宋_GB2312" w:hAnsi="仿宋"/>
          <w:b w:val="0"/>
          <w:bCs w:val="0"/>
          <w:szCs w:val="32"/>
        </w:rPr>
        <w:t>万元,</w:t>
      </w:r>
      <w:r>
        <w:rPr>
          <w:rFonts w:hint="eastAsia" w:ascii="仿宋_GB2312" w:hAnsi="仿宋"/>
          <w:szCs w:val="32"/>
        </w:rPr>
        <w:t xml:space="preserve"> </w:t>
      </w:r>
      <w:r>
        <w:rPr>
          <w:rFonts w:hint="eastAsia" w:ascii="仿宋_GB2312" w:hAnsi="仿宋"/>
          <w:szCs w:val="32"/>
          <w:lang w:eastAsia="zh-CN"/>
        </w:rPr>
        <w:t>较上年增加</w:t>
      </w:r>
      <w:r>
        <w:rPr>
          <w:rFonts w:hint="eastAsia" w:ascii="仿宋_GB2312" w:hAnsi="仿宋"/>
          <w:szCs w:val="32"/>
          <w:lang w:val="en-US" w:eastAsia="zh-CN"/>
        </w:rPr>
        <w:t>3.01万元</w:t>
      </w:r>
      <w:r>
        <w:rPr>
          <w:rFonts w:hint="eastAsia" w:ascii="仿宋_GB2312" w:hAnsi="仿宋"/>
          <w:szCs w:val="32"/>
          <w:lang w:eastAsia="zh-CN"/>
        </w:rPr>
        <w:t>，</w:t>
      </w:r>
      <w:r>
        <w:rPr>
          <w:rFonts w:hint="eastAsia" w:ascii="仿宋_GB2312" w:hAnsi="仿宋"/>
          <w:szCs w:val="32"/>
        </w:rPr>
        <w:t>增长</w:t>
      </w:r>
      <w:r>
        <w:rPr>
          <w:rFonts w:hint="eastAsia" w:ascii="仿宋_GB2312" w:hAnsi="仿宋"/>
          <w:szCs w:val="32"/>
          <w:lang w:val="en-US" w:eastAsia="zh-CN"/>
        </w:rPr>
        <w:t>100</w:t>
      </w:r>
      <w:r>
        <w:rPr>
          <w:rFonts w:hint="eastAsia" w:ascii="仿宋_GB2312" w:hAnsi="仿宋"/>
          <w:szCs w:val="32"/>
        </w:rPr>
        <w:t>%，增长的原因是</w:t>
      </w:r>
      <w:r>
        <w:rPr>
          <w:rFonts w:hint="eastAsia" w:ascii="仿宋_GB2312" w:hAnsi="仿宋"/>
          <w:szCs w:val="32"/>
          <w:highlight w:val="none"/>
          <w:lang w:eastAsia="zh-CN"/>
        </w:rPr>
        <w:t>招商任务加</w:t>
      </w:r>
      <w:r>
        <w:rPr>
          <w:rFonts w:hint="eastAsia" w:ascii="仿宋_GB2312" w:hAnsi="仿宋"/>
          <w:szCs w:val="32"/>
          <w:highlight w:val="none"/>
          <w:lang w:val="en-US" w:eastAsia="zh-CN"/>
        </w:rPr>
        <w:t>重</w:t>
      </w:r>
      <w:r>
        <w:rPr>
          <w:rFonts w:hint="eastAsia" w:ascii="仿宋_GB2312" w:hAnsi="仿宋"/>
          <w:szCs w:val="32"/>
          <w:highlight w:val="none"/>
          <w:lang w:eastAsia="zh-CN"/>
        </w:rPr>
        <w:t>，年中追加招商</w:t>
      </w:r>
      <w:r>
        <w:rPr>
          <w:rFonts w:hint="eastAsia" w:ascii="仿宋_GB2312" w:hAnsi="仿宋"/>
          <w:szCs w:val="32"/>
          <w:highlight w:val="none"/>
          <w:lang w:val="en-US" w:eastAsia="zh-CN"/>
        </w:rPr>
        <w:t>经费</w:t>
      </w:r>
      <w:r>
        <w:rPr>
          <w:rFonts w:hint="eastAsia" w:ascii="仿宋_GB2312" w:hAnsi="仿宋"/>
          <w:szCs w:val="32"/>
          <w:highlight w:val="none"/>
          <w:lang w:eastAsia="zh-CN"/>
        </w:rPr>
        <w:t>预算</w:t>
      </w:r>
      <w:r>
        <w:rPr>
          <w:rFonts w:hint="eastAsia" w:ascii="仿宋_GB2312" w:hAnsi="仿宋"/>
          <w:szCs w:val="32"/>
        </w:rPr>
        <w:t>。</w:t>
      </w:r>
      <w:r>
        <w:rPr>
          <w:rFonts w:hint="eastAsia" w:ascii="仿宋_GB2312" w:hAnsi="仿宋"/>
          <w:szCs w:val="32"/>
          <w:lang w:eastAsia="zh-CN"/>
        </w:rPr>
        <w:t>2022</w:t>
      </w:r>
      <w:r>
        <w:rPr>
          <w:rFonts w:hint="eastAsia" w:ascii="仿宋_GB2312" w:hAnsi="仿宋"/>
          <w:szCs w:val="32"/>
        </w:rPr>
        <w:t>年</w:t>
      </w:r>
      <w:r>
        <w:rPr>
          <w:rFonts w:hint="eastAsia" w:ascii="仿宋_GB2312" w:hAnsi="仿宋"/>
          <w:szCs w:val="32"/>
          <w:lang w:eastAsia="zh-CN"/>
        </w:rPr>
        <w:t>淮北市相山区机关事务管理中心</w:t>
      </w:r>
      <w:r>
        <w:rPr>
          <w:rFonts w:hint="eastAsia" w:ascii="仿宋_GB2312" w:hAnsi="仿宋"/>
          <w:szCs w:val="32"/>
        </w:rPr>
        <w:t>国内公务接待共</w:t>
      </w:r>
      <w:r>
        <w:rPr>
          <w:rFonts w:hint="eastAsia" w:ascii="仿宋_GB2312" w:hAnsi="仿宋"/>
          <w:szCs w:val="32"/>
          <w:lang w:val="en-US" w:eastAsia="zh-CN"/>
        </w:rPr>
        <w:t>12</w:t>
      </w:r>
      <w:r>
        <w:rPr>
          <w:rFonts w:hint="eastAsia" w:ascii="仿宋_GB2312" w:hAnsi="仿宋"/>
          <w:szCs w:val="32"/>
        </w:rPr>
        <w:t>批次</w:t>
      </w:r>
      <w:r>
        <w:rPr>
          <w:rFonts w:hint="eastAsia" w:ascii="仿宋_GB2312" w:hAnsi="仿宋"/>
          <w:szCs w:val="32"/>
          <w:highlight w:val="none"/>
        </w:rPr>
        <w:t>（</w:t>
      </w:r>
      <w:r>
        <w:rPr>
          <w:rFonts w:hint="eastAsia" w:ascii="仿宋_GB2312" w:hAnsi="仿宋"/>
          <w:szCs w:val="32"/>
          <w:highlight w:val="none"/>
          <w:lang w:eastAsia="zh-CN"/>
        </w:rPr>
        <w:t>无</w:t>
      </w:r>
      <w:r>
        <w:rPr>
          <w:rFonts w:hint="eastAsia" w:ascii="仿宋_GB2312" w:hAnsi="仿宋"/>
          <w:szCs w:val="32"/>
          <w:highlight w:val="none"/>
        </w:rPr>
        <w:t>外事接待）</w:t>
      </w:r>
      <w:r>
        <w:rPr>
          <w:rFonts w:hint="eastAsia" w:ascii="仿宋_GB2312" w:hAnsi="仿宋"/>
          <w:szCs w:val="32"/>
        </w:rPr>
        <w:t>，</w:t>
      </w:r>
      <w:r>
        <w:rPr>
          <w:rFonts w:hint="eastAsia" w:ascii="仿宋_GB2312" w:hAnsi="仿宋"/>
          <w:szCs w:val="32"/>
          <w:lang w:val="en-US" w:eastAsia="zh-CN"/>
        </w:rPr>
        <w:t>130</w:t>
      </w:r>
      <w:r>
        <w:rPr>
          <w:rFonts w:hint="eastAsia" w:ascii="仿宋_GB2312" w:hAnsi="仿宋"/>
          <w:szCs w:val="32"/>
        </w:rPr>
        <w:t>人次（</w:t>
      </w:r>
      <w:r>
        <w:rPr>
          <w:rFonts w:hint="eastAsia" w:ascii="仿宋_GB2312" w:hAnsi="仿宋"/>
          <w:szCs w:val="32"/>
          <w:lang w:eastAsia="zh-CN"/>
        </w:rPr>
        <w:t>无</w:t>
      </w:r>
      <w:r>
        <w:rPr>
          <w:rFonts w:hint="eastAsia" w:ascii="仿宋_GB2312" w:hAnsi="仿宋"/>
          <w:szCs w:val="32"/>
        </w:rPr>
        <w:t>外事接待）。主要是用于招商引资等公务接待。经费严格执行《党政机关厉行节约反对浪费条例》、淮北市公务接待相关规定等。</w:t>
      </w:r>
      <w:bookmarkStart w:id="0" w:name="_GoBack"/>
      <w:bookmarkEnd w:id="0"/>
    </w:p>
    <w:p w14:paraId="2F96063C">
      <w:pPr>
        <w:ind w:firstLine="643" w:firstLineChars="200"/>
        <w:rPr>
          <w:rFonts w:ascii="仿宋_GB2312" w:hAnsi="仿宋"/>
          <w:szCs w:val="32"/>
          <w:highlight w:val="none"/>
        </w:rPr>
      </w:pPr>
      <w:r>
        <w:rPr>
          <w:rFonts w:hint="eastAsia" w:ascii="仿宋_GB2312" w:hAnsi="仿宋"/>
          <w:b/>
          <w:bCs/>
          <w:szCs w:val="32"/>
        </w:rPr>
        <w:t>3.公务用车购置及运行维护费</w:t>
      </w:r>
      <w:r>
        <w:rPr>
          <w:rFonts w:hint="eastAsia" w:ascii="仿宋_GB2312" w:hAnsi="仿宋"/>
          <w:b w:val="0"/>
          <w:bCs w:val="0"/>
          <w:szCs w:val="32"/>
          <w:lang w:eastAsia="zh-CN"/>
        </w:rPr>
        <w:t>预算为</w:t>
      </w:r>
      <w:r>
        <w:rPr>
          <w:rFonts w:hint="eastAsia" w:ascii="仿宋_GB2312" w:hAnsi="仿宋"/>
          <w:b w:val="0"/>
          <w:bCs w:val="0"/>
          <w:szCs w:val="32"/>
          <w:lang w:val="en-US" w:eastAsia="zh-CN"/>
        </w:rPr>
        <w:t>102万元，</w:t>
      </w:r>
      <w:r>
        <w:rPr>
          <w:rFonts w:hint="eastAsia" w:ascii="仿宋_GB2312" w:hAnsi="仿宋"/>
          <w:b w:val="0"/>
          <w:bCs w:val="0"/>
          <w:szCs w:val="32"/>
        </w:rPr>
        <w:t>支出</w:t>
      </w:r>
      <w:r>
        <w:rPr>
          <w:rFonts w:hint="eastAsia" w:ascii="仿宋_GB2312" w:hAnsi="仿宋"/>
          <w:b w:val="0"/>
          <w:bCs w:val="0"/>
          <w:szCs w:val="32"/>
          <w:lang w:eastAsia="zh-CN"/>
        </w:rPr>
        <w:t>决算为</w:t>
      </w:r>
      <w:r>
        <w:rPr>
          <w:rFonts w:hint="eastAsia" w:ascii="仿宋_GB2312" w:hAnsi="仿宋"/>
          <w:szCs w:val="32"/>
          <w:lang w:val="en-US" w:eastAsia="zh-CN"/>
        </w:rPr>
        <w:t>136.70</w:t>
      </w:r>
      <w:r>
        <w:rPr>
          <w:rFonts w:hint="eastAsia" w:ascii="仿宋_GB2312" w:hAnsi="仿宋"/>
          <w:szCs w:val="32"/>
        </w:rPr>
        <w:t>万元，</w:t>
      </w:r>
      <w:r>
        <w:rPr>
          <w:rFonts w:hint="eastAsia" w:ascii="仿宋_GB2312" w:hAnsi="仿宋"/>
          <w:szCs w:val="32"/>
          <w:lang w:eastAsia="zh-CN"/>
        </w:rPr>
        <w:t>完成预算的</w:t>
      </w:r>
      <w:r>
        <w:rPr>
          <w:rFonts w:hint="eastAsia" w:ascii="仿宋_GB2312" w:hAnsi="仿宋"/>
          <w:szCs w:val="32"/>
          <w:lang w:val="en-US" w:eastAsia="zh-CN"/>
        </w:rPr>
        <w:t>134.02%；较上年决算数</w:t>
      </w:r>
      <w:r>
        <w:rPr>
          <w:rFonts w:hint="eastAsia" w:ascii="仿宋_GB2312" w:hAnsi="仿宋"/>
          <w:szCs w:val="32"/>
        </w:rPr>
        <w:t>增加</w:t>
      </w:r>
      <w:r>
        <w:rPr>
          <w:rFonts w:hint="eastAsia" w:ascii="仿宋_GB2312" w:hAnsi="仿宋"/>
          <w:szCs w:val="32"/>
          <w:lang w:val="en-US" w:eastAsia="zh-CN"/>
        </w:rPr>
        <w:t>34.7</w:t>
      </w:r>
      <w:r>
        <w:rPr>
          <w:rFonts w:hint="eastAsia" w:ascii="仿宋_GB2312" w:hAnsi="仿宋"/>
          <w:szCs w:val="32"/>
        </w:rPr>
        <w:t>万元，增长</w:t>
      </w:r>
      <w:r>
        <w:rPr>
          <w:rFonts w:hint="eastAsia" w:ascii="仿宋_GB2312" w:hAnsi="仿宋"/>
          <w:szCs w:val="32"/>
          <w:lang w:val="en-US" w:eastAsia="zh-CN"/>
        </w:rPr>
        <w:t>34.02</w:t>
      </w:r>
      <w:r>
        <w:rPr>
          <w:rFonts w:hint="eastAsia" w:ascii="仿宋_GB2312" w:hAnsi="仿宋"/>
          <w:szCs w:val="32"/>
        </w:rPr>
        <w:t>%</w:t>
      </w:r>
      <w:r>
        <w:rPr>
          <w:rFonts w:hint="eastAsia" w:ascii="仿宋_GB2312" w:hAnsi="仿宋"/>
          <w:szCs w:val="32"/>
          <w:lang w:eastAsia="zh-CN"/>
        </w:rPr>
        <w:t>；决算数大于预算数</w:t>
      </w:r>
      <w:r>
        <w:rPr>
          <w:rFonts w:hint="eastAsia" w:ascii="仿宋_GB2312" w:hAnsi="仿宋"/>
          <w:szCs w:val="32"/>
        </w:rPr>
        <w:t>的</w:t>
      </w:r>
      <w:r>
        <w:rPr>
          <w:rFonts w:hint="eastAsia" w:ascii="仿宋_GB2312" w:hAnsi="仿宋"/>
          <w:szCs w:val="32"/>
          <w:lang w:eastAsia="zh-CN"/>
        </w:rPr>
        <w:t>主要</w:t>
      </w:r>
      <w:r>
        <w:rPr>
          <w:rFonts w:hint="eastAsia" w:ascii="仿宋_GB2312" w:hAnsi="仿宋"/>
          <w:szCs w:val="32"/>
        </w:rPr>
        <w:t>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r>
        <w:rPr>
          <w:rFonts w:hint="eastAsia" w:ascii="仿宋_GB2312" w:hAnsi="仿宋"/>
          <w:szCs w:val="32"/>
          <w:lang w:eastAsia="zh-CN"/>
        </w:rPr>
        <w:t>；决算数较上年增加的主要原因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p>
    <w:p w14:paraId="4857DA68">
      <w:pPr>
        <w:ind w:firstLine="640" w:firstLineChars="200"/>
        <w:rPr>
          <w:rFonts w:ascii="仿宋_GB2312" w:hAnsi="仿宋"/>
          <w:szCs w:val="32"/>
          <w:highlight w:val="none"/>
        </w:rPr>
      </w:pPr>
      <w:r>
        <w:rPr>
          <w:rFonts w:hint="eastAsia" w:ascii="仿宋_GB2312" w:hAnsi="仿宋"/>
          <w:szCs w:val="32"/>
        </w:rPr>
        <w:t>其中，公务用车购置费</w:t>
      </w:r>
      <w:r>
        <w:rPr>
          <w:rFonts w:hint="eastAsia" w:ascii="仿宋_GB2312" w:hAnsi="仿宋"/>
          <w:szCs w:val="32"/>
          <w:lang w:eastAsia="zh-CN"/>
        </w:rPr>
        <w:t>预算数</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支出</w:t>
      </w:r>
      <w:r>
        <w:rPr>
          <w:rFonts w:hint="eastAsia" w:ascii="仿宋_GB2312" w:hAnsi="仿宋"/>
          <w:szCs w:val="32"/>
          <w:lang w:val="en-US" w:eastAsia="zh-CN"/>
        </w:rPr>
        <w:t>0万元，完成预算100%，较上年决算数相比减少100万元，下降100%，决算数等于预算数的原因是</w:t>
      </w:r>
      <w:r>
        <w:rPr>
          <w:rFonts w:hint="eastAsia" w:ascii="仿宋_GB2312" w:hAnsi="仿宋"/>
          <w:szCs w:val="32"/>
          <w:lang w:eastAsia="zh-CN"/>
        </w:rPr>
        <w:t>2022</w:t>
      </w:r>
      <w:r>
        <w:rPr>
          <w:rFonts w:hint="eastAsia" w:ascii="仿宋_GB2312" w:hAnsi="仿宋"/>
          <w:szCs w:val="32"/>
        </w:rPr>
        <w:t>年没有安排公务用车购置费。</w:t>
      </w:r>
      <w:r>
        <w:rPr>
          <w:rFonts w:hint="eastAsia" w:ascii="仿宋_GB2312" w:hAnsi="仿宋"/>
          <w:szCs w:val="32"/>
          <w:lang w:eastAsia="zh-CN"/>
        </w:rPr>
        <w:t>决算数较上年减少的原因是</w:t>
      </w:r>
      <w:r>
        <w:rPr>
          <w:rFonts w:hint="eastAsia" w:ascii="仿宋_GB2312" w:hAnsi="仿宋"/>
          <w:szCs w:val="32"/>
          <w:highlight w:val="none"/>
          <w:lang w:val="en-US" w:eastAsia="zh-CN"/>
        </w:rPr>
        <w:t>2022年无公务用车购置支出。</w:t>
      </w:r>
      <w:r>
        <w:rPr>
          <w:rFonts w:hint="eastAsia" w:ascii="仿宋_GB2312" w:hAnsi="仿宋"/>
          <w:szCs w:val="32"/>
        </w:rPr>
        <w:t>公务用车运行维护费</w:t>
      </w:r>
      <w:r>
        <w:rPr>
          <w:rFonts w:hint="eastAsia" w:ascii="仿宋_GB2312" w:hAnsi="仿宋"/>
          <w:szCs w:val="32"/>
          <w:lang w:eastAsia="zh-CN"/>
        </w:rPr>
        <w:t>预算数</w:t>
      </w:r>
      <w:r>
        <w:rPr>
          <w:rFonts w:hint="eastAsia" w:ascii="仿宋_GB2312" w:hAnsi="仿宋"/>
          <w:szCs w:val="32"/>
          <w:lang w:val="en-US" w:eastAsia="zh-CN"/>
        </w:rPr>
        <w:t>102万元</w:t>
      </w:r>
      <w:r>
        <w:rPr>
          <w:rFonts w:hint="eastAsia" w:ascii="仿宋_GB2312" w:hAnsi="仿宋"/>
          <w:szCs w:val="32"/>
        </w:rPr>
        <w:t>，</w:t>
      </w:r>
      <w:r>
        <w:rPr>
          <w:rFonts w:hint="eastAsia" w:ascii="仿宋_GB2312" w:hAnsi="仿宋"/>
          <w:szCs w:val="32"/>
          <w:lang w:eastAsia="zh-CN"/>
        </w:rPr>
        <w:t>支出</w:t>
      </w:r>
      <w:r>
        <w:rPr>
          <w:rFonts w:hint="eastAsia" w:ascii="仿宋_GB2312" w:hAnsi="仿宋"/>
          <w:szCs w:val="32"/>
          <w:lang w:val="en-US" w:eastAsia="zh-CN"/>
        </w:rPr>
        <w:t>136.7万元，完成预算的134.02%；较上年决算数相比</w:t>
      </w:r>
      <w:r>
        <w:rPr>
          <w:rFonts w:hint="eastAsia" w:ascii="仿宋_GB2312" w:hAnsi="仿宋"/>
          <w:szCs w:val="32"/>
        </w:rPr>
        <w:t>增加</w:t>
      </w:r>
      <w:r>
        <w:rPr>
          <w:rFonts w:hint="eastAsia" w:ascii="仿宋_GB2312" w:hAnsi="仿宋"/>
          <w:szCs w:val="32"/>
          <w:lang w:val="en-US" w:eastAsia="zh-CN"/>
        </w:rPr>
        <w:t>34.7</w:t>
      </w:r>
      <w:r>
        <w:rPr>
          <w:rFonts w:hint="eastAsia" w:ascii="仿宋_GB2312" w:hAnsi="仿宋"/>
          <w:szCs w:val="32"/>
        </w:rPr>
        <w:t>万元，增长</w:t>
      </w:r>
      <w:r>
        <w:rPr>
          <w:rFonts w:hint="eastAsia" w:ascii="仿宋_GB2312" w:hAnsi="仿宋"/>
          <w:szCs w:val="32"/>
          <w:lang w:val="en-US" w:eastAsia="zh-CN"/>
        </w:rPr>
        <w:t>34.02</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决算数大于预算数的原因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r>
        <w:rPr>
          <w:rFonts w:hint="eastAsia" w:ascii="仿宋_GB2312" w:hAnsi="仿宋"/>
          <w:szCs w:val="32"/>
          <w:lang w:eastAsia="zh-CN"/>
        </w:rPr>
        <w:t>；决算数较上年增加的主要原因</w:t>
      </w:r>
      <w:r>
        <w:rPr>
          <w:rFonts w:hint="eastAsia" w:ascii="仿宋_GB2312" w:hAnsi="仿宋"/>
          <w:szCs w:val="32"/>
          <w:highlight w:val="none"/>
          <w:lang w:eastAsia="zh-CN"/>
        </w:rPr>
        <w:t>一</w:t>
      </w:r>
      <w:r>
        <w:rPr>
          <w:rFonts w:hint="eastAsia" w:ascii="仿宋_GB2312" w:hAnsi="仿宋"/>
          <w:szCs w:val="32"/>
          <w:highlight w:val="none"/>
        </w:rPr>
        <w:t>是</w:t>
      </w:r>
      <w:r>
        <w:rPr>
          <w:rFonts w:hint="eastAsia" w:ascii="仿宋_GB2312" w:hAnsi="仿宋"/>
          <w:szCs w:val="32"/>
          <w:highlight w:val="none"/>
          <w:lang w:val="en-US" w:eastAsia="zh-CN"/>
        </w:rPr>
        <w:t>2022年租赁新能源汽车10台、大众帕萨特2辆、宇通中巴车1台，共计13台公务车</w:t>
      </w:r>
      <w:r>
        <w:rPr>
          <w:rFonts w:hint="eastAsia" w:ascii="仿宋_GB2312" w:hAnsi="仿宋"/>
          <w:color w:val="000000"/>
          <w:szCs w:val="32"/>
          <w:highlight w:val="none"/>
          <w:lang w:eastAsia="zh-CN"/>
        </w:rPr>
        <w:t>产生的</w:t>
      </w:r>
      <w:r>
        <w:rPr>
          <w:rFonts w:hint="eastAsia" w:ascii="仿宋_GB2312" w:hAnsi="仿宋"/>
          <w:szCs w:val="32"/>
          <w:highlight w:val="none"/>
        </w:rPr>
        <w:t>车辆燃料费、维修费、过路过桥费、保险费等支出</w:t>
      </w:r>
      <w:r>
        <w:rPr>
          <w:rFonts w:hint="eastAsia" w:ascii="仿宋_GB2312" w:hAnsi="仿宋"/>
          <w:szCs w:val="32"/>
          <w:highlight w:val="none"/>
          <w:lang w:eastAsia="zh-CN"/>
        </w:rPr>
        <w:t>；二是</w:t>
      </w:r>
      <w:r>
        <w:rPr>
          <w:rFonts w:hint="eastAsia" w:ascii="仿宋_GB2312" w:hAnsi="仿宋"/>
          <w:szCs w:val="32"/>
          <w:highlight w:val="none"/>
          <w:lang w:val="en-US" w:eastAsia="zh-CN"/>
        </w:rPr>
        <w:t>2022年疫情严峻，成立流调组、追阳组等小组，公车使用频繁，产生大量</w:t>
      </w:r>
      <w:r>
        <w:rPr>
          <w:rFonts w:hint="eastAsia" w:ascii="仿宋_GB2312" w:hAnsi="仿宋"/>
          <w:szCs w:val="32"/>
          <w:highlight w:val="none"/>
        </w:rPr>
        <w:t>车辆燃料费、维修费、过路过桥费。</w:t>
      </w:r>
    </w:p>
    <w:p w14:paraId="427B24A3">
      <w:pPr>
        <w:ind w:firstLine="640" w:firstLineChars="200"/>
      </w:pPr>
      <w:r>
        <w:rPr>
          <w:rFonts w:hint="eastAsia" w:ascii="仿宋_GB2312" w:hAnsi="仿宋"/>
          <w:szCs w:val="32"/>
        </w:rPr>
        <w:t>公务用车运行维护费包括车辆燃料费、维修费、过路过桥费、保险费等支出，主要用于</w:t>
      </w:r>
      <w:r>
        <w:rPr>
          <w:rFonts w:hint="eastAsia" w:ascii="仿宋_GB2312" w:hAnsi="仿宋"/>
          <w:szCs w:val="32"/>
          <w:lang w:eastAsia="zh-CN"/>
        </w:rPr>
        <w:t>保障公车正常运行</w:t>
      </w:r>
      <w:r>
        <w:rPr>
          <w:rFonts w:hint="eastAsia" w:ascii="仿宋_GB2312" w:hAnsi="仿宋"/>
          <w:szCs w:val="32"/>
        </w:rPr>
        <w:t>。截至</w:t>
      </w:r>
      <w:r>
        <w:rPr>
          <w:rFonts w:hint="eastAsia" w:ascii="仿宋_GB2312" w:hAnsi="仿宋"/>
          <w:szCs w:val="32"/>
          <w:lang w:eastAsia="zh-CN"/>
        </w:rPr>
        <w:t>2022</w:t>
      </w:r>
      <w:r>
        <w:rPr>
          <w:rFonts w:hint="eastAsia" w:ascii="仿宋_GB2312" w:hAnsi="仿宋"/>
          <w:szCs w:val="32"/>
        </w:rPr>
        <w:t>年12月31日，</w:t>
      </w:r>
      <w:r>
        <w:rPr>
          <w:rFonts w:hint="eastAsia" w:ascii="仿宋_GB2312" w:hAnsi="仿宋"/>
          <w:szCs w:val="32"/>
          <w:lang w:eastAsia="zh-CN"/>
        </w:rPr>
        <w:t>淮北市相山区机关事务管理中心</w:t>
      </w:r>
      <w:r>
        <w:rPr>
          <w:rFonts w:hint="eastAsia" w:ascii="仿宋_GB2312" w:hAnsi="仿宋"/>
          <w:szCs w:val="32"/>
        </w:rPr>
        <w:t>开支财政拨款的公务用车保有量为</w:t>
      </w:r>
      <w:r>
        <w:rPr>
          <w:rFonts w:hint="eastAsia" w:ascii="仿宋_GB2312" w:hAnsi="仿宋"/>
          <w:szCs w:val="32"/>
          <w:lang w:val="en-US" w:eastAsia="zh-CN"/>
        </w:rPr>
        <w:t>52</w:t>
      </w:r>
      <w:r>
        <w:rPr>
          <w:rFonts w:hint="eastAsia" w:ascii="仿宋_GB2312" w:hAnsi="仿宋"/>
          <w:szCs w:val="32"/>
        </w:rPr>
        <w:t>辆。</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E968D"/>
    <w:multiLevelType w:val="singleLevel"/>
    <w:tmpl w:val="109E96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2YzYTNhYTZhYzlhZjI4ZTg3MmMzZjFhMzRhNmE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4294927"/>
    <w:rsid w:val="05A1203D"/>
    <w:rsid w:val="05BA3766"/>
    <w:rsid w:val="0C160487"/>
    <w:rsid w:val="0C230DF6"/>
    <w:rsid w:val="0ECD531E"/>
    <w:rsid w:val="0FA45F2A"/>
    <w:rsid w:val="10F859AE"/>
    <w:rsid w:val="180C6BE2"/>
    <w:rsid w:val="19C80EA7"/>
    <w:rsid w:val="1B612DA1"/>
    <w:rsid w:val="1EAA15CE"/>
    <w:rsid w:val="1ED07CB1"/>
    <w:rsid w:val="1EE12B77"/>
    <w:rsid w:val="2EB273F9"/>
    <w:rsid w:val="2F00322A"/>
    <w:rsid w:val="30517430"/>
    <w:rsid w:val="34847DD4"/>
    <w:rsid w:val="37623D83"/>
    <w:rsid w:val="38E87AAD"/>
    <w:rsid w:val="39DE664D"/>
    <w:rsid w:val="45513D03"/>
    <w:rsid w:val="478706ED"/>
    <w:rsid w:val="48071E73"/>
    <w:rsid w:val="489F4D85"/>
    <w:rsid w:val="4B5E0F27"/>
    <w:rsid w:val="51542485"/>
    <w:rsid w:val="575E7AF7"/>
    <w:rsid w:val="579D4B86"/>
    <w:rsid w:val="579E08FE"/>
    <w:rsid w:val="5C8B1154"/>
    <w:rsid w:val="5C974299"/>
    <w:rsid w:val="5DA30A1C"/>
    <w:rsid w:val="5FDE3F8D"/>
    <w:rsid w:val="61142EE7"/>
    <w:rsid w:val="627C5F72"/>
    <w:rsid w:val="651D7306"/>
    <w:rsid w:val="65CA056E"/>
    <w:rsid w:val="68B00491"/>
    <w:rsid w:val="69345DB8"/>
    <w:rsid w:val="6CEF77DA"/>
    <w:rsid w:val="6DB17135"/>
    <w:rsid w:val="70082001"/>
    <w:rsid w:val="710B6BAC"/>
    <w:rsid w:val="71632544"/>
    <w:rsid w:val="74D91128"/>
    <w:rsid w:val="76687AA8"/>
    <w:rsid w:val="768216BE"/>
    <w:rsid w:val="771147F0"/>
    <w:rsid w:val="77444BC6"/>
    <w:rsid w:val="782B18E2"/>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1768</Words>
  <Characters>1991</Characters>
  <Lines>8</Lines>
  <Paragraphs>2</Paragraphs>
  <TotalTime>13</TotalTime>
  <ScaleCrop>false</ScaleCrop>
  <LinksUpToDate>false</LinksUpToDate>
  <CharactersWithSpaces>2047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白鹿姑娘</cp:lastModifiedBy>
  <cp:lastPrinted>2020-09-14T08:17:00Z</cp:lastPrinted>
  <dcterms:modified xsi:type="dcterms:W3CDTF">2025-08-15T09:29:55Z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BBF08C0E0379420C8C104E52CD310CE2_13</vt:lpwstr>
  </property>
  <property fmtid="{D5CDD505-2E9C-101B-9397-08002B2CF9AE}" pid="4" name="KSOTemplateDocerSaveRecord">
    <vt:lpwstr>eyJoZGlkIjoiOTQxMjZjMmU3MjIxZmM3NzcwNDQ1M2Q4Zjg1MGJhZWEiLCJ1c2VySWQiOiIzNjI3NjM3ODkifQ==</vt:lpwstr>
  </property>
</Properties>
</file>