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14B58">
      <w:pPr>
        <w:jc w:val="center"/>
        <w:rPr>
          <w:rFonts w:ascii="宋体" w:hAnsi="宋体"/>
          <w:b/>
          <w:sz w:val="36"/>
          <w:szCs w:val="36"/>
        </w:rPr>
      </w:pPr>
      <w:r>
        <w:rPr>
          <w:rFonts w:hint="eastAsia" w:ascii="宋体" w:hAnsi="宋体"/>
          <w:b/>
          <w:sz w:val="36"/>
          <w:szCs w:val="36"/>
          <w:lang w:eastAsia="zh-CN"/>
        </w:rPr>
        <w:t>相山区统计</w:t>
      </w:r>
      <w:r>
        <w:rPr>
          <w:rFonts w:hint="eastAsia" w:ascii="宋体" w:hAnsi="宋体"/>
          <w:b/>
          <w:sz w:val="36"/>
          <w:szCs w:val="36"/>
        </w:rPr>
        <w:t>局</w:t>
      </w:r>
      <w:r>
        <w:rPr>
          <w:rFonts w:hint="eastAsia" w:ascii="宋体" w:hAnsi="宋体"/>
          <w:b/>
          <w:sz w:val="36"/>
          <w:szCs w:val="36"/>
          <w:lang w:eastAsia="zh-CN"/>
        </w:rPr>
        <w:t>202</w:t>
      </w:r>
      <w:r>
        <w:rPr>
          <w:rFonts w:hint="eastAsia" w:ascii="宋体" w:hAnsi="宋体"/>
          <w:b/>
          <w:sz w:val="36"/>
          <w:szCs w:val="36"/>
          <w:lang w:val="en-US" w:eastAsia="zh-CN"/>
        </w:rPr>
        <w:t>2</w:t>
      </w:r>
      <w:r>
        <w:rPr>
          <w:rFonts w:ascii="宋体" w:hAnsi="宋体"/>
          <w:b/>
          <w:sz w:val="36"/>
          <w:szCs w:val="36"/>
        </w:rPr>
        <w:t>年</w:t>
      </w:r>
      <w:r>
        <w:rPr>
          <w:rFonts w:hint="eastAsia" w:ascii="宋体" w:hAnsi="宋体"/>
          <w:b/>
          <w:sz w:val="36"/>
          <w:szCs w:val="36"/>
        </w:rPr>
        <w:t>度一般公共预算财政</w:t>
      </w:r>
    </w:p>
    <w:p w14:paraId="2A6542CC">
      <w:pPr>
        <w:jc w:val="center"/>
        <w:rPr>
          <w:rFonts w:ascii="宋体" w:hAnsi="宋体"/>
          <w:b/>
          <w:sz w:val="36"/>
          <w:szCs w:val="36"/>
        </w:rPr>
      </w:pPr>
      <w:r>
        <w:rPr>
          <w:rFonts w:hint="eastAsia" w:ascii="宋体" w:hAnsi="宋体"/>
          <w:b/>
          <w:sz w:val="36"/>
          <w:szCs w:val="36"/>
        </w:rPr>
        <w:t>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14:paraId="01AE2413">
      <w:pPr>
        <w:jc w:val="center"/>
        <w:rPr>
          <w:rFonts w:ascii="楷体_GB2312" w:eastAsia="楷体_GB2312"/>
          <w:szCs w:val="32"/>
        </w:rPr>
      </w:pPr>
    </w:p>
    <w:p w14:paraId="59A000CF">
      <w:pPr>
        <w:jc w:val="center"/>
        <w:rPr>
          <w:rFonts w:ascii="楷体_GB2312" w:eastAsia="楷体_GB2312"/>
          <w:szCs w:val="32"/>
        </w:rPr>
      </w:pPr>
    </w:p>
    <w:p w14:paraId="647447A7">
      <w:pPr>
        <w:adjustRightInd w:val="0"/>
        <w:snapToGrid w:val="0"/>
        <w:spacing w:line="360" w:lineRule="auto"/>
        <w:jc w:val="center"/>
        <w:rPr>
          <w:rFonts w:ascii="宋体" w:hAnsi="宋体"/>
          <w:sz w:val="6"/>
          <w:szCs w:val="32"/>
        </w:rPr>
      </w:pPr>
    </w:p>
    <w:p w14:paraId="2CB0B627">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2022</w:t>
      </w:r>
      <w:r>
        <w:rPr>
          <w:rFonts w:hint="eastAsia" w:ascii="黑体" w:hAnsi="黑体" w:eastAsia="黑体"/>
          <w:szCs w:val="32"/>
        </w:rPr>
        <w:t>年度一般公共预算财政拨款“三公”经费支出决算表</w:t>
      </w:r>
    </w:p>
    <w:p w14:paraId="0AC77DF0">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66182FE4">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5C8BEA99">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4484E3BA">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5DEE3CB1">
            <w:pPr>
              <w:widowControl/>
              <w:jc w:val="center"/>
              <w:rPr>
                <w:rFonts w:ascii="宋体" w:hAnsi="宋体" w:cs="宋体"/>
                <w:b/>
                <w:bCs/>
                <w:kern w:val="0"/>
                <w:szCs w:val="21"/>
              </w:rPr>
            </w:pPr>
            <w:r>
              <w:rPr>
                <w:rFonts w:hint="eastAsia" w:ascii="宋体" w:hAnsi="宋体" w:cs="宋体"/>
                <w:b/>
                <w:bCs/>
                <w:kern w:val="0"/>
                <w:szCs w:val="21"/>
              </w:rPr>
              <w:t>决 算 数</w:t>
            </w:r>
          </w:p>
        </w:tc>
      </w:tr>
      <w:tr w14:paraId="2CE00DE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C8E38CF">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3F6421E7">
            <w:pPr>
              <w:widowControl/>
              <w:jc w:val="center"/>
              <w:rPr>
                <w:rFonts w:ascii="宋体" w:hAnsi="宋体" w:cs="宋体"/>
                <w:b/>
                <w:bCs/>
                <w:kern w:val="0"/>
                <w:szCs w:val="21"/>
              </w:rPr>
            </w:pPr>
            <w:r>
              <w:rPr>
                <w:rFonts w:hint="eastAsia" w:ascii="宋体" w:hAnsi="宋体" w:cs="宋体"/>
                <w:b/>
                <w:bCs/>
                <w:kern w:val="0"/>
                <w:szCs w:val="21"/>
                <w:lang w:val="en-US" w:eastAsia="zh-CN"/>
              </w:rPr>
              <w:t>0.3</w:t>
            </w:r>
          </w:p>
        </w:tc>
        <w:tc>
          <w:tcPr>
            <w:tcW w:w="2220" w:type="dxa"/>
            <w:tcBorders>
              <w:top w:val="nil"/>
              <w:left w:val="nil"/>
              <w:bottom w:val="single" w:color="auto" w:sz="4" w:space="0"/>
              <w:right w:val="single" w:color="auto" w:sz="4" w:space="0"/>
            </w:tcBorders>
            <w:vAlign w:val="center"/>
          </w:tcPr>
          <w:p w14:paraId="4B4A481D">
            <w:pPr>
              <w:widowControl/>
              <w:jc w:val="center"/>
              <w:rPr>
                <w:rFonts w:ascii="宋体" w:hAnsi="宋体" w:cs="宋体"/>
                <w:b/>
                <w:bCs/>
                <w:kern w:val="0"/>
                <w:szCs w:val="21"/>
              </w:rPr>
            </w:pPr>
            <w:r>
              <w:rPr>
                <w:rFonts w:hint="eastAsia" w:ascii="宋体" w:hAnsi="宋体" w:cs="宋体"/>
                <w:b/>
                <w:bCs/>
                <w:kern w:val="0"/>
                <w:szCs w:val="21"/>
                <w:lang w:val="en-US" w:eastAsia="zh-CN"/>
              </w:rPr>
              <w:t>0.88</w:t>
            </w:r>
          </w:p>
        </w:tc>
      </w:tr>
      <w:tr w14:paraId="109544F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75CDC28">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2F1F7D0B">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6F3B4B80">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38ACF52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EB5CBCE">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1D0E4431">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0.3</w:t>
            </w:r>
          </w:p>
        </w:tc>
        <w:tc>
          <w:tcPr>
            <w:tcW w:w="2220" w:type="dxa"/>
            <w:tcBorders>
              <w:top w:val="nil"/>
              <w:left w:val="nil"/>
              <w:bottom w:val="single" w:color="auto" w:sz="4" w:space="0"/>
              <w:right w:val="single" w:color="auto" w:sz="4" w:space="0"/>
            </w:tcBorders>
            <w:vAlign w:val="bottom"/>
          </w:tcPr>
          <w:p w14:paraId="292E791B">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0.88</w:t>
            </w:r>
          </w:p>
        </w:tc>
      </w:tr>
      <w:tr w14:paraId="1093E2E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E2E086E">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5743A09D">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3AD46C52">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4DD3CCB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42C779D">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4EEF1E1E">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587430FE">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78F42E3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7FBC2C8">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044FE1A3">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vAlign w:val="bottom"/>
          </w:tcPr>
          <w:p w14:paraId="54C66046">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bl>
    <w:p w14:paraId="6E2CCFEB">
      <w:pPr>
        <w:ind w:firstLine="640" w:firstLineChars="200"/>
        <w:rPr>
          <w:rFonts w:hint="eastAsia" w:ascii="黑体" w:hAnsi="黑体" w:eastAsia="黑体"/>
          <w:sz w:val="21"/>
          <w:szCs w:val="21"/>
        </w:rPr>
      </w:pPr>
      <w:r>
        <w:rPr>
          <w:rFonts w:hint="eastAsia" w:ascii="黑体" w:hAnsi="黑体" w:eastAsia="黑体"/>
          <w:szCs w:val="32"/>
        </w:rPr>
        <w:t xml:space="preserve">                  </w:t>
      </w:r>
    </w:p>
    <w:p w14:paraId="46367286">
      <w:pPr>
        <w:rPr>
          <w:rFonts w:ascii="黑体" w:hAnsi="黑体" w:eastAsia="黑体"/>
          <w:szCs w:val="32"/>
        </w:rPr>
      </w:pPr>
      <w:r>
        <w:rPr>
          <w:rFonts w:hint="eastAsia" w:ascii="仿宋_GB2312" w:hAnsi="仿宋"/>
          <w:color w:val="auto"/>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黑体" w:hAnsi="黑体" w:eastAsia="黑体"/>
          <w:szCs w:val="32"/>
        </w:rPr>
        <w:t xml:space="preserve">                    </w:t>
      </w:r>
    </w:p>
    <w:p w14:paraId="5DC8CF82">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6151F8DF">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5FF1F099">
      <w:pPr>
        <w:ind w:firstLine="640" w:firstLineChars="200"/>
        <w:rPr>
          <w:rFonts w:ascii="仿宋_GB2312" w:hAnsi="仿宋"/>
          <w:szCs w:val="32"/>
        </w:rPr>
      </w:pPr>
      <w:r>
        <w:rPr>
          <w:rFonts w:hint="eastAsia" w:ascii="仿宋_GB2312" w:hAnsi="仿宋"/>
          <w:szCs w:val="32"/>
          <w:lang w:eastAsia="zh-CN"/>
        </w:rPr>
        <w:t>淮北市相山区统计</w:t>
      </w:r>
      <w:r>
        <w:rPr>
          <w:rFonts w:hint="eastAsia" w:ascii="仿宋_GB2312" w:hAnsi="仿宋"/>
          <w:szCs w:val="32"/>
        </w:rPr>
        <w:t>局</w:t>
      </w:r>
      <w:r>
        <w:rPr>
          <w:rFonts w:hint="eastAsia" w:ascii="仿宋_GB2312" w:hAnsi="仿宋"/>
          <w:szCs w:val="32"/>
          <w:lang w:eastAsia="zh-CN"/>
        </w:rPr>
        <w:t>2022</w:t>
      </w:r>
      <w:r>
        <w:rPr>
          <w:rFonts w:hint="eastAsia" w:ascii="仿宋_GB2312" w:hAnsi="仿宋"/>
          <w:szCs w:val="32"/>
        </w:rPr>
        <w:t>年度一般公共预算财政拨款“三公”经费支出预算为</w:t>
      </w:r>
      <w:r>
        <w:rPr>
          <w:rFonts w:hint="eastAsia" w:ascii="仿宋_GB2312" w:hAnsi="仿宋"/>
          <w:szCs w:val="32"/>
          <w:lang w:val="en-US" w:eastAsia="zh-CN"/>
        </w:rPr>
        <w:t>0.3</w:t>
      </w:r>
      <w:r>
        <w:rPr>
          <w:rFonts w:hint="eastAsia" w:ascii="仿宋_GB2312" w:hAnsi="仿宋"/>
          <w:szCs w:val="32"/>
        </w:rPr>
        <w:t>万元，支出决算为</w:t>
      </w:r>
      <w:r>
        <w:rPr>
          <w:rFonts w:hint="eastAsia" w:ascii="仿宋_GB2312" w:hAnsi="仿宋"/>
          <w:szCs w:val="32"/>
          <w:lang w:val="en-US" w:eastAsia="zh-CN"/>
        </w:rPr>
        <w:t>0.88</w:t>
      </w:r>
      <w:r>
        <w:rPr>
          <w:rFonts w:hint="eastAsia" w:ascii="仿宋_GB2312" w:hAnsi="仿宋"/>
          <w:szCs w:val="32"/>
        </w:rPr>
        <w:t>万元，完成预算的</w:t>
      </w:r>
      <w:r>
        <w:rPr>
          <w:rFonts w:hint="eastAsia" w:ascii="仿宋_GB2312" w:hAnsi="仿宋"/>
          <w:szCs w:val="32"/>
          <w:lang w:val="en-US" w:eastAsia="zh-CN"/>
        </w:rPr>
        <w:t>293.33</w:t>
      </w:r>
      <w:r>
        <w:rPr>
          <w:rFonts w:hint="eastAsia" w:ascii="仿宋_GB2312" w:hAnsi="仿宋"/>
          <w:szCs w:val="32"/>
        </w:rPr>
        <w:t>%</w:t>
      </w:r>
      <w:r>
        <w:rPr>
          <w:rFonts w:hint="eastAsia" w:ascii="仿宋_GB2312" w:hAnsi="仿宋"/>
          <w:szCs w:val="32"/>
          <w:lang w:eastAsia="zh-CN"/>
        </w:rPr>
        <w:t>；较上年减少</w:t>
      </w:r>
      <w:r>
        <w:rPr>
          <w:rFonts w:hint="eastAsia" w:ascii="仿宋_GB2312" w:hAnsi="仿宋"/>
          <w:szCs w:val="32"/>
          <w:lang w:val="en-US" w:eastAsia="zh-CN"/>
        </w:rPr>
        <w:t>0.21万元，减少19.27%。</w:t>
      </w:r>
      <w:r>
        <w:rPr>
          <w:rFonts w:hint="eastAsia" w:ascii="仿宋_GB2312" w:hAnsi="仿宋"/>
          <w:szCs w:val="32"/>
        </w:rPr>
        <w:t>决算数大于预算数的主要原因是</w:t>
      </w:r>
      <w:r>
        <w:rPr>
          <w:rFonts w:hint="eastAsia" w:ascii="仿宋_GB2312" w:hAnsi="仿宋"/>
          <w:szCs w:val="32"/>
          <w:lang w:eastAsia="zh-CN"/>
        </w:rPr>
        <w:t>上级部门业务指导及检查工作招待费等支出</w:t>
      </w:r>
      <w:r>
        <w:rPr>
          <w:rFonts w:hint="eastAsia" w:ascii="仿宋_GB2312" w:hAnsi="仿宋"/>
          <w:szCs w:val="32"/>
        </w:rPr>
        <w:t>。</w:t>
      </w:r>
    </w:p>
    <w:p w14:paraId="5FD43AE2">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276968ED">
      <w:pPr>
        <w:ind w:firstLine="640" w:firstLineChars="200"/>
        <w:rPr>
          <w:rFonts w:ascii="仿宋_GB2312" w:hAnsi="仿宋"/>
          <w:szCs w:val="32"/>
        </w:rPr>
      </w:pPr>
      <w:r>
        <w:rPr>
          <w:rFonts w:hint="eastAsia" w:ascii="仿宋_GB2312" w:hAnsi="仿宋"/>
          <w:szCs w:val="32"/>
          <w:lang w:eastAsia="zh-CN"/>
        </w:rPr>
        <w:t>淮北市相山区统计</w:t>
      </w:r>
      <w:r>
        <w:rPr>
          <w:rFonts w:hint="eastAsia" w:ascii="仿宋_GB2312" w:hAnsi="仿宋"/>
          <w:szCs w:val="32"/>
        </w:rPr>
        <w:t>局</w:t>
      </w:r>
      <w:r>
        <w:rPr>
          <w:rFonts w:hint="eastAsia" w:ascii="仿宋_GB2312" w:hAnsi="仿宋"/>
          <w:szCs w:val="32"/>
          <w:lang w:eastAsia="zh-CN"/>
        </w:rPr>
        <w:t>2022</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万元;公务接待费支出决算</w:t>
      </w:r>
      <w:r>
        <w:rPr>
          <w:rFonts w:hint="eastAsia" w:ascii="仿宋_GB2312" w:hAnsi="仿宋"/>
          <w:szCs w:val="32"/>
          <w:lang w:val="en-US" w:eastAsia="zh-CN"/>
        </w:rPr>
        <w:t>0.88</w:t>
      </w:r>
      <w:r>
        <w:rPr>
          <w:rFonts w:hint="eastAsia" w:ascii="仿宋_GB2312" w:hAnsi="仿宋"/>
          <w:szCs w:val="32"/>
        </w:rPr>
        <w:t>万元，</w:t>
      </w:r>
      <w:r>
        <w:rPr>
          <w:rFonts w:hint="eastAsia" w:ascii="仿宋_GB2312" w:hAnsi="仿宋"/>
          <w:szCs w:val="32"/>
          <w:lang w:eastAsia="zh-CN"/>
        </w:rPr>
        <w:t>占</w:t>
      </w:r>
      <w:r>
        <w:rPr>
          <w:rFonts w:hint="eastAsia" w:ascii="仿宋_GB2312" w:hAnsi="仿宋"/>
          <w:szCs w:val="32"/>
          <w:lang w:val="en-US" w:eastAsia="zh-CN"/>
        </w:rPr>
        <w:t>100%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具体</w:t>
      </w:r>
      <w:r>
        <w:rPr>
          <w:rFonts w:hint="eastAsia" w:ascii="仿宋_GB2312" w:hAnsi="仿宋"/>
          <w:szCs w:val="32"/>
        </w:rPr>
        <w:t>情况如下：</w:t>
      </w:r>
    </w:p>
    <w:p w14:paraId="34B8E103">
      <w:pPr>
        <w:numPr>
          <w:ilvl w:val="0"/>
          <w:numId w:val="1"/>
        </w:numPr>
        <w:ind w:firstLine="628"/>
        <w:rPr>
          <w:rFonts w:hint="eastAsia" w:ascii="仿宋_GB2312" w:hAnsi="仿宋"/>
          <w:szCs w:val="32"/>
        </w:rPr>
      </w:pPr>
      <w:r>
        <w:rPr>
          <w:rFonts w:hint="eastAsia" w:ascii="仿宋_GB2312" w:hAnsi="仿宋"/>
          <w:b/>
          <w:bCs/>
          <w:szCs w:val="32"/>
        </w:rPr>
        <w:t>因公出国（境）费</w:t>
      </w:r>
      <w:r>
        <w:rPr>
          <w:rFonts w:hint="eastAsia" w:ascii="仿宋_GB2312" w:hAnsi="仿宋"/>
          <w:b w:val="0"/>
          <w:bCs w:val="0"/>
          <w:szCs w:val="32"/>
          <w:lang w:eastAsia="zh-CN"/>
        </w:rPr>
        <w:t>预算为</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支出决算为</w:t>
      </w:r>
      <w:r>
        <w:rPr>
          <w:rFonts w:hint="eastAsia" w:ascii="仿宋_GB2312" w:hAnsi="仿宋"/>
          <w:szCs w:val="32"/>
          <w:lang w:val="en-US" w:eastAsia="zh-CN"/>
        </w:rPr>
        <w:t>0万元，完成预算的100%；较上年减少0万元，下降0%。决算数等于预算数以及较上年决算数相比无变化的主要原因是2021年度、2022年度均未安排因公出国（境）计划。2022年淮北市相山区统计局因公出国（境）团组0次，累计出国（境）0人次</w:t>
      </w:r>
      <w:r>
        <w:rPr>
          <w:rFonts w:hint="eastAsia" w:ascii="仿宋_GB2312" w:hAnsi="仿宋"/>
          <w:szCs w:val="32"/>
        </w:rPr>
        <w:t>。</w:t>
      </w:r>
    </w:p>
    <w:p w14:paraId="27BE1D59">
      <w:pPr>
        <w:ind w:firstLine="643" w:firstLineChars="200"/>
        <w:rPr>
          <w:rFonts w:ascii="仿宋_GB2312" w:hAnsi="仿宋"/>
          <w:szCs w:val="32"/>
        </w:rPr>
      </w:pPr>
      <w:r>
        <w:rPr>
          <w:rFonts w:hint="eastAsia" w:ascii="仿宋_GB2312" w:hAnsi="仿宋"/>
          <w:b/>
          <w:bCs/>
          <w:szCs w:val="32"/>
          <w:lang w:val="en-US" w:eastAsia="zh-CN"/>
        </w:rPr>
        <w:t>2、</w:t>
      </w:r>
      <w:r>
        <w:rPr>
          <w:rFonts w:hint="eastAsia" w:ascii="仿宋_GB2312" w:hAnsi="仿宋"/>
          <w:b/>
          <w:bCs/>
          <w:szCs w:val="32"/>
        </w:rPr>
        <w:t>公务接待费</w:t>
      </w:r>
      <w:r>
        <w:rPr>
          <w:rFonts w:hint="eastAsia" w:ascii="仿宋_GB2312" w:hAnsi="仿宋"/>
          <w:b/>
          <w:bCs/>
          <w:szCs w:val="32"/>
          <w:lang w:eastAsia="zh-CN"/>
        </w:rPr>
        <w:t>预算为</w:t>
      </w:r>
      <w:r>
        <w:rPr>
          <w:rFonts w:hint="eastAsia" w:ascii="仿宋_GB2312" w:hAnsi="仿宋"/>
          <w:b/>
          <w:bCs/>
          <w:szCs w:val="32"/>
          <w:lang w:val="en-US" w:eastAsia="zh-CN"/>
        </w:rPr>
        <w:t>0.3万元，</w:t>
      </w:r>
      <w:r>
        <w:rPr>
          <w:rFonts w:hint="eastAsia" w:ascii="仿宋_GB2312" w:hAnsi="仿宋"/>
          <w:b/>
          <w:bCs/>
          <w:szCs w:val="32"/>
        </w:rPr>
        <w:t>支出</w:t>
      </w:r>
      <w:r>
        <w:rPr>
          <w:rFonts w:hint="eastAsia" w:ascii="仿宋_GB2312" w:hAnsi="仿宋"/>
          <w:b/>
          <w:bCs/>
          <w:szCs w:val="32"/>
          <w:lang w:eastAsia="zh-CN"/>
        </w:rPr>
        <w:t>决算为</w:t>
      </w:r>
      <w:r>
        <w:rPr>
          <w:rFonts w:hint="eastAsia" w:ascii="仿宋_GB2312" w:hAnsi="仿宋"/>
          <w:szCs w:val="32"/>
          <w:lang w:val="en-US" w:eastAsia="zh-CN"/>
        </w:rPr>
        <w:t>0.88</w:t>
      </w:r>
      <w:r>
        <w:rPr>
          <w:rFonts w:hint="eastAsia" w:ascii="仿宋_GB2312" w:hAnsi="仿宋"/>
          <w:szCs w:val="32"/>
        </w:rPr>
        <w:t xml:space="preserve">万元, </w:t>
      </w:r>
      <w:r>
        <w:rPr>
          <w:rFonts w:hint="eastAsia" w:ascii="仿宋_GB2312" w:hAnsi="仿宋"/>
          <w:szCs w:val="32"/>
          <w:lang w:eastAsia="zh-CN"/>
        </w:rPr>
        <w:t>完成预算的</w:t>
      </w:r>
      <w:r>
        <w:rPr>
          <w:rFonts w:hint="eastAsia" w:ascii="仿宋_GB2312" w:hAnsi="仿宋"/>
          <w:szCs w:val="32"/>
          <w:lang w:val="en-US" w:eastAsia="zh-CN"/>
        </w:rPr>
        <w:t>293.33%；较上年</w:t>
      </w:r>
      <w:r>
        <w:rPr>
          <w:rFonts w:hint="eastAsia" w:ascii="仿宋_GB2312" w:hAnsi="仿宋"/>
          <w:szCs w:val="32"/>
          <w:lang w:eastAsia="zh-CN"/>
        </w:rPr>
        <w:t>减少</w:t>
      </w:r>
      <w:r>
        <w:rPr>
          <w:rFonts w:hint="eastAsia" w:ascii="仿宋_GB2312" w:hAnsi="仿宋"/>
          <w:szCs w:val="32"/>
          <w:lang w:val="en-US" w:eastAsia="zh-CN"/>
        </w:rPr>
        <w:t>0.21</w:t>
      </w:r>
      <w:r>
        <w:rPr>
          <w:rFonts w:hint="eastAsia" w:ascii="仿宋_GB2312" w:hAnsi="仿宋"/>
          <w:szCs w:val="32"/>
        </w:rPr>
        <w:t>万元，</w:t>
      </w:r>
      <w:r>
        <w:rPr>
          <w:rFonts w:hint="eastAsia" w:ascii="仿宋_GB2312" w:hAnsi="仿宋"/>
          <w:szCs w:val="32"/>
          <w:lang w:eastAsia="zh-CN"/>
        </w:rPr>
        <w:t>减少</w:t>
      </w:r>
      <w:r>
        <w:rPr>
          <w:rFonts w:hint="eastAsia" w:ascii="仿宋_GB2312" w:hAnsi="仿宋"/>
          <w:szCs w:val="32"/>
          <w:lang w:val="en-US" w:eastAsia="zh-CN"/>
        </w:rPr>
        <w:t>19.27%。决算数大于预算数的主要原因是</w:t>
      </w:r>
      <w:r>
        <w:rPr>
          <w:rFonts w:hint="eastAsia" w:ascii="仿宋_GB2312" w:hAnsi="仿宋"/>
          <w:szCs w:val="32"/>
        </w:rPr>
        <w:t>是</w:t>
      </w:r>
      <w:r>
        <w:rPr>
          <w:rFonts w:hint="eastAsia" w:ascii="仿宋_GB2312" w:hAnsi="仿宋"/>
          <w:szCs w:val="32"/>
          <w:lang w:eastAsia="zh-CN"/>
        </w:rPr>
        <w:t>上级部门业务指导及检查工作招待费支出</w:t>
      </w:r>
      <w:r>
        <w:rPr>
          <w:rFonts w:hint="eastAsia" w:ascii="仿宋_GB2312" w:hAnsi="仿宋"/>
          <w:szCs w:val="32"/>
        </w:rPr>
        <w:t>。</w:t>
      </w:r>
      <w:r>
        <w:rPr>
          <w:rFonts w:hint="eastAsia" w:ascii="仿宋_GB2312" w:hAnsi="仿宋"/>
          <w:szCs w:val="32"/>
          <w:lang w:eastAsia="zh-CN"/>
        </w:rPr>
        <w:t>决算数较上年增加的主要原因是上级主管部门对统计业务工作进行检查指导产生招待费。2022</w:t>
      </w:r>
      <w:r>
        <w:rPr>
          <w:rFonts w:hint="eastAsia" w:ascii="仿宋_GB2312" w:hAnsi="仿宋"/>
          <w:szCs w:val="32"/>
        </w:rPr>
        <w:t>年</w:t>
      </w:r>
      <w:r>
        <w:rPr>
          <w:rFonts w:hint="eastAsia" w:ascii="仿宋_GB2312" w:hAnsi="仿宋"/>
          <w:szCs w:val="32"/>
          <w:lang w:eastAsia="zh-CN"/>
        </w:rPr>
        <w:t>淮北市相山区统计</w:t>
      </w:r>
      <w:r>
        <w:rPr>
          <w:rFonts w:hint="eastAsia" w:ascii="仿宋_GB2312" w:hAnsi="仿宋"/>
          <w:szCs w:val="32"/>
        </w:rPr>
        <w:t>局国内公务接待共</w:t>
      </w:r>
      <w:r>
        <w:rPr>
          <w:rFonts w:hint="eastAsia" w:ascii="仿宋_GB2312" w:hAnsi="仿宋"/>
          <w:szCs w:val="32"/>
          <w:lang w:val="en-US" w:eastAsia="zh-CN"/>
        </w:rPr>
        <w:t>17</w:t>
      </w:r>
      <w:r>
        <w:rPr>
          <w:rFonts w:hint="eastAsia" w:ascii="仿宋_GB2312" w:hAnsi="仿宋"/>
          <w:szCs w:val="32"/>
        </w:rPr>
        <w:t>批次</w:t>
      </w:r>
      <w:r>
        <w:rPr>
          <w:rFonts w:hint="eastAsia" w:ascii="仿宋_GB2312" w:hAnsi="仿宋"/>
          <w:szCs w:val="32"/>
          <w:lang w:eastAsia="zh-CN"/>
        </w:rPr>
        <w:t>（其中外事接待</w:t>
      </w:r>
      <w:r>
        <w:rPr>
          <w:rFonts w:hint="eastAsia" w:ascii="仿宋_GB2312" w:hAnsi="仿宋"/>
          <w:szCs w:val="32"/>
          <w:lang w:val="en-US" w:eastAsia="zh-CN"/>
        </w:rPr>
        <w:t>0批次</w:t>
      </w:r>
      <w:r>
        <w:rPr>
          <w:rFonts w:hint="eastAsia" w:ascii="仿宋_GB2312" w:hAnsi="仿宋"/>
          <w:szCs w:val="32"/>
          <w:lang w:eastAsia="zh-CN"/>
        </w:rPr>
        <w:t>）</w:t>
      </w:r>
      <w:r>
        <w:rPr>
          <w:rFonts w:hint="eastAsia" w:ascii="仿宋_GB2312" w:hAnsi="仿宋"/>
          <w:szCs w:val="32"/>
          <w:lang w:val="en-US" w:eastAsia="zh-CN"/>
        </w:rPr>
        <w:t>192</w:t>
      </w:r>
      <w:r>
        <w:rPr>
          <w:rFonts w:hint="eastAsia" w:ascii="仿宋_GB2312" w:hAnsi="仿宋"/>
          <w:szCs w:val="32"/>
        </w:rPr>
        <w:t>人次</w:t>
      </w:r>
      <w:r>
        <w:rPr>
          <w:rFonts w:hint="eastAsia" w:ascii="仿宋_GB2312" w:hAnsi="仿宋"/>
          <w:szCs w:val="32"/>
          <w:lang w:eastAsia="zh-CN"/>
        </w:rPr>
        <w:t>（其中外事接待</w:t>
      </w:r>
      <w:r>
        <w:rPr>
          <w:rFonts w:hint="eastAsia" w:ascii="仿宋_GB2312" w:hAnsi="仿宋"/>
          <w:szCs w:val="32"/>
          <w:lang w:val="en-US" w:eastAsia="zh-CN"/>
        </w:rPr>
        <w:t>0人次</w:t>
      </w:r>
      <w:r>
        <w:rPr>
          <w:rFonts w:hint="eastAsia" w:ascii="仿宋_GB2312" w:hAnsi="仿宋"/>
          <w:szCs w:val="32"/>
          <w:lang w:eastAsia="zh-CN"/>
        </w:rPr>
        <w:t>），</w:t>
      </w:r>
      <w:r>
        <w:rPr>
          <w:rFonts w:hint="eastAsia" w:ascii="仿宋_GB2312" w:hAnsi="仿宋"/>
          <w:szCs w:val="32"/>
        </w:rPr>
        <w:t>主要是用于</w:t>
      </w:r>
      <w:r>
        <w:rPr>
          <w:rFonts w:hint="eastAsia" w:ascii="仿宋_GB2312" w:hAnsi="仿宋"/>
          <w:szCs w:val="32"/>
          <w:lang w:eastAsia="zh-CN"/>
        </w:rPr>
        <w:t>统计工作业务招待费支出</w:t>
      </w:r>
      <w:r>
        <w:rPr>
          <w:rFonts w:hint="eastAsia" w:ascii="仿宋_GB2312" w:hAnsi="仿宋"/>
          <w:szCs w:val="32"/>
        </w:rPr>
        <w:t>。经费使用严格贯彻</w:t>
      </w:r>
      <w:r>
        <w:rPr>
          <w:rFonts w:hint="eastAsia" w:ascii="仿宋_GB2312" w:hAnsi="仿宋"/>
          <w:szCs w:val="32"/>
          <w:lang w:eastAsia="zh-CN"/>
        </w:rPr>
        <w:t>落实</w:t>
      </w:r>
      <w:r>
        <w:rPr>
          <w:rFonts w:hint="eastAsia" w:ascii="仿宋_GB2312" w:hAnsi="仿宋"/>
          <w:szCs w:val="32"/>
        </w:rPr>
        <w:t>中央八项规定</w:t>
      </w:r>
      <w:r>
        <w:rPr>
          <w:rFonts w:hint="eastAsia" w:ascii="仿宋_GB2312" w:hAnsi="仿宋"/>
          <w:szCs w:val="32"/>
          <w:lang w:eastAsia="zh-CN"/>
        </w:rPr>
        <w:t>精神</w:t>
      </w:r>
      <w:bookmarkStart w:id="0" w:name="_GoBack"/>
      <w:bookmarkEnd w:id="0"/>
      <w:r>
        <w:rPr>
          <w:rFonts w:hint="eastAsia" w:ascii="仿宋_GB2312" w:hAnsi="仿宋"/>
          <w:szCs w:val="32"/>
        </w:rPr>
        <w:t>，严格执行《党政机关厉行节约反对浪费条例》、</w:t>
      </w:r>
      <w:r>
        <w:rPr>
          <w:rFonts w:hint="eastAsia" w:ascii="仿宋_GB2312" w:hAnsi="仿宋"/>
          <w:szCs w:val="32"/>
          <w:lang w:eastAsia="zh-CN"/>
        </w:rPr>
        <w:t>相山区</w:t>
      </w:r>
      <w:r>
        <w:rPr>
          <w:rFonts w:hint="eastAsia" w:ascii="仿宋_GB2312" w:hAnsi="仿宋"/>
          <w:szCs w:val="32"/>
        </w:rPr>
        <w:t>公务接待相关规定等。</w:t>
      </w:r>
    </w:p>
    <w:p w14:paraId="2E0F47F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pPr>
      <w:r>
        <w:rPr>
          <w:rFonts w:hint="eastAsia" w:ascii="仿宋_GB2312" w:hAnsi="仿宋"/>
          <w:b/>
          <w:bCs/>
          <w:szCs w:val="32"/>
        </w:rPr>
        <w:t>3.公务用车购置及运行维护费</w:t>
      </w:r>
      <w:r>
        <w:rPr>
          <w:rFonts w:hint="eastAsia" w:ascii="仿宋_GB2312" w:hAnsi="仿宋" w:cs="Times New Roman"/>
          <w:color w:val="auto"/>
          <w:szCs w:val="32"/>
          <w:lang w:val="en-US" w:eastAsia="zh-CN"/>
        </w:rPr>
        <w:t>预算为0万元，支出决算为0万元，完成预算的100%；较上年减少0万元，下降0%。决算数等于预算数的主要原因是2022年没有安排公务用车购置费，其中，公务用车购置费预算为0万元，支出决算为0万元，完成预算的100%；较上年减少0万元，下降0%，决算数等于预算数的主要原因是2022年没有安排公务用车购置费。公务用车运行维护费预算为0万元，支出决算为0万元，完成预算的100%，较上年减少0万元，下降0%。决算数等于预算数、等于上年决算数的主要原因是2022年没有安排公务用车运行维护费、2021年无公务用车运行维护费支出。公务用车运行维护费，包括车辆燃料费、维修费、过桥过路费、保险费等支出。</w:t>
      </w:r>
      <w:r>
        <w:rPr>
          <w:rFonts w:hint="eastAsia" w:ascii="仿宋_GB2312" w:hAnsi="仿宋"/>
          <w:szCs w:val="32"/>
        </w:rPr>
        <w:t>截至</w:t>
      </w:r>
      <w:r>
        <w:rPr>
          <w:rFonts w:hint="eastAsia" w:ascii="仿宋_GB2312" w:hAnsi="仿宋"/>
          <w:szCs w:val="32"/>
          <w:lang w:eastAsia="zh-CN"/>
        </w:rPr>
        <w:t>2022</w:t>
      </w:r>
      <w:r>
        <w:rPr>
          <w:rFonts w:hint="eastAsia" w:ascii="仿宋_GB2312" w:hAnsi="仿宋"/>
          <w:szCs w:val="32"/>
        </w:rPr>
        <w:t>年12月31日，</w:t>
      </w:r>
      <w:r>
        <w:rPr>
          <w:rFonts w:hint="eastAsia" w:ascii="仿宋_GB2312" w:hAnsi="仿宋"/>
          <w:szCs w:val="32"/>
          <w:lang w:eastAsia="zh-CN"/>
        </w:rPr>
        <w:t>淮北市相山区统计局</w:t>
      </w:r>
      <w:r>
        <w:rPr>
          <w:rFonts w:hint="eastAsia" w:ascii="仿宋_GB2312" w:hAnsi="仿宋"/>
          <w:szCs w:val="32"/>
        </w:rPr>
        <w:t>开支财政拨款的公务用车保有量为</w:t>
      </w:r>
      <w:r>
        <w:rPr>
          <w:rFonts w:hint="eastAsia" w:ascii="仿宋_GB2312" w:hAnsi="仿宋"/>
          <w:szCs w:val="32"/>
          <w:lang w:val="en-US" w:eastAsia="zh-CN"/>
        </w:rPr>
        <w:t>0</w:t>
      </w:r>
      <w:r>
        <w:rPr>
          <w:rFonts w:hint="eastAsia" w:ascii="仿宋_GB2312" w:hAnsi="仿宋"/>
          <w:szCs w:val="32"/>
        </w:rPr>
        <w:t>辆。</w:t>
      </w:r>
    </w:p>
    <w:p w14:paraId="4F531C64">
      <w:pPr>
        <w:ind w:firstLine="640" w:firstLineChars="200"/>
        <w:rPr>
          <w:rFonts w:hint="eastAsia" w:ascii="仿宋_GB2312" w:hAnsi="仿宋"/>
          <w:szCs w:val="32"/>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C6C73"/>
    <w:multiLevelType w:val="singleLevel"/>
    <w:tmpl w:val="F70C6C7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jQxMjVlMDdmNmE5ZTI3MWE4YTE3Njk4ODcxMzEifQ=="/>
  </w:docVars>
  <w:rsids>
    <w:rsidRoot w:val="00D303BC"/>
    <w:rsid w:val="002F6DE8"/>
    <w:rsid w:val="00326726"/>
    <w:rsid w:val="003547B8"/>
    <w:rsid w:val="003671B4"/>
    <w:rsid w:val="003B6E2C"/>
    <w:rsid w:val="00497C22"/>
    <w:rsid w:val="004D6484"/>
    <w:rsid w:val="00613D73"/>
    <w:rsid w:val="00656EC6"/>
    <w:rsid w:val="006B3BF0"/>
    <w:rsid w:val="007719A9"/>
    <w:rsid w:val="008A3C6F"/>
    <w:rsid w:val="009770F9"/>
    <w:rsid w:val="009D2B9A"/>
    <w:rsid w:val="00A00C09"/>
    <w:rsid w:val="00A92496"/>
    <w:rsid w:val="00AB0278"/>
    <w:rsid w:val="00B14CD1"/>
    <w:rsid w:val="00B2159B"/>
    <w:rsid w:val="00B72524"/>
    <w:rsid w:val="00CE25D9"/>
    <w:rsid w:val="00D2629D"/>
    <w:rsid w:val="00D303BC"/>
    <w:rsid w:val="00D9784E"/>
    <w:rsid w:val="00DB321D"/>
    <w:rsid w:val="00E02B6D"/>
    <w:rsid w:val="00FC29F2"/>
    <w:rsid w:val="05A1203D"/>
    <w:rsid w:val="06003DEF"/>
    <w:rsid w:val="0BF40B82"/>
    <w:rsid w:val="0E381B0A"/>
    <w:rsid w:val="0FA45F2A"/>
    <w:rsid w:val="10390474"/>
    <w:rsid w:val="10F859AE"/>
    <w:rsid w:val="16293BC0"/>
    <w:rsid w:val="2BF47D3F"/>
    <w:rsid w:val="2DAE4D31"/>
    <w:rsid w:val="33A17ADF"/>
    <w:rsid w:val="3D8D4941"/>
    <w:rsid w:val="42574C98"/>
    <w:rsid w:val="48071E73"/>
    <w:rsid w:val="54010D66"/>
    <w:rsid w:val="5689589D"/>
    <w:rsid w:val="5B1F1265"/>
    <w:rsid w:val="5C8B1154"/>
    <w:rsid w:val="6BA936A1"/>
    <w:rsid w:val="77E7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1191</Words>
  <Characters>1309</Characters>
  <Lines>8</Lines>
  <Paragraphs>2</Paragraphs>
  <TotalTime>41</TotalTime>
  <ScaleCrop>false</ScaleCrop>
  <LinksUpToDate>false</LinksUpToDate>
  <CharactersWithSpaces>1375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心悦</cp:lastModifiedBy>
  <cp:lastPrinted>2020-09-14T08:17:00Z</cp:lastPrinted>
  <dcterms:modified xsi:type="dcterms:W3CDTF">2025-08-18T08:12:47Z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620A8651CBEB4023BF966014DF408746_13</vt:lpwstr>
  </property>
  <property fmtid="{D5CDD505-2E9C-101B-9397-08002B2CF9AE}" pid="4" name="KSOTemplateDocerSaveRecord">
    <vt:lpwstr>eyJoZGlkIjoiYzA2MjQxMjVlMDdmNmE5ZTI3MWE4YTE3Njk4ODcxMzEiLCJ1c2VySWQiOiI5Mzc3OTcyMjAifQ==</vt:lpwstr>
  </property>
</Properties>
</file>